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7D" w:rsidRDefault="001D697D">
      <w:pPr>
        <w:spacing w:line="360" w:lineRule="auto"/>
        <w:jc w:val="center"/>
        <w:rPr>
          <w:rStyle w:val="a5"/>
          <w:rFonts w:ascii="宋体" w:hAnsi="宋体"/>
          <w:sz w:val="28"/>
          <w:szCs w:val="28"/>
        </w:rPr>
      </w:pPr>
      <w:r>
        <w:rPr>
          <w:rStyle w:val="a5"/>
          <w:rFonts w:ascii="宋体" w:hAnsi="宋体" w:hint="eastAsia"/>
          <w:sz w:val="28"/>
          <w:szCs w:val="28"/>
        </w:rPr>
        <w:t>银华基金管理股份有限公司</w:t>
      </w:r>
    </w:p>
    <w:p w:rsidR="001D697D" w:rsidRDefault="001D697D">
      <w:pPr>
        <w:spacing w:line="360" w:lineRule="auto"/>
        <w:jc w:val="center"/>
        <w:rPr>
          <w:rStyle w:val="a5"/>
          <w:rFonts w:ascii="宋体" w:hAnsi="宋体" w:hint="eastAsia"/>
          <w:sz w:val="28"/>
          <w:szCs w:val="28"/>
        </w:rPr>
      </w:pPr>
      <w:r>
        <w:rPr>
          <w:rStyle w:val="a5"/>
          <w:rFonts w:ascii="宋体" w:hAnsi="宋体" w:hint="eastAsia"/>
          <w:sz w:val="28"/>
          <w:szCs w:val="28"/>
        </w:rPr>
        <w:t>关于银华抗通胀</w:t>
      </w:r>
      <w:r>
        <w:rPr>
          <w:rStyle w:val="a5"/>
          <w:rFonts w:ascii="宋体" w:hAnsi="宋体"/>
          <w:sz w:val="28"/>
          <w:szCs w:val="28"/>
        </w:rPr>
        <w:t>主题证券投资基金</w:t>
      </w:r>
      <w:r>
        <w:rPr>
          <w:rStyle w:val="a5"/>
          <w:rFonts w:ascii="宋体" w:hAnsi="宋体" w:hint="eastAsia"/>
          <w:sz w:val="28"/>
          <w:szCs w:val="28"/>
        </w:rPr>
        <w:t>（LOF）场内</w:t>
      </w:r>
      <w:r>
        <w:rPr>
          <w:rStyle w:val="a5"/>
          <w:rFonts w:ascii="宋体" w:hAnsi="宋体"/>
          <w:sz w:val="28"/>
          <w:szCs w:val="28"/>
        </w:rPr>
        <w:t>份额交易价格波动</w:t>
      </w:r>
      <w:r>
        <w:rPr>
          <w:rStyle w:val="a5"/>
          <w:rFonts w:ascii="宋体" w:hAnsi="宋体" w:hint="eastAsia"/>
          <w:sz w:val="28"/>
          <w:szCs w:val="28"/>
        </w:rPr>
        <w:t>风险的提示</w:t>
      </w:r>
      <w:r>
        <w:rPr>
          <w:rStyle w:val="a5"/>
          <w:rFonts w:ascii="宋体" w:hAnsi="宋体"/>
          <w:sz w:val="28"/>
          <w:szCs w:val="28"/>
        </w:rPr>
        <w:t>性</w:t>
      </w:r>
      <w:r>
        <w:rPr>
          <w:rStyle w:val="a5"/>
          <w:rFonts w:ascii="宋体" w:hAnsi="宋体" w:hint="eastAsia"/>
          <w:sz w:val="28"/>
          <w:szCs w:val="28"/>
        </w:rPr>
        <w:t>公告</w:t>
      </w:r>
    </w:p>
    <w:p w:rsidR="001D697D" w:rsidRDefault="001D697D">
      <w:pPr>
        <w:spacing w:line="360" w:lineRule="auto"/>
        <w:jc w:val="center"/>
        <w:rPr>
          <w:rStyle w:val="a5"/>
          <w:rFonts w:ascii="宋体" w:hAnsi="宋体" w:hint="eastAsia"/>
          <w:sz w:val="28"/>
          <w:szCs w:val="28"/>
        </w:rPr>
      </w:pPr>
    </w:p>
    <w:p w:rsidR="001D697D" w:rsidRDefault="001D697D">
      <w:pPr>
        <w:pStyle w:val="a9"/>
        <w:spacing w:before="0" w:beforeAutospacing="0" w:after="0" w:afterAutospacing="0" w:line="460" w:lineRule="exact"/>
        <w:ind w:firstLineChars="200" w:firstLine="480"/>
        <w:jc w:val="both"/>
        <w:rPr>
          <w:rFonts w:cs="Times New Roman"/>
        </w:rPr>
      </w:pPr>
      <w:r>
        <w:rPr>
          <w:rFonts w:cs="Times New Roman" w:hint="eastAsia"/>
        </w:rPr>
        <w:t>银华</w:t>
      </w:r>
      <w:r>
        <w:rPr>
          <w:rFonts w:cs="Times New Roman"/>
        </w:rPr>
        <w:t>基金管理股份有限公司（</w:t>
      </w:r>
      <w:r>
        <w:rPr>
          <w:rFonts w:cs="Times New Roman" w:hint="eastAsia"/>
        </w:rPr>
        <w:t>以下</w:t>
      </w:r>
      <w:r>
        <w:rPr>
          <w:rFonts w:cs="Times New Roman"/>
        </w:rPr>
        <w:t>简称“</w:t>
      </w:r>
      <w:r>
        <w:rPr>
          <w:rFonts w:cs="Times New Roman" w:hint="eastAsia"/>
        </w:rPr>
        <w:t>本</w:t>
      </w:r>
      <w:r>
        <w:rPr>
          <w:rFonts w:cs="Times New Roman"/>
        </w:rPr>
        <w:t>基金管理人”）</w:t>
      </w:r>
      <w:r>
        <w:rPr>
          <w:rFonts w:cs="Times New Roman" w:hint="eastAsia"/>
        </w:rPr>
        <w:t>旗下</w:t>
      </w:r>
      <w:r>
        <w:rPr>
          <w:rFonts w:cs="Times New Roman"/>
        </w:rPr>
        <w:t>银华抗通胀主题</w:t>
      </w:r>
      <w:r>
        <w:rPr>
          <w:rFonts w:cs="Times New Roman" w:hint="eastAsia"/>
        </w:rPr>
        <w:t>证券</w:t>
      </w:r>
      <w:r>
        <w:rPr>
          <w:rFonts w:cs="Times New Roman"/>
        </w:rPr>
        <w:t>投资基金（</w:t>
      </w:r>
      <w:r>
        <w:rPr>
          <w:rFonts w:cs="Times New Roman" w:hint="eastAsia"/>
        </w:rPr>
        <w:t>LOF</w:t>
      </w:r>
      <w:r>
        <w:rPr>
          <w:rFonts w:cs="Times New Roman"/>
        </w:rPr>
        <w:t>）</w:t>
      </w:r>
      <w:r>
        <w:rPr>
          <w:rFonts w:cs="Times New Roman" w:hint="eastAsia"/>
        </w:rPr>
        <w:t>（场内</w:t>
      </w:r>
      <w:r>
        <w:rPr>
          <w:rFonts w:cs="Times New Roman"/>
        </w:rPr>
        <w:t>简称：银华</w:t>
      </w:r>
      <w:r>
        <w:rPr>
          <w:rFonts w:cs="Times New Roman" w:hint="eastAsia"/>
        </w:rPr>
        <w:t>通胀；</w:t>
      </w:r>
      <w:r>
        <w:rPr>
          <w:rFonts w:cs="Times New Roman"/>
        </w:rPr>
        <w:t>交易代码</w:t>
      </w:r>
      <w:r>
        <w:rPr>
          <w:rFonts w:cs="Times New Roman" w:hint="eastAsia"/>
        </w:rPr>
        <w:t>：161815；</w:t>
      </w:r>
      <w:r>
        <w:rPr>
          <w:rFonts w:cs="Times New Roman"/>
        </w:rPr>
        <w:t>以下简称“</w:t>
      </w:r>
      <w:r>
        <w:rPr>
          <w:rFonts w:cs="Times New Roman" w:hint="eastAsia"/>
        </w:rPr>
        <w:t>本</w:t>
      </w:r>
      <w:r>
        <w:rPr>
          <w:rFonts w:cs="Times New Roman"/>
        </w:rPr>
        <w:t>基金”</w:t>
      </w:r>
      <w:r>
        <w:rPr>
          <w:rFonts w:cs="Times New Roman" w:hint="eastAsia"/>
        </w:rPr>
        <w:t>）为</w:t>
      </w:r>
      <w:r>
        <w:rPr>
          <w:rFonts w:cs="Times New Roman"/>
        </w:rPr>
        <w:t>上市型开放式基金，基金份额</w:t>
      </w:r>
      <w:r>
        <w:rPr>
          <w:rFonts w:cs="Times New Roman" w:hint="eastAsia"/>
        </w:rPr>
        <w:t>自2010年12月20日</w:t>
      </w:r>
      <w:r>
        <w:rPr>
          <w:rFonts w:cs="Times New Roman"/>
        </w:rPr>
        <w:t>起在深圳证券交易所上市交易，</w:t>
      </w:r>
      <w:r>
        <w:rPr>
          <w:rFonts w:cs="Times New Roman" w:hint="eastAsia"/>
        </w:rPr>
        <w:t>本</w:t>
      </w:r>
      <w:r>
        <w:rPr>
          <w:rFonts w:cs="Times New Roman"/>
        </w:rPr>
        <w:t>基金</w:t>
      </w:r>
      <w:r>
        <w:rPr>
          <w:rFonts w:cs="Times New Roman" w:hint="eastAsia"/>
        </w:rPr>
        <w:t>基金</w:t>
      </w:r>
      <w:r>
        <w:rPr>
          <w:rFonts w:cs="Times New Roman"/>
        </w:rPr>
        <w:t>份额二级市场的交易价格，除受基金份额净值变化的影响外，还会受到市场供求关系、系统</w:t>
      </w:r>
      <w:r>
        <w:rPr>
          <w:rFonts w:cs="Times New Roman" w:hint="eastAsia"/>
        </w:rPr>
        <w:t>性</w:t>
      </w:r>
      <w:r>
        <w:rPr>
          <w:rFonts w:cs="Times New Roman"/>
        </w:rPr>
        <w:t>风险、流动性风险</w:t>
      </w:r>
      <w:r>
        <w:rPr>
          <w:rFonts w:cs="Times New Roman" w:hint="eastAsia"/>
        </w:rPr>
        <w:t>、</w:t>
      </w:r>
      <w:r>
        <w:rPr>
          <w:rFonts w:cs="Times New Roman"/>
        </w:rPr>
        <w:t>申赎限制等其他因素的影响，可能使投资者面临损失</w:t>
      </w:r>
      <w:r>
        <w:rPr>
          <w:rFonts w:cs="Times New Roman" w:hint="eastAsia"/>
        </w:rPr>
        <w:t>。特此提示投资者关注本基金二级市场交易价格的波动风险以及二级市场交易价格相对于基金份额净值持续出现场内高溢价的风险，谨慎</w:t>
      </w:r>
      <w:r>
        <w:rPr>
          <w:rFonts w:cs="Times New Roman"/>
        </w:rPr>
        <w:t>参与本基金的二级市场交易，</w:t>
      </w:r>
      <w:r>
        <w:rPr>
          <w:rFonts w:cs="Times New Roman" w:hint="eastAsia"/>
        </w:rPr>
        <w:t>如果盲目投资，可能遭受损失。</w:t>
      </w:r>
    </w:p>
    <w:p w:rsidR="001D697D" w:rsidRDefault="001D697D">
      <w:pPr>
        <w:pStyle w:val="a9"/>
        <w:spacing w:before="0" w:beforeAutospacing="0" w:after="0" w:afterAutospacing="0" w:line="460" w:lineRule="exact"/>
        <w:ind w:firstLineChars="200" w:firstLine="480"/>
        <w:jc w:val="both"/>
        <w:rPr>
          <w:rFonts w:cs="Times New Roman"/>
        </w:rPr>
      </w:pPr>
      <w:r>
        <w:rPr>
          <w:rFonts w:cs="Times New Roman" w:hint="eastAsia"/>
        </w:rPr>
        <w:t>为此，</w:t>
      </w:r>
      <w:r>
        <w:rPr>
          <w:rFonts w:cs="Times New Roman"/>
        </w:rPr>
        <w:t>本基金管理人提示如下：</w:t>
      </w:r>
    </w:p>
    <w:p w:rsidR="001D697D" w:rsidRDefault="001D697D">
      <w:pPr>
        <w:pStyle w:val="a9"/>
        <w:spacing w:before="0" w:beforeAutospacing="0" w:after="0" w:afterAutospacing="0" w:line="460" w:lineRule="exact"/>
        <w:ind w:firstLineChars="200" w:firstLine="480"/>
        <w:jc w:val="both"/>
        <w:rPr>
          <w:rFonts w:cs="Times New Roman"/>
        </w:rPr>
      </w:pPr>
      <w:r>
        <w:rPr>
          <w:rFonts w:cs="Times New Roman"/>
        </w:rPr>
        <w:t>1</w:t>
      </w:r>
      <w:r>
        <w:rPr>
          <w:rFonts w:cs="Times New Roman" w:hint="eastAsia"/>
        </w:rPr>
        <w:t>、本基金为上市型开放式基金，除基金</w:t>
      </w:r>
      <w:r>
        <w:rPr>
          <w:rFonts w:cs="Times New Roman"/>
        </w:rPr>
        <w:t>份额</w:t>
      </w:r>
      <w:r>
        <w:rPr>
          <w:rFonts w:cs="Times New Roman" w:hint="eastAsia"/>
        </w:rPr>
        <w:t>可在二级市场交易外，投资者还可以申购、赎回本基金基金</w:t>
      </w:r>
      <w:r>
        <w:rPr>
          <w:rFonts w:cs="Times New Roman"/>
        </w:rPr>
        <w:t>份额</w:t>
      </w:r>
      <w:r>
        <w:rPr>
          <w:rFonts w:cs="Times New Roman" w:hint="eastAsia"/>
        </w:rPr>
        <w:t>。申购、赎回价格以申请当日收市后计算的本</w:t>
      </w:r>
      <w:r>
        <w:rPr>
          <w:rFonts w:cs="Times New Roman"/>
        </w:rPr>
        <w:t>基金</w:t>
      </w:r>
      <w:r>
        <w:rPr>
          <w:rFonts w:cs="Times New Roman" w:hint="eastAsia"/>
        </w:rPr>
        <w:t>基金份额净值进行计价。投资者可通过本基金管理人网站或深圳证券</w:t>
      </w:r>
      <w:r>
        <w:rPr>
          <w:rFonts w:cs="Times New Roman"/>
        </w:rPr>
        <w:t>交易所</w:t>
      </w:r>
      <w:r>
        <w:rPr>
          <w:rFonts w:cs="Times New Roman" w:hint="eastAsia"/>
        </w:rPr>
        <w:t>查询本基金的基金份额净值。为保证本基金的平稳运作，保护投资</w:t>
      </w:r>
      <w:r>
        <w:rPr>
          <w:rFonts w:cs="Times New Roman"/>
        </w:rPr>
        <w:t>者</w:t>
      </w:r>
      <w:r>
        <w:rPr>
          <w:rFonts w:cs="Times New Roman" w:hint="eastAsia"/>
        </w:rPr>
        <w:t>利益，本基金管理</w:t>
      </w:r>
      <w:r>
        <w:rPr>
          <w:rFonts w:cs="Times New Roman"/>
        </w:rPr>
        <w:t>人</w:t>
      </w:r>
      <w:r>
        <w:rPr>
          <w:rFonts w:cs="Times New Roman" w:hint="eastAsia"/>
        </w:rPr>
        <w:t>已于2020年4月28日起暂停本</w:t>
      </w:r>
      <w:r>
        <w:rPr>
          <w:rFonts w:cs="Times New Roman"/>
        </w:rPr>
        <w:t>基金的</w:t>
      </w:r>
      <w:r>
        <w:rPr>
          <w:rFonts w:cs="Times New Roman" w:hint="eastAsia"/>
        </w:rPr>
        <w:t>申购及定期定额投资业务，本基金恢复办理申购及定期定额投资业务的时间将另行公告。</w:t>
      </w:r>
    </w:p>
    <w:p w:rsidR="001D697D" w:rsidRDefault="001D697D">
      <w:pPr>
        <w:pStyle w:val="a9"/>
        <w:spacing w:before="0" w:beforeAutospacing="0" w:after="0" w:afterAutospacing="0" w:line="460" w:lineRule="exact"/>
        <w:ind w:firstLineChars="200" w:firstLine="480"/>
        <w:jc w:val="both"/>
        <w:rPr>
          <w:rFonts w:cs="Times New Roman" w:hint="eastAsia"/>
        </w:rPr>
      </w:pPr>
      <w:r>
        <w:rPr>
          <w:rFonts w:cs="Times New Roman" w:hint="eastAsia"/>
        </w:rPr>
        <w:t>2、由于本基金暂停申购的上述情形，以及场内交易价格受跌停板规则限制可能无法及时反映基金份额净值的大幅波动，本基金的场内交易价格可能出现高于基金份额净值的</w:t>
      </w:r>
      <w:r>
        <w:rPr>
          <w:rFonts w:cs="Times New Roman"/>
        </w:rPr>
        <w:t>情形</w:t>
      </w:r>
      <w:r>
        <w:rPr>
          <w:rFonts w:cs="Times New Roman" w:hint="eastAsia"/>
        </w:rPr>
        <w:t>。该溢价水平可能大幅波动，给投资者带来基金份额净值波动风险以外的溢价风险，投资者应避免高溢价买入本</w:t>
      </w:r>
      <w:r>
        <w:rPr>
          <w:rFonts w:cs="Times New Roman"/>
        </w:rPr>
        <w:t>基金基金份额</w:t>
      </w:r>
      <w:r>
        <w:rPr>
          <w:rFonts w:cs="Times New Roman" w:hint="eastAsia"/>
        </w:rPr>
        <w:t>。请投资者务必关注相关风险，谨慎投资。</w:t>
      </w:r>
    </w:p>
    <w:p w:rsidR="001D697D" w:rsidRDefault="001D697D">
      <w:pPr>
        <w:pStyle w:val="a9"/>
        <w:spacing w:before="0" w:beforeAutospacing="0" w:after="0" w:afterAutospacing="0" w:line="460" w:lineRule="exact"/>
        <w:ind w:firstLineChars="200" w:firstLine="480"/>
        <w:jc w:val="both"/>
        <w:rPr>
          <w:rFonts w:cs="Times New Roman"/>
        </w:rPr>
      </w:pPr>
      <w:r>
        <w:rPr>
          <w:rFonts w:cs="Times New Roman" w:hint="eastAsia"/>
        </w:rPr>
        <w:t>3、截至本公告披露日，银华抗通胀</w:t>
      </w:r>
      <w:r>
        <w:rPr>
          <w:rFonts w:cs="Times New Roman"/>
        </w:rPr>
        <w:t>主题</w:t>
      </w:r>
      <w:r>
        <w:rPr>
          <w:rFonts w:cs="Times New Roman" w:hint="eastAsia"/>
        </w:rPr>
        <w:t>证券投资基金（LOF）运作正常，无其他应披露而未披露的重大事项。本基金管理人仍将严格按照法律法规及本</w:t>
      </w:r>
      <w:r>
        <w:rPr>
          <w:rFonts w:cs="Times New Roman"/>
        </w:rPr>
        <w:t>基金</w:t>
      </w:r>
      <w:r>
        <w:rPr>
          <w:rFonts w:cs="Times New Roman" w:hint="eastAsia"/>
        </w:rPr>
        <w:t>基金合同的</w:t>
      </w:r>
      <w:r>
        <w:rPr>
          <w:rFonts w:cs="Times New Roman"/>
        </w:rPr>
        <w:t>约定</w:t>
      </w:r>
      <w:r>
        <w:rPr>
          <w:rFonts w:cs="Times New Roman" w:hint="eastAsia"/>
        </w:rPr>
        <w:t>进行投资运作，</w:t>
      </w:r>
      <w:r>
        <w:rPr>
          <w:rFonts w:cs="Times New Roman"/>
        </w:rPr>
        <w:t>及时做</w:t>
      </w:r>
      <w:r>
        <w:rPr>
          <w:rFonts w:cs="Times New Roman" w:hint="eastAsia"/>
        </w:rPr>
        <w:t>好</w:t>
      </w:r>
      <w:r>
        <w:rPr>
          <w:rFonts w:cs="Times New Roman"/>
        </w:rPr>
        <w:t>信息披露工作</w:t>
      </w:r>
      <w:r>
        <w:rPr>
          <w:rFonts w:cs="Times New Roman" w:hint="eastAsia"/>
        </w:rPr>
        <w:t>。</w:t>
      </w:r>
    </w:p>
    <w:p w:rsidR="001D697D" w:rsidRDefault="001D697D">
      <w:pPr>
        <w:pStyle w:val="a9"/>
        <w:spacing w:before="0" w:beforeAutospacing="0" w:after="0" w:afterAutospacing="0" w:line="460" w:lineRule="exact"/>
        <w:ind w:firstLineChars="200" w:firstLine="480"/>
        <w:jc w:val="both"/>
        <w:rPr>
          <w:rFonts w:cs="Times New Roman"/>
        </w:rPr>
      </w:pPr>
      <w:r>
        <w:rPr>
          <w:rFonts w:cs="Times New Roman"/>
        </w:rPr>
        <w:lastRenderedPageBreak/>
        <w:t>4</w:t>
      </w:r>
      <w:r>
        <w:rPr>
          <w:rFonts w:cs="Times New Roman" w:hint="eastAsia"/>
        </w:rPr>
        <w:t>、本基金管理人承诺以诚实信用、勤勉尽责的原则管理和运用基金资产，但不保证基金一定盈利，也不保证最低收益。投资者投资于本基金管理人管理的基金时应认真阅读该基金的《基金合同》、《招募说明书》等法律文件，了解基金产品的详细情况，选择与自己风险识别能力和风险承受能力相匹配的基金，并注意投资风险。</w:t>
      </w:r>
    </w:p>
    <w:p w:rsidR="001D697D" w:rsidRDefault="001D697D">
      <w:pPr>
        <w:pStyle w:val="a9"/>
        <w:spacing w:before="0" w:beforeAutospacing="0" w:after="0" w:afterAutospacing="0" w:line="460" w:lineRule="exact"/>
        <w:ind w:firstLineChars="200" w:firstLine="480"/>
        <w:jc w:val="both"/>
        <w:rPr>
          <w:rFonts w:cs="Times New Roman" w:hint="eastAsia"/>
        </w:rPr>
      </w:pPr>
    </w:p>
    <w:p w:rsidR="001D697D" w:rsidRDefault="001D697D">
      <w:pPr>
        <w:pStyle w:val="a9"/>
        <w:spacing w:before="0" w:beforeAutospacing="0" w:after="0" w:afterAutospacing="0" w:line="460" w:lineRule="exact"/>
        <w:ind w:firstLineChars="200" w:firstLine="480"/>
        <w:jc w:val="both"/>
        <w:rPr>
          <w:rFonts w:cs="Times New Roman" w:hint="eastAsia"/>
        </w:rPr>
      </w:pPr>
      <w:r>
        <w:rPr>
          <w:rFonts w:cs="Times New Roman" w:hint="eastAsia"/>
        </w:rPr>
        <w:t>投资者可以通过以下途径咨询有关详情：</w:t>
      </w:r>
    </w:p>
    <w:p w:rsidR="001D697D" w:rsidRDefault="001D697D">
      <w:pPr>
        <w:pStyle w:val="a9"/>
        <w:spacing w:before="0" w:beforeAutospacing="0" w:after="0" w:afterAutospacing="0" w:line="460" w:lineRule="exact"/>
        <w:ind w:left="480"/>
        <w:jc w:val="both"/>
        <w:rPr>
          <w:rFonts w:cs="Times New Roman" w:hint="eastAsia"/>
        </w:rPr>
      </w:pPr>
      <w:r>
        <w:rPr>
          <w:rFonts w:cs="Times New Roman" w:hint="eastAsia"/>
        </w:rPr>
        <w:t>1、银华基金管理股份有限公司客户服务电话：</w:t>
      </w:r>
      <w:r>
        <w:rPr>
          <w:rFonts w:cs="Times New Roman"/>
        </w:rPr>
        <w:t>010-85186558，400-678-3333</w:t>
      </w:r>
    </w:p>
    <w:p w:rsidR="001D697D" w:rsidRDefault="001D697D">
      <w:pPr>
        <w:pStyle w:val="a9"/>
        <w:spacing w:before="0" w:beforeAutospacing="0" w:after="0" w:afterAutospacing="0" w:line="460" w:lineRule="exact"/>
        <w:ind w:left="480"/>
        <w:jc w:val="both"/>
        <w:rPr>
          <w:rFonts w:cs="Times New Roman" w:hint="eastAsia"/>
        </w:rPr>
      </w:pPr>
      <w:r>
        <w:rPr>
          <w:rFonts w:cs="Times New Roman" w:hint="eastAsia"/>
        </w:rPr>
        <w:t>2、银华基金管理股份有限公司</w:t>
      </w:r>
      <w:r>
        <w:rPr>
          <w:rFonts w:cs="Times New Roman"/>
        </w:rPr>
        <w:t>网站</w:t>
      </w:r>
      <w:r>
        <w:rPr>
          <w:rFonts w:cs="Times New Roman" w:hint="eastAsia"/>
        </w:rPr>
        <w:t>：</w:t>
      </w:r>
      <w:hyperlink r:id="rId6" w:history="1">
        <w:r>
          <w:rPr>
            <w:rFonts w:cs="Times New Roman"/>
          </w:rPr>
          <w:t>www.yhfund.com.cn</w:t>
        </w:r>
      </w:hyperlink>
    </w:p>
    <w:p w:rsidR="001D697D" w:rsidRDefault="001D697D">
      <w:pPr>
        <w:pStyle w:val="a9"/>
        <w:spacing w:before="0" w:beforeAutospacing="0" w:after="0" w:afterAutospacing="0" w:line="460" w:lineRule="exact"/>
        <w:ind w:firstLineChars="200" w:firstLine="480"/>
        <w:jc w:val="both"/>
        <w:rPr>
          <w:rFonts w:cs="Times New Roman" w:hint="eastAsia"/>
        </w:rPr>
      </w:pPr>
      <w:r>
        <w:rPr>
          <w:rFonts w:cs="Times New Roman" w:hint="eastAsia"/>
        </w:rPr>
        <w:t>本基金管理人承诺以诚实信用、勤勉尽责的原则管理和运用基金资产，但不保证基金一定盈利，也不保证最低收益。敬请投资者留意投资风险。</w:t>
      </w:r>
    </w:p>
    <w:p w:rsidR="001D697D" w:rsidRDefault="001D697D">
      <w:pPr>
        <w:pStyle w:val="a9"/>
        <w:spacing w:before="0" w:beforeAutospacing="0" w:after="0" w:afterAutospacing="0" w:line="460" w:lineRule="exact"/>
        <w:ind w:firstLineChars="200" w:firstLine="480"/>
        <w:jc w:val="both"/>
        <w:rPr>
          <w:rFonts w:cs="Times New Roman" w:hint="eastAsia"/>
        </w:rPr>
      </w:pPr>
      <w:r>
        <w:rPr>
          <w:rFonts w:cs="Times New Roman" w:hint="eastAsia"/>
        </w:rPr>
        <w:t>本公告解释权归本基金管理人。</w:t>
      </w:r>
    </w:p>
    <w:p w:rsidR="001D697D" w:rsidRDefault="001D697D">
      <w:pPr>
        <w:pStyle w:val="a9"/>
        <w:spacing w:before="0" w:beforeAutospacing="0" w:after="0" w:afterAutospacing="0" w:line="460" w:lineRule="exact"/>
        <w:ind w:firstLineChars="200" w:firstLine="480"/>
        <w:jc w:val="both"/>
        <w:rPr>
          <w:rFonts w:cs="Times New Roman"/>
        </w:rPr>
      </w:pPr>
    </w:p>
    <w:p w:rsidR="001D697D" w:rsidRDefault="001D697D">
      <w:pPr>
        <w:pStyle w:val="a9"/>
        <w:spacing w:before="0" w:beforeAutospacing="0" w:after="0" w:afterAutospacing="0" w:line="460" w:lineRule="exact"/>
        <w:ind w:firstLineChars="200" w:firstLine="480"/>
        <w:jc w:val="both"/>
        <w:rPr>
          <w:rFonts w:cs="Times New Roman"/>
        </w:rPr>
      </w:pPr>
      <w:r>
        <w:rPr>
          <w:rFonts w:cs="Times New Roman"/>
        </w:rPr>
        <w:t>特此公告。</w:t>
      </w:r>
    </w:p>
    <w:p w:rsidR="001D697D" w:rsidRDefault="001D697D">
      <w:pPr>
        <w:widowControl/>
        <w:spacing w:line="460" w:lineRule="exact"/>
        <w:ind w:firstLineChars="200" w:firstLine="480"/>
        <w:jc w:val="right"/>
        <w:rPr>
          <w:rFonts w:ascii="宋体" w:hAnsi="宋体" w:hint="eastAsia"/>
          <w:sz w:val="24"/>
          <w:szCs w:val="24"/>
        </w:rPr>
      </w:pPr>
      <w:r>
        <w:rPr>
          <w:rFonts w:ascii="宋体" w:hAnsi="宋体" w:hint="eastAsia"/>
          <w:sz w:val="24"/>
          <w:szCs w:val="24"/>
        </w:rPr>
        <w:t>银华基金管理股份有限公司</w:t>
      </w:r>
    </w:p>
    <w:p w:rsidR="001D697D" w:rsidRDefault="001D697D">
      <w:pPr>
        <w:widowControl/>
        <w:spacing w:line="460" w:lineRule="exact"/>
        <w:ind w:firstLineChars="200" w:firstLine="480"/>
        <w:jc w:val="right"/>
        <w:rPr>
          <w:rStyle w:val="a5"/>
          <w:rFonts w:ascii="宋体" w:hAnsi="宋体"/>
          <w:sz w:val="28"/>
          <w:szCs w:val="28"/>
        </w:rPr>
      </w:pPr>
      <w:r>
        <w:rPr>
          <w:rFonts w:ascii="宋体" w:hAnsi="宋体" w:hint="eastAsia"/>
          <w:sz w:val="24"/>
          <w:szCs w:val="24"/>
        </w:rPr>
        <w:t>20</w:t>
      </w:r>
      <w:r>
        <w:rPr>
          <w:rFonts w:ascii="宋体" w:hAnsi="宋体"/>
          <w:sz w:val="24"/>
          <w:szCs w:val="24"/>
        </w:rPr>
        <w:t>20</w:t>
      </w:r>
      <w:r>
        <w:rPr>
          <w:rFonts w:ascii="宋体" w:hAnsi="宋体" w:hint="eastAsia"/>
          <w:sz w:val="24"/>
          <w:szCs w:val="24"/>
        </w:rPr>
        <w:t>年</w:t>
      </w:r>
      <w:r w:rsidR="0079475E">
        <w:rPr>
          <w:rFonts w:ascii="宋体" w:hAnsi="宋体"/>
          <w:sz w:val="24"/>
          <w:szCs w:val="24"/>
        </w:rPr>
        <w:t>5</w:t>
      </w:r>
      <w:r>
        <w:rPr>
          <w:rFonts w:ascii="宋体" w:hAnsi="宋体" w:hint="eastAsia"/>
          <w:color w:val="000000"/>
          <w:sz w:val="24"/>
          <w:szCs w:val="24"/>
        </w:rPr>
        <w:t>月</w:t>
      </w:r>
      <w:r w:rsidR="0079475E">
        <w:rPr>
          <w:rFonts w:ascii="宋体" w:hAnsi="宋体"/>
          <w:color w:val="000000"/>
          <w:sz w:val="24"/>
          <w:szCs w:val="24"/>
        </w:rPr>
        <w:t>6</w:t>
      </w:r>
      <w:r>
        <w:rPr>
          <w:rFonts w:ascii="宋体" w:hAnsi="宋体" w:hint="eastAsia"/>
          <w:sz w:val="24"/>
          <w:szCs w:val="24"/>
        </w:rPr>
        <w:t>日</w:t>
      </w:r>
    </w:p>
    <w:sectPr w:rsidR="001D697D">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D52" w:rsidRDefault="00E00D52">
      <w:r>
        <w:separator/>
      </w:r>
    </w:p>
  </w:endnote>
  <w:endnote w:type="continuationSeparator" w:id="1">
    <w:p w:rsidR="00E00D52" w:rsidRDefault="00E0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D52" w:rsidRDefault="00E00D52">
      <w:r>
        <w:separator/>
      </w:r>
    </w:p>
  </w:footnote>
  <w:footnote w:type="continuationSeparator" w:id="1">
    <w:p w:rsidR="00E00D52" w:rsidRDefault="00E0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97D" w:rsidRDefault="001D697D">
    <w:pPr>
      <w:pStyle w:val="a4"/>
      <w:jc w:val="both"/>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银华中英文全称logo" style="width:201.75pt;height:43.5pt;mso-position-horizontal-relative:page;mso-position-vertical-relative:page">
          <v:imagedata r:id="rId1" o:title="银华中英文全称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7213"/>
    <w:rsid w:val="00013546"/>
    <w:rsid w:val="00026963"/>
    <w:rsid w:val="00044392"/>
    <w:rsid w:val="00045881"/>
    <w:rsid w:val="00070CCF"/>
    <w:rsid w:val="00070FFE"/>
    <w:rsid w:val="000A54F6"/>
    <w:rsid w:val="000B0E97"/>
    <w:rsid w:val="000B4CF7"/>
    <w:rsid w:val="000B600E"/>
    <w:rsid w:val="000C0EDA"/>
    <w:rsid w:val="000C4988"/>
    <w:rsid w:val="000D3B51"/>
    <w:rsid w:val="0010043B"/>
    <w:rsid w:val="001014C6"/>
    <w:rsid w:val="001139D4"/>
    <w:rsid w:val="00131A41"/>
    <w:rsid w:val="00136C10"/>
    <w:rsid w:val="001437B5"/>
    <w:rsid w:val="00156574"/>
    <w:rsid w:val="00167F4E"/>
    <w:rsid w:val="00176D6E"/>
    <w:rsid w:val="001800A9"/>
    <w:rsid w:val="001C610E"/>
    <w:rsid w:val="001D697D"/>
    <w:rsid w:val="001D74A2"/>
    <w:rsid w:val="0022649A"/>
    <w:rsid w:val="00245EFB"/>
    <w:rsid w:val="00246920"/>
    <w:rsid w:val="00282251"/>
    <w:rsid w:val="00287FF2"/>
    <w:rsid w:val="002C533A"/>
    <w:rsid w:val="002F60B2"/>
    <w:rsid w:val="00314654"/>
    <w:rsid w:val="0031734F"/>
    <w:rsid w:val="00327E2B"/>
    <w:rsid w:val="00346EC8"/>
    <w:rsid w:val="003725CA"/>
    <w:rsid w:val="003A1A0F"/>
    <w:rsid w:val="003A3F39"/>
    <w:rsid w:val="003B1ED9"/>
    <w:rsid w:val="003F5B22"/>
    <w:rsid w:val="00404865"/>
    <w:rsid w:val="00406A48"/>
    <w:rsid w:val="00427124"/>
    <w:rsid w:val="00436B26"/>
    <w:rsid w:val="00465C0F"/>
    <w:rsid w:val="00485B8C"/>
    <w:rsid w:val="004A24EF"/>
    <w:rsid w:val="004A2B5E"/>
    <w:rsid w:val="004B4799"/>
    <w:rsid w:val="004D43F8"/>
    <w:rsid w:val="004E2243"/>
    <w:rsid w:val="004E5EE1"/>
    <w:rsid w:val="004F3C15"/>
    <w:rsid w:val="00571EBE"/>
    <w:rsid w:val="00590BF6"/>
    <w:rsid w:val="005A16FE"/>
    <w:rsid w:val="005A198E"/>
    <w:rsid w:val="005B403B"/>
    <w:rsid w:val="005B798F"/>
    <w:rsid w:val="005C48D3"/>
    <w:rsid w:val="005D0603"/>
    <w:rsid w:val="005D1232"/>
    <w:rsid w:val="005D7148"/>
    <w:rsid w:val="005E6556"/>
    <w:rsid w:val="005F0450"/>
    <w:rsid w:val="006011E4"/>
    <w:rsid w:val="00614DB0"/>
    <w:rsid w:val="00622627"/>
    <w:rsid w:val="00626B42"/>
    <w:rsid w:val="00631C6C"/>
    <w:rsid w:val="006760A0"/>
    <w:rsid w:val="00681125"/>
    <w:rsid w:val="00681A72"/>
    <w:rsid w:val="006E2D87"/>
    <w:rsid w:val="007046CD"/>
    <w:rsid w:val="00705CB6"/>
    <w:rsid w:val="00705F5C"/>
    <w:rsid w:val="00727CD6"/>
    <w:rsid w:val="0076335C"/>
    <w:rsid w:val="00775452"/>
    <w:rsid w:val="0079470E"/>
    <w:rsid w:val="0079475E"/>
    <w:rsid w:val="007C496B"/>
    <w:rsid w:val="007C6B7B"/>
    <w:rsid w:val="007E57F6"/>
    <w:rsid w:val="007F335E"/>
    <w:rsid w:val="007F394E"/>
    <w:rsid w:val="00826B20"/>
    <w:rsid w:val="00842DFF"/>
    <w:rsid w:val="00847861"/>
    <w:rsid w:val="00850479"/>
    <w:rsid w:val="008510BF"/>
    <w:rsid w:val="00854CE5"/>
    <w:rsid w:val="00863935"/>
    <w:rsid w:val="008748E4"/>
    <w:rsid w:val="00883D66"/>
    <w:rsid w:val="00885376"/>
    <w:rsid w:val="008A2C9B"/>
    <w:rsid w:val="008B6276"/>
    <w:rsid w:val="008B653A"/>
    <w:rsid w:val="008C0627"/>
    <w:rsid w:val="008D5BBB"/>
    <w:rsid w:val="008E614E"/>
    <w:rsid w:val="008F3165"/>
    <w:rsid w:val="00900C21"/>
    <w:rsid w:val="0091087F"/>
    <w:rsid w:val="009358A7"/>
    <w:rsid w:val="009674FC"/>
    <w:rsid w:val="00995DC9"/>
    <w:rsid w:val="009A5CFA"/>
    <w:rsid w:val="009B2877"/>
    <w:rsid w:val="009B341E"/>
    <w:rsid w:val="009C13B4"/>
    <w:rsid w:val="009D63C1"/>
    <w:rsid w:val="009D6FA7"/>
    <w:rsid w:val="009E01CB"/>
    <w:rsid w:val="009F5DD2"/>
    <w:rsid w:val="00A03DD2"/>
    <w:rsid w:val="00A177CA"/>
    <w:rsid w:val="00A259D0"/>
    <w:rsid w:val="00A27860"/>
    <w:rsid w:val="00A35DFB"/>
    <w:rsid w:val="00A365B5"/>
    <w:rsid w:val="00A46ECD"/>
    <w:rsid w:val="00A53A7E"/>
    <w:rsid w:val="00A602A9"/>
    <w:rsid w:val="00A620A7"/>
    <w:rsid w:val="00A91E77"/>
    <w:rsid w:val="00AB1443"/>
    <w:rsid w:val="00AB543B"/>
    <w:rsid w:val="00AC0DD2"/>
    <w:rsid w:val="00AC3AB3"/>
    <w:rsid w:val="00AC4ECE"/>
    <w:rsid w:val="00AD4913"/>
    <w:rsid w:val="00AE348D"/>
    <w:rsid w:val="00B05A2A"/>
    <w:rsid w:val="00B05AA0"/>
    <w:rsid w:val="00B05B68"/>
    <w:rsid w:val="00B06ED5"/>
    <w:rsid w:val="00B22072"/>
    <w:rsid w:val="00B26D4C"/>
    <w:rsid w:val="00B311E5"/>
    <w:rsid w:val="00B70FFB"/>
    <w:rsid w:val="00B858B2"/>
    <w:rsid w:val="00B869B0"/>
    <w:rsid w:val="00B87DA9"/>
    <w:rsid w:val="00B94767"/>
    <w:rsid w:val="00BB3452"/>
    <w:rsid w:val="00BD6D82"/>
    <w:rsid w:val="00BE56BE"/>
    <w:rsid w:val="00BF5969"/>
    <w:rsid w:val="00C10896"/>
    <w:rsid w:val="00C15C86"/>
    <w:rsid w:val="00C33583"/>
    <w:rsid w:val="00C40220"/>
    <w:rsid w:val="00C40358"/>
    <w:rsid w:val="00C50F48"/>
    <w:rsid w:val="00C51C63"/>
    <w:rsid w:val="00C57CFE"/>
    <w:rsid w:val="00C57E2D"/>
    <w:rsid w:val="00C75D7A"/>
    <w:rsid w:val="00C77F0A"/>
    <w:rsid w:val="00CA090B"/>
    <w:rsid w:val="00CA2EB4"/>
    <w:rsid w:val="00CB0550"/>
    <w:rsid w:val="00CB464C"/>
    <w:rsid w:val="00CC234C"/>
    <w:rsid w:val="00CF3FF6"/>
    <w:rsid w:val="00CF4C30"/>
    <w:rsid w:val="00D06A1F"/>
    <w:rsid w:val="00D23D02"/>
    <w:rsid w:val="00D24DC6"/>
    <w:rsid w:val="00D30741"/>
    <w:rsid w:val="00D50140"/>
    <w:rsid w:val="00D53608"/>
    <w:rsid w:val="00D57F4E"/>
    <w:rsid w:val="00D72CEE"/>
    <w:rsid w:val="00D813C8"/>
    <w:rsid w:val="00D86047"/>
    <w:rsid w:val="00DA43FE"/>
    <w:rsid w:val="00DA6B71"/>
    <w:rsid w:val="00DB6B19"/>
    <w:rsid w:val="00DB7213"/>
    <w:rsid w:val="00DC119E"/>
    <w:rsid w:val="00DD355E"/>
    <w:rsid w:val="00DD447B"/>
    <w:rsid w:val="00DE0558"/>
    <w:rsid w:val="00DE7E5A"/>
    <w:rsid w:val="00DF0D3D"/>
    <w:rsid w:val="00DF28F3"/>
    <w:rsid w:val="00DF6A01"/>
    <w:rsid w:val="00E00D52"/>
    <w:rsid w:val="00E0439F"/>
    <w:rsid w:val="00E124BF"/>
    <w:rsid w:val="00E32E3B"/>
    <w:rsid w:val="00E52A1F"/>
    <w:rsid w:val="00E56E9B"/>
    <w:rsid w:val="00E60E4E"/>
    <w:rsid w:val="00E61651"/>
    <w:rsid w:val="00E77957"/>
    <w:rsid w:val="00E8623C"/>
    <w:rsid w:val="00E90702"/>
    <w:rsid w:val="00E92243"/>
    <w:rsid w:val="00EA64B0"/>
    <w:rsid w:val="00EB0FA2"/>
    <w:rsid w:val="00EE21B7"/>
    <w:rsid w:val="00F23548"/>
    <w:rsid w:val="00F370EA"/>
    <w:rsid w:val="00F4182A"/>
    <w:rsid w:val="00F4360B"/>
    <w:rsid w:val="00F51C0E"/>
    <w:rsid w:val="00F54C59"/>
    <w:rsid w:val="00F74CB5"/>
    <w:rsid w:val="00FB399C"/>
    <w:rsid w:val="00FD561D"/>
    <w:rsid w:val="00FE0523"/>
    <w:rsid w:val="00FE2DC8"/>
    <w:rsid w:val="00FE6559"/>
    <w:rsid w:val="68D95C1B"/>
    <w:rsid w:val="6BF208F1"/>
    <w:rsid w:val="78B07C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页眉 Char"/>
    <w:link w:val="a4"/>
    <w:uiPriority w:val="99"/>
    <w:rPr>
      <w:kern w:val="2"/>
      <w:sz w:val="18"/>
      <w:szCs w:val="18"/>
    </w:rPr>
  </w:style>
  <w:style w:type="character" w:styleId="a5">
    <w:name w:val="Strong"/>
    <w:qFormat/>
    <w:rPr>
      <w:b/>
      <w:bCs/>
    </w:rPr>
  </w:style>
  <w:style w:type="character" w:styleId="a6">
    <w:name w:val="Hyperlink"/>
    <w:rPr>
      <w:color w:val="0000FF"/>
      <w:u w:val="single"/>
    </w:rPr>
  </w:style>
  <w:style w:type="character" w:styleId="a7">
    <w:name w:val="annotation reference"/>
    <w:semiHidden/>
    <w:rPr>
      <w:sz w:val="21"/>
      <w:szCs w:val="21"/>
    </w:rPr>
  </w:style>
  <w:style w:type="character" w:customStyle="1" w:styleId="apple-style-span">
    <w:name w:val="apple-style-span"/>
    <w:basedOn w:val="a0"/>
  </w:style>
  <w:style w:type="paragraph" w:styleId="a3">
    <w:name w:val="footer"/>
    <w:basedOn w:val="a"/>
    <w:link w:val="Char"/>
    <w:pPr>
      <w:tabs>
        <w:tab w:val="center" w:pos="4153"/>
        <w:tab w:val="right" w:pos="8306"/>
      </w:tabs>
      <w:snapToGrid w:val="0"/>
      <w:jc w:val="left"/>
    </w:pPr>
    <w:rPr>
      <w:sz w:val="18"/>
      <w:szCs w:val="18"/>
    </w:rPr>
  </w:style>
  <w:style w:type="paragraph" w:styleId="a8">
    <w:name w:val="annotation text"/>
    <w:basedOn w:val="a"/>
    <w:semiHidden/>
    <w:pPr>
      <w:jc w:val="left"/>
    </w:pPr>
  </w:style>
  <w:style w:type="paragraph" w:styleId="a9">
    <w:name w:val="Normal (Web)"/>
    <w:basedOn w:val="a"/>
    <w:pPr>
      <w:widowControl/>
      <w:spacing w:before="100" w:beforeAutospacing="1" w:after="100" w:afterAutospacing="1"/>
      <w:jc w:val="left"/>
    </w:pPr>
    <w:rPr>
      <w:rFonts w:ascii="宋体" w:hAnsi="宋体" w:cs="宋体"/>
      <w:kern w:val="0"/>
      <w:sz w:val="24"/>
      <w:szCs w:val="24"/>
    </w:rPr>
  </w:style>
  <w:style w:type="paragraph" w:styleId="aa">
    <w:name w:val="Balloon Text"/>
    <w:basedOn w:val="a"/>
    <w:semiHidden/>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b">
    <w:name w:val="annotation subject"/>
    <w:basedOn w:val="a8"/>
    <w:next w:val="a8"/>
    <w:semiHidden/>
    <w:rPr>
      <w:b/>
      <w:bCs/>
    </w:rPr>
  </w:style>
  <w:style w:type="paragraph" w:customStyle="1" w:styleId="default">
    <w:name w:val="default"/>
    <w:basedOn w:val="a"/>
    <w:pPr>
      <w:widowControl/>
      <w:autoSpaceDE w:val="0"/>
      <w:autoSpaceDN w:val="0"/>
      <w:jc w:val="left"/>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hfun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1022</Characters>
  <Application>Microsoft Office Word</Application>
  <DocSecurity>4</DocSecurity>
  <Lines>8</Lines>
  <Paragraphs>2</Paragraphs>
  <ScaleCrop>false</ScaleCrop>
  <Company>yhjj</Company>
  <LinksUpToDate>false</LinksUpToDate>
  <CharactersWithSpaces>1199</CharactersWithSpaces>
  <SharedDoc>false</SharedDoc>
  <HLinks>
    <vt:vector size="6" baseType="variant">
      <vt:variant>
        <vt:i4>5963844</vt:i4>
      </vt:variant>
      <vt:variant>
        <vt:i4>0</vt:i4>
      </vt:variant>
      <vt:variant>
        <vt:i4>0</vt:i4>
      </vt:variant>
      <vt:variant>
        <vt:i4>5</vt:i4>
      </vt:variant>
      <vt:variant>
        <vt:lpwstr>http://www.yhfund.com.cn/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yh</dc:creator>
  <cp:keywords/>
  <cp:lastModifiedBy>JonMMx 2000</cp:lastModifiedBy>
  <cp:revision>2</cp:revision>
  <cp:lastPrinted>2018-05-30T07:25:00Z</cp:lastPrinted>
  <dcterms:created xsi:type="dcterms:W3CDTF">2020-05-05T16:07:00Z</dcterms:created>
  <dcterms:modified xsi:type="dcterms:W3CDTF">2020-05-05T16:07:00Z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