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F" w:rsidRDefault="00AA7045" w:rsidP="0043236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8060AE">
        <w:rPr>
          <w:rFonts w:hint="eastAsia"/>
          <w:b/>
          <w:sz w:val="44"/>
          <w:szCs w:val="30"/>
        </w:rPr>
        <w:t>关于新增</w:t>
      </w:r>
      <w:r w:rsidR="00A26F4B">
        <w:rPr>
          <w:rFonts w:hint="eastAsia"/>
          <w:b/>
          <w:sz w:val="44"/>
          <w:szCs w:val="30"/>
        </w:rPr>
        <w:t>中信证券华南</w:t>
      </w:r>
      <w:r w:rsidRPr="008060AE">
        <w:rPr>
          <w:rFonts w:hint="eastAsia"/>
          <w:b/>
          <w:sz w:val="44"/>
          <w:szCs w:val="30"/>
        </w:rPr>
        <w:t>为</w:t>
      </w:r>
      <w:r w:rsidR="002908C6" w:rsidRPr="002908C6">
        <w:rPr>
          <w:rFonts w:hint="eastAsia"/>
          <w:b/>
          <w:sz w:val="44"/>
          <w:szCs w:val="30"/>
        </w:rPr>
        <w:t>建信</w:t>
      </w:r>
      <w:r w:rsidR="008B30E1">
        <w:rPr>
          <w:rFonts w:hint="eastAsia"/>
          <w:b/>
          <w:sz w:val="44"/>
          <w:szCs w:val="30"/>
        </w:rPr>
        <w:t>旗下</w:t>
      </w:r>
    </w:p>
    <w:p w:rsidR="00432365" w:rsidRPr="00432365" w:rsidRDefault="008B30E1" w:rsidP="00432365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部分</w:t>
      </w:r>
      <w:r w:rsidR="002908C6" w:rsidRPr="002908C6">
        <w:rPr>
          <w:rFonts w:hint="eastAsia"/>
          <w:b/>
          <w:sz w:val="44"/>
          <w:szCs w:val="30"/>
        </w:rPr>
        <w:t>基金</w:t>
      </w:r>
      <w:r w:rsidR="00E62A11" w:rsidRPr="006E20A3">
        <w:rPr>
          <w:rFonts w:hint="eastAsia"/>
          <w:b/>
          <w:sz w:val="44"/>
          <w:szCs w:val="30"/>
        </w:rPr>
        <w:t>销售机构</w:t>
      </w:r>
      <w:r w:rsidR="00AB4CE6" w:rsidRPr="008060AE">
        <w:rPr>
          <w:rFonts w:hint="eastAsia"/>
          <w:b/>
          <w:sz w:val="44"/>
          <w:szCs w:val="30"/>
        </w:rPr>
        <w:t>的</w:t>
      </w:r>
      <w:r w:rsidR="00AA7045" w:rsidRPr="008060AE">
        <w:rPr>
          <w:rFonts w:hint="eastAsia"/>
          <w:b/>
          <w:sz w:val="44"/>
          <w:szCs w:val="30"/>
        </w:rPr>
        <w:t>公告</w:t>
      </w:r>
    </w:p>
    <w:p w:rsidR="00AA7045" w:rsidRPr="00E62A11" w:rsidRDefault="00AA7045" w:rsidP="008060AE">
      <w:pPr>
        <w:jc w:val="center"/>
        <w:rPr>
          <w:b/>
          <w:sz w:val="44"/>
          <w:szCs w:val="30"/>
        </w:rPr>
      </w:pP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8060AE" w:rsidRDefault="000913F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>根据建信基金管理有限责任公司（以下简称“本公司”）与</w:t>
      </w:r>
      <w:r w:rsidR="00A26F4B" w:rsidRPr="00A26F4B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中信证券华南股份有限公司</w:t>
      </w:r>
      <w:r w:rsidR="007777AB">
        <w:rPr>
          <w:rFonts w:ascii="彩虹粗仿宋" w:eastAsia="彩虹粗仿宋" w:hAnsi="inherit" w:cs="宋体" w:hint="eastAsia"/>
          <w:kern w:val="0"/>
          <w:sz w:val="32"/>
          <w:szCs w:val="32"/>
        </w:rPr>
        <w:t>（</w:t>
      </w:r>
      <w:r w:rsidR="008B30E1">
        <w:rPr>
          <w:rFonts w:ascii="彩虹粗仿宋" w:eastAsia="彩虹粗仿宋" w:hint="eastAsia"/>
          <w:sz w:val="32"/>
          <w:szCs w:val="32"/>
        </w:rPr>
        <w:t>以下简称“</w:t>
      </w:r>
      <w:r w:rsidR="00A26F4B" w:rsidRPr="00A26F4B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</w:t>
      </w:r>
      <w:r w:rsidR="007777AB" w:rsidRPr="008060AE">
        <w:rPr>
          <w:rFonts w:ascii="彩虹粗仿宋" w:eastAsia="彩虹粗仿宋" w:hint="eastAsia"/>
          <w:sz w:val="32"/>
          <w:szCs w:val="32"/>
        </w:rPr>
        <w:t>”</w:t>
      </w:r>
      <w:r w:rsidR="007777AB">
        <w:rPr>
          <w:rFonts w:ascii="彩虹粗仿宋" w:eastAsia="彩虹粗仿宋" w:hAnsi="inherit" w:cs="宋体" w:hint="eastAsia"/>
          <w:kern w:val="0"/>
          <w:sz w:val="32"/>
          <w:szCs w:val="32"/>
        </w:rPr>
        <w:t>）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A26F4B">
        <w:rPr>
          <w:rFonts w:ascii="彩虹粗仿宋" w:eastAsia="彩虹粗仿宋" w:hint="eastAsia"/>
          <w:sz w:val="32"/>
          <w:szCs w:val="32"/>
        </w:rPr>
        <w:t>2020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39187F">
        <w:rPr>
          <w:rFonts w:ascii="彩虹粗仿宋" w:eastAsia="彩虹粗仿宋" w:hint="eastAsia"/>
          <w:sz w:val="32"/>
          <w:szCs w:val="32"/>
        </w:rPr>
        <w:t>5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39187F">
        <w:rPr>
          <w:rFonts w:ascii="彩虹粗仿宋" w:eastAsia="彩虹粗仿宋" w:hint="eastAsia"/>
          <w:sz w:val="32"/>
          <w:szCs w:val="32"/>
        </w:rPr>
        <w:t>6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A26F4B" w:rsidRPr="00A26F4B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 xml:space="preserve">： </w:t>
      </w:r>
    </w:p>
    <w:tbl>
      <w:tblPr>
        <w:tblStyle w:val="a8"/>
        <w:tblW w:w="9781" w:type="dxa"/>
        <w:tblInd w:w="-601" w:type="dxa"/>
        <w:tblLook w:val="04A0"/>
      </w:tblPr>
      <w:tblGrid>
        <w:gridCol w:w="851"/>
        <w:gridCol w:w="1701"/>
        <w:gridCol w:w="4536"/>
        <w:gridCol w:w="2693"/>
      </w:tblGrid>
      <w:tr w:rsidR="00A26F4B" w:rsidRPr="00A26F4B" w:rsidTr="00E62A11">
        <w:tc>
          <w:tcPr>
            <w:tcW w:w="851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基金代码</w:t>
            </w:r>
          </w:p>
        </w:tc>
        <w:tc>
          <w:tcPr>
            <w:tcW w:w="4536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基金全称</w:t>
            </w:r>
          </w:p>
        </w:tc>
        <w:tc>
          <w:tcPr>
            <w:tcW w:w="2693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证券简称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000207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建信双债增强债券型证券投资基金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建信双债增强A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000208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建信双债增强债券型证券投资基金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建信双债增强C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000723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建信稳定添利债券型证券投资基金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建信稳定添利C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001304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建信鑫安回报灵活配置混合型证券投资基金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建信鑫安回报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001396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建信互联网+产业升级股票型证券投资基金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建信互联网+产业升级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001397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建信精工制造指数增强型证券投资基金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建信精工制造指数增强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001473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建信大安全战略精选股票型证券投资基金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建信大安全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001825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建信中国制造2025股票型证券投资基金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建信中国制造2025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002377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建信睿怡纯债债券型证券投资基金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建信睿怡纯债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003319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建信瑞丰添利混合型证券投资基金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建信瑞丰添利A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003320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建信瑞丰添利混合型证券投资基金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建信瑞丰添利C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003391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建信天添益货币市场基金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建信天添益A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003393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建信天添益货币市场基金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建信天添益C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004546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建信量化优享定期开放灵活配置混合型证券投资基金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建信量化优享定开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004617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建信鑫稳回报灵活配置混合型证券投资基金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建信鑫稳回报A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004618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建信鑫稳回报灵活配置混合型证券投资基金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建信鑫稳回报C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004683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建信高端医疗股票型证券投资基金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建信高端医疗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005259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建信龙头企业股票型证券投资基金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建信龙头企业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005596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建信战略精选灵活配置混合型证券投资基金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建信战略精选A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005597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建信战略精选灵活配置混合型证券投资基金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建信战略精选C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005874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建信创业板交易型开放式指数证券投资基金发起式联接基金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建信创业板ETF联接C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005880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建信上证50交易型开放式指数证券投资基金发起式联接基金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建信上证50ETF联接A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005881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建信上证50交易型开放式指数证券</w:t>
            </w: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投资基金发起式联接基金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建信上证50ETF联</w:t>
            </w: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接C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006581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建信优享稳健养老目标一年持有期混合型基金中基金(FOF)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建信优享稳健养老一年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006989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建信中短债纯债债券型证券投资基金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建信中短债纯债A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006990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建信中短债纯债债券型证券投资基金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建信中短债纯债C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007026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建信中债1-3年国开行债券指数证券投资基金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建信中债1-3年国开行A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007027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建信中债1-3年国开行债券指数证券投资基金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建信中债1-3年国开行C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007080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建信中债5-10年国开行债券指数证券投资基金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建信中债5-10年国开行A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007081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建信中债5-10年国开行债券指数证券投资基金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建信中债5-10年国开行C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007094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建信中债3-5年国开行债券指数证券投资基金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建信中债3-5年国开行A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007095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建信中债3-5年国开行债券指数证券投资基金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建信中债3-5年国开行C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007671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建信中证红利潜力指数证券投资基金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建信中证红利潜力指数A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007672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建信中证红利潜力指数证券投资基金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建信中证红利潜力指数C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007699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建信荣禧一年定期开放债券型证券投资基金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建信荣禧一年定开债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007830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建信荣瑞一年定期开放债券型证券投资基金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建信荣瑞一年定开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008022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建信短债债券型证券投资基金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建信短债F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008962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建信科技创新混合型证券投资基金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建信科技创新A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008963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建信科技创新混合型证券投资基金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建信科技创新C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530028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建信短债债券型证券投资基金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建信短债C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531017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建信双息红利债券型证券投资基金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建信双息红利C</w:t>
            </w:r>
          </w:p>
        </w:tc>
      </w:tr>
      <w:tr w:rsidR="00A26F4B" w:rsidTr="00E62A11">
        <w:tc>
          <w:tcPr>
            <w:tcW w:w="851" w:type="dxa"/>
            <w:vAlign w:val="center"/>
          </w:tcPr>
          <w:p w:rsidR="00A26F4B" w:rsidRPr="00E62A11" w:rsidRDefault="00A26F4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531028</w:t>
            </w:r>
          </w:p>
        </w:tc>
        <w:tc>
          <w:tcPr>
            <w:tcW w:w="4536" w:type="dxa"/>
            <w:vAlign w:val="center"/>
          </w:tcPr>
          <w:p w:rsidR="00A26F4B" w:rsidRPr="00E62A11" w:rsidRDefault="00A26F4B">
            <w:pPr>
              <w:rPr>
                <w:rFonts w:ascii="仿宋" w:eastAsia="仿宋" w:hAnsi="仿宋" w:cs="宋体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建信短债债券型证券投资基金</w:t>
            </w:r>
          </w:p>
        </w:tc>
        <w:tc>
          <w:tcPr>
            <w:tcW w:w="2693" w:type="dxa"/>
            <w:vAlign w:val="center"/>
          </w:tcPr>
          <w:p w:rsidR="00A26F4B" w:rsidRPr="00E62A11" w:rsidRDefault="00A26F4B">
            <w:pPr>
              <w:rPr>
                <w:rFonts w:ascii="仿宋" w:eastAsia="仿宋" w:hAnsi="仿宋"/>
                <w:color w:val="000000"/>
                <w:sz w:val="28"/>
              </w:rPr>
            </w:pPr>
            <w:r w:rsidRPr="00E62A11">
              <w:rPr>
                <w:rFonts w:ascii="仿宋" w:eastAsia="仿宋" w:hAnsi="仿宋" w:hint="eastAsia"/>
                <w:color w:val="000000"/>
                <w:sz w:val="28"/>
              </w:rPr>
              <w:t>建信短债A</w:t>
            </w:r>
          </w:p>
        </w:tc>
      </w:tr>
    </w:tbl>
    <w:p w:rsidR="00E62A11" w:rsidRDefault="00E62A11" w:rsidP="0039187F">
      <w:pPr>
        <w:spacing w:line="360" w:lineRule="auto"/>
        <w:rPr>
          <w:sz w:val="28"/>
          <w:szCs w:val="28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E62A11">
        <w:rPr>
          <w:rFonts w:ascii="彩虹粗仿宋" w:eastAsia="彩虹粗仿宋" w:hint="eastAsia"/>
          <w:sz w:val="32"/>
          <w:szCs w:val="32"/>
        </w:rPr>
        <w:t>2020</w:t>
      </w:r>
      <w:r w:rsidR="00763DF8" w:rsidRPr="008060AE">
        <w:rPr>
          <w:rFonts w:ascii="彩虹粗仿宋" w:eastAsia="彩虹粗仿宋" w:hint="eastAsia"/>
          <w:sz w:val="32"/>
          <w:szCs w:val="32"/>
        </w:rPr>
        <w:t>年</w:t>
      </w:r>
      <w:r w:rsidR="0039187F">
        <w:rPr>
          <w:rFonts w:ascii="彩虹粗仿宋" w:eastAsia="彩虹粗仿宋" w:hint="eastAsia"/>
          <w:sz w:val="32"/>
          <w:szCs w:val="32"/>
        </w:rPr>
        <w:t>5</w:t>
      </w:r>
      <w:r w:rsidR="00763DF8" w:rsidRPr="008060AE">
        <w:rPr>
          <w:rFonts w:ascii="彩虹粗仿宋" w:eastAsia="彩虹粗仿宋" w:hint="eastAsia"/>
          <w:sz w:val="32"/>
          <w:szCs w:val="32"/>
        </w:rPr>
        <w:t>月</w:t>
      </w:r>
      <w:r w:rsidR="0039187F">
        <w:rPr>
          <w:rFonts w:ascii="彩虹粗仿宋" w:eastAsia="彩虹粗仿宋" w:hint="eastAsia"/>
          <w:sz w:val="32"/>
          <w:szCs w:val="32"/>
        </w:rPr>
        <w:t>6</w:t>
      </w:r>
      <w:r w:rsidR="00763DF8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A26F4B">
        <w:rPr>
          <w:rFonts w:ascii="彩虹粗仿宋" w:eastAsia="彩虹粗仿宋" w:hint="eastAsia"/>
          <w:sz w:val="32"/>
          <w:szCs w:val="32"/>
        </w:rPr>
        <w:t>中信证券华南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E62A11">
        <w:rPr>
          <w:rFonts w:ascii="彩虹粗仿宋" w:eastAsia="彩虹粗仿宋" w:hint="eastAsia"/>
          <w:sz w:val="32"/>
          <w:szCs w:val="32"/>
        </w:rPr>
        <w:t>以上</w:t>
      </w:r>
      <w:r w:rsidR="00A33848">
        <w:rPr>
          <w:rFonts w:ascii="彩虹粗仿宋" w:eastAsia="彩虹粗仿宋" w:hint="eastAsia"/>
          <w:sz w:val="32"/>
          <w:szCs w:val="32"/>
        </w:rPr>
        <w:t>基金的开户、申购、赎回</w:t>
      </w:r>
      <w:r w:rsidR="00E62A11">
        <w:rPr>
          <w:rFonts w:ascii="彩虹粗仿宋" w:eastAsia="彩虹粗仿宋" w:hint="eastAsia"/>
          <w:sz w:val="32"/>
          <w:szCs w:val="32"/>
        </w:rPr>
        <w:t>等</w:t>
      </w:r>
      <w:r>
        <w:rPr>
          <w:rFonts w:ascii="彩虹粗仿宋" w:eastAsia="彩虹粗仿宋" w:hint="eastAsia"/>
          <w:sz w:val="32"/>
          <w:szCs w:val="32"/>
        </w:rPr>
        <w:t>业务，具体业务的办理请参照本公司及</w:t>
      </w:r>
      <w:r w:rsidR="00A26F4B">
        <w:rPr>
          <w:rFonts w:ascii="彩虹粗仿宋" w:eastAsia="彩虹粗仿宋" w:hint="eastAsia"/>
          <w:sz w:val="32"/>
          <w:szCs w:val="32"/>
        </w:rPr>
        <w:t>中信证券华南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的相关业务规则和流程。投资者欲了解基金产品的详细情况，请仔细阅读基金产品的基金合同、招募说明书等法律文件。</w:t>
      </w:r>
    </w:p>
    <w:p w:rsidR="0039187F" w:rsidRPr="00CF0238" w:rsidRDefault="0039187F" w:rsidP="0039187F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CF0238">
        <w:rPr>
          <w:rFonts w:ascii="彩虹粗仿宋" w:eastAsia="彩虹粗仿宋" w:hint="eastAsia"/>
          <w:sz w:val="32"/>
          <w:szCs w:val="32"/>
        </w:rPr>
        <w:t>本公司在</w:t>
      </w:r>
      <w:r>
        <w:rPr>
          <w:rFonts w:ascii="彩虹粗仿宋" w:eastAsia="彩虹粗仿宋" w:hint="eastAsia"/>
          <w:sz w:val="32"/>
          <w:szCs w:val="32"/>
        </w:rPr>
        <w:t>中信证券华南</w:t>
      </w:r>
      <w:r w:rsidRPr="00CF0238">
        <w:rPr>
          <w:rFonts w:ascii="彩虹粗仿宋" w:eastAsia="彩虹粗仿宋" w:hint="eastAsia"/>
          <w:sz w:val="32"/>
          <w:szCs w:val="32"/>
        </w:rPr>
        <w:t>有以下基金目前不支持转换业务，具体名单如下：</w:t>
      </w:r>
    </w:p>
    <w:tbl>
      <w:tblPr>
        <w:tblW w:w="8820" w:type="dxa"/>
        <w:tblInd w:w="93" w:type="dxa"/>
        <w:tblLook w:val="04A0"/>
      </w:tblPr>
      <w:tblGrid>
        <w:gridCol w:w="951"/>
        <w:gridCol w:w="4940"/>
        <w:gridCol w:w="3004"/>
      </w:tblGrid>
      <w:tr w:rsidR="0039187F" w:rsidRPr="006E4B14" w:rsidTr="00936917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F" w:rsidRPr="006E4B14" w:rsidRDefault="0039187F" w:rsidP="0093691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F" w:rsidRPr="006E4B14" w:rsidRDefault="0039187F" w:rsidP="0093691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7F" w:rsidRPr="006E4B14" w:rsidRDefault="0039187F" w:rsidP="0093691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证券简称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000346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建信安心回报6个月定期开放债券型证券投资基金A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建信安心回报6个月定期开放债券A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000347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建信安心回报6个月定期开放债券型证券投资基金C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建信安心回报6个月定期开放债券C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001304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建信鑫安回报灵活配置混合型证券投资基金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建信鑫安回报灵活配置混合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001408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建信鑫丰回报灵活配置混合型证券投资基金A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建信鑫丰回报灵活配置混合A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002141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建信鑫丰回报灵活配置混合型证券投资基金C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建信鑫丰回报灵活配置混合C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003022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建信现金添益交易型货币市场基金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建信现金添益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005217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建信福泽安泰混合型基金中基金（FOF）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建信福泽安泰混合（FOF）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006581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建信优享稳健养老目标一年持有期混合型基金中基金(FOF)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建信优享稳健养老目标一年持有期混合型(FOF)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建信沪深300指数证券投资基金（LOF）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建信沪深300指数（LOF）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建信双利策略主题分级股票型证券投资基金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建信双利分级股票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建信信用增强债券型证券投资基金A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建信信用增强债券A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建信央视财经50指数分级发起式证券投资基金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建信央视50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建信优势动力混合型证券投资基金（LOF）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建信优势动力混合（LOF）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建信信用增强债券型证券投资基金C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 xml:space="preserve">建信信用增强债券C 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165317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建信丰裕多策略灵活配置混合型证券投资基金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建信丰裕多策略灵活配置混合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501105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建信中证政策性金融债8-10年指数证券投资基金（LOF）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建信中证政策性金融债8-10年指数（LOF）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539001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建信全球机遇混合型证券投资基金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建信全球机遇混合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539002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建信新兴市场优选混合型证券投资基金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建信新兴市场混合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6E4B14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539003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B409FF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建信富时100指数型证券投资基金A人民币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B409FF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建信富时100指数A人民币</w:t>
            </w:r>
          </w:p>
        </w:tc>
      </w:tr>
      <w:tr w:rsidR="0039187F" w:rsidRPr="006E4B14" w:rsidTr="00936917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B409FF"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  <w:t>008706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B409FF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建信富时100指数型证券投资基金C人民币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87F" w:rsidRPr="006E4B14" w:rsidRDefault="0039187F" w:rsidP="00936917">
            <w:pPr>
              <w:rPr>
                <w:rFonts w:ascii="彩虹粗仿宋" w:eastAsia="彩虹粗仿宋" w:hAnsi="宋体" w:cs="宋体"/>
                <w:color w:val="000000"/>
                <w:kern w:val="0"/>
                <w:sz w:val="22"/>
              </w:rPr>
            </w:pPr>
            <w:r w:rsidRPr="00B409FF">
              <w:rPr>
                <w:rFonts w:ascii="彩虹粗仿宋" w:eastAsia="彩虹粗仿宋" w:hAnsi="宋体" w:cs="宋体" w:hint="eastAsia"/>
                <w:color w:val="000000"/>
                <w:kern w:val="0"/>
                <w:sz w:val="22"/>
              </w:rPr>
              <w:t>建信富时100指数C人民币</w:t>
            </w:r>
          </w:p>
        </w:tc>
      </w:tr>
    </w:tbl>
    <w:p w:rsidR="00DE3005" w:rsidRPr="0039187F" w:rsidRDefault="00DE3005" w:rsidP="0048192B">
      <w:pPr>
        <w:spacing w:line="360" w:lineRule="auto"/>
        <w:ind w:firstLineChars="200" w:firstLine="640"/>
        <w:rPr>
          <w:rFonts w:ascii="彩虹粗仿宋" w:eastAsia="彩虹粗仿宋"/>
          <w:b/>
          <w:sz w:val="32"/>
          <w:szCs w:val="32"/>
        </w:rPr>
      </w:pPr>
    </w:p>
    <w:p w:rsidR="00CD4FD4" w:rsidRPr="00D06AD9" w:rsidRDefault="00CD4FD4" w:rsidP="00CD4FD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E62A11" w:rsidRPr="00F6743D" w:rsidRDefault="00E62A11" w:rsidP="00E62A11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5D7DB7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中信证券华南股份有限公司</w:t>
      </w:r>
    </w:p>
    <w:p w:rsidR="00E62A11" w:rsidRPr="00470EB7" w:rsidRDefault="00E62A11" w:rsidP="00E62A1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Pr="005D7DB7">
        <w:rPr>
          <w:rFonts w:ascii="彩虹粗仿宋" w:eastAsia="彩虹粗仿宋" w:hint="eastAsia"/>
          <w:sz w:val="32"/>
          <w:szCs w:val="32"/>
        </w:rPr>
        <w:t>广州市天河区珠江西路5号广州国际金融中心主塔19层、20层</w:t>
      </w:r>
    </w:p>
    <w:p w:rsidR="00E62A11" w:rsidRPr="00470EB7" w:rsidRDefault="00E62A11" w:rsidP="00E62A1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D03EFE">
        <w:rPr>
          <w:rFonts w:ascii="彩虹粗仿宋" w:eastAsia="彩虹粗仿宋"/>
          <w:sz w:val="32"/>
          <w:szCs w:val="32"/>
        </w:rPr>
        <w:t>95</w:t>
      </w:r>
      <w:r>
        <w:rPr>
          <w:rFonts w:ascii="彩虹粗仿宋" w:eastAsia="彩虹粗仿宋" w:hint="eastAsia"/>
          <w:sz w:val="32"/>
          <w:szCs w:val="32"/>
        </w:rPr>
        <w:t>396</w:t>
      </w:r>
    </w:p>
    <w:p w:rsidR="00E62A11" w:rsidRDefault="00E62A11" w:rsidP="00E62A1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Pr="005D7DB7">
        <w:rPr>
          <w:rFonts w:ascii="彩虹粗仿宋" w:eastAsia="彩虹粗仿宋"/>
          <w:sz w:val="32"/>
          <w:szCs w:val="32"/>
        </w:rPr>
        <w:t>http://www.gzs.com.cn/</w:t>
      </w:r>
    </w:p>
    <w:p w:rsidR="00CD4FD4" w:rsidRPr="00E62A11" w:rsidRDefault="00CD4FD4" w:rsidP="00CD4FD4">
      <w:pPr>
        <w:autoSpaceDE w:val="0"/>
        <w:autoSpaceDN w:val="0"/>
        <w:adjustRightInd w:val="0"/>
        <w:spacing w:line="360" w:lineRule="auto"/>
        <w:ind w:firstLine="360"/>
        <w:rPr>
          <w:rFonts w:ascii="彩虹粗仿宋" w:eastAsia="彩虹粗仿宋"/>
          <w:sz w:val="32"/>
          <w:szCs w:val="20"/>
        </w:rPr>
      </w:pPr>
    </w:p>
    <w:p w:rsidR="00CD4FD4" w:rsidRPr="00D06AD9" w:rsidRDefault="00CD4FD4" w:rsidP="00CD4FD4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D4FD4" w:rsidRPr="00D06AD9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D4FD4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D4FD4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E62A11" w:rsidP="00AA7045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2020</w:t>
      </w:r>
      <w:r w:rsidR="00763DF8" w:rsidRPr="008060AE">
        <w:rPr>
          <w:rFonts w:ascii="彩虹粗仿宋" w:eastAsia="彩虹粗仿宋" w:hint="eastAsia"/>
          <w:sz w:val="32"/>
          <w:szCs w:val="32"/>
        </w:rPr>
        <w:t>年</w:t>
      </w:r>
      <w:r w:rsidR="0039187F">
        <w:rPr>
          <w:rFonts w:ascii="彩虹粗仿宋" w:eastAsia="彩虹粗仿宋" w:hint="eastAsia"/>
          <w:sz w:val="32"/>
          <w:szCs w:val="32"/>
        </w:rPr>
        <w:t>5</w:t>
      </w:r>
      <w:r w:rsidR="00763DF8" w:rsidRPr="008060AE">
        <w:rPr>
          <w:rFonts w:ascii="彩虹粗仿宋" w:eastAsia="彩虹粗仿宋" w:hint="eastAsia"/>
          <w:sz w:val="32"/>
          <w:szCs w:val="32"/>
        </w:rPr>
        <w:t>月</w:t>
      </w:r>
      <w:r w:rsidR="0039187F">
        <w:rPr>
          <w:rFonts w:ascii="彩虹粗仿宋" w:eastAsia="彩虹粗仿宋" w:hint="eastAsia"/>
          <w:sz w:val="32"/>
          <w:szCs w:val="32"/>
        </w:rPr>
        <w:t>6</w:t>
      </w:r>
      <w:r w:rsidR="00763DF8"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7C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72" w:rsidRDefault="00C24572" w:rsidP="0007179E">
      <w:r>
        <w:separator/>
      </w:r>
    </w:p>
  </w:endnote>
  <w:endnote w:type="continuationSeparator" w:id="1">
    <w:p w:rsidR="00C24572" w:rsidRDefault="00C24572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72" w:rsidRDefault="00C24572" w:rsidP="0007179E">
      <w:r>
        <w:separator/>
      </w:r>
    </w:p>
  </w:footnote>
  <w:footnote w:type="continuationSeparator" w:id="1">
    <w:p w:rsidR="00C24572" w:rsidRDefault="00C24572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98B"/>
    <w:rsid w:val="000142C6"/>
    <w:rsid w:val="0007179E"/>
    <w:rsid w:val="000913FE"/>
    <w:rsid w:val="00095EB7"/>
    <w:rsid w:val="000C4943"/>
    <w:rsid w:val="000E5A76"/>
    <w:rsid w:val="001275A1"/>
    <w:rsid w:val="001440F3"/>
    <w:rsid w:val="00157529"/>
    <w:rsid w:val="001D7417"/>
    <w:rsid w:val="001F1743"/>
    <w:rsid w:val="00210C88"/>
    <w:rsid w:val="002908C6"/>
    <w:rsid w:val="002A5291"/>
    <w:rsid w:val="002C02B7"/>
    <w:rsid w:val="00346054"/>
    <w:rsid w:val="0035195D"/>
    <w:rsid w:val="0039187F"/>
    <w:rsid w:val="003B67C4"/>
    <w:rsid w:val="003C37ED"/>
    <w:rsid w:val="00432365"/>
    <w:rsid w:val="00453C0E"/>
    <w:rsid w:val="00457CB7"/>
    <w:rsid w:val="0048192B"/>
    <w:rsid w:val="004A45E8"/>
    <w:rsid w:val="004C475D"/>
    <w:rsid w:val="0051601C"/>
    <w:rsid w:val="00526DE2"/>
    <w:rsid w:val="00533F32"/>
    <w:rsid w:val="00570129"/>
    <w:rsid w:val="006A1414"/>
    <w:rsid w:val="006D2637"/>
    <w:rsid w:val="006D48BF"/>
    <w:rsid w:val="00763DF8"/>
    <w:rsid w:val="007777AB"/>
    <w:rsid w:val="007C08D1"/>
    <w:rsid w:val="007E3ACD"/>
    <w:rsid w:val="00801628"/>
    <w:rsid w:val="008060AE"/>
    <w:rsid w:val="00895EDF"/>
    <w:rsid w:val="008B30E1"/>
    <w:rsid w:val="008E1DA0"/>
    <w:rsid w:val="008F3853"/>
    <w:rsid w:val="00912718"/>
    <w:rsid w:val="00941142"/>
    <w:rsid w:val="00956EE9"/>
    <w:rsid w:val="00A04D54"/>
    <w:rsid w:val="00A26F4B"/>
    <w:rsid w:val="00A33848"/>
    <w:rsid w:val="00A4111F"/>
    <w:rsid w:val="00AA7045"/>
    <w:rsid w:val="00AB4CE6"/>
    <w:rsid w:val="00AC1067"/>
    <w:rsid w:val="00AF0ACE"/>
    <w:rsid w:val="00AF7942"/>
    <w:rsid w:val="00B00999"/>
    <w:rsid w:val="00B05ECD"/>
    <w:rsid w:val="00B246E6"/>
    <w:rsid w:val="00B97165"/>
    <w:rsid w:val="00BC418D"/>
    <w:rsid w:val="00BD036F"/>
    <w:rsid w:val="00C24572"/>
    <w:rsid w:val="00C36179"/>
    <w:rsid w:val="00C77DAE"/>
    <w:rsid w:val="00C96DBB"/>
    <w:rsid w:val="00CD4FD4"/>
    <w:rsid w:val="00CF02FE"/>
    <w:rsid w:val="00D76F90"/>
    <w:rsid w:val="00DA08CE"/>
    <w:rsid w:val="00DB573F"/>
    <w:rsid w:val="00DE3005"/>
    <w:rsid w:val="00E1437A"/>
    <w:rsid w:val="00E21CA2"/>
    <w:rsid w:val="00E27018"/>
    <w:rsid w:val="00E62A11"/>
    <w:rsid w:val="00E6765B"/>
    <w:rsid w:val="00F01C0F"/>
    <w:rsid w:val="00F67A41"/>
    <w:rsid w:val="00F7307B"/>
    <w:rsid w:val="00F739D0"/>
    <w:rsid w:val="00FB4F70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4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JonMMx 2000</cp:lastModifiedBy>
  <cp:revision>2</cp:revision>
  <cp:lastPrinted>2017-02-09T07:01:00Z</cp:lastPrinted>
  <dcterms:created xsi:type="dcterms:W3CDTF">2020-05-05T16:07:00Z</dcterms:created>
  <dcterms:modified xsi:type="dcterms:W3CDTF">2020-05-05T16:07:00Z</dcterms:modified>
</cp:coreProperties>
</file>