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B1" w:rsidRPr="00661540" w:rsidRDefault="00A31FC5" w:rsidP="00A31FC5">
      <w:pPr>
        <w:jc w:val="center"/>
        <w:rPr>
          <w:rFonts w:ascii="宋体" w:hAnsi="宋体"/>
          <w:b/>
          <w:sz w:val="28"/>
          <w:szCs w:val="28"/>
        </w:rPr>
      </w:pPr>
      <w:r w:rsidRPr="00661540">
        <w:rPr>
          <w:rFonts w:ascii="宋体" w:hAnsi="宋体" w:hint="eastAsia"/>
          <w:b/>
          <w:sz w:val="28"/>
          <w:szCs w:val="28"/>
        </w:rPr>
        <w:t>融通</w:t>
      </w:r>
      <w:r w:rsidR="00D27079" w:rsidRPr="00661540">
        <w:rPr>
          <w:rFonts w:ascii="宋体" w:hAnsi="宋体" w:hint="eastAsia"/>
          <w:b/>
          <w:sz w:val="28"/>
          <w:szCs w:val="28"/>
        </w:rPr>
        <w:t>基金管理有限公司</w:t>
      </w:r>
      <w:r w:rsidR="00D11427" w:rsidRPr="00661540">
        <w:rPr>
          <w:rFonts w:ascii="宋体" w:hAnsi="宋体" w:hint="eastAsia"/>
          <w:b/>
          <w:sz w:val="28"/>
          <w:szCs w:val="28"/>
        </w:rPr>
        <w:t>关于</w:t>
      </w:r>
      <w:r w:rsidR="004920B1" w:rsidRPr="00661540">
        <w:rPr>
          <w:rFonts w:ascii="宋体" w:hAnsi="宋体" w:hint="eastAsia"/>
          <w:b/>
          <w:sz w:val="28"/>
          <w:szCs w:val="28"/>
        </w:rPr>
        <w:t>旗下部分开放式基金参加</w:t>
      </w:r>
      <w:r w:rsidR="00DD3FE8">
        <w:rPr>
          <w:rFonts w:ascii="宋体" w:hAnsi="宋体" w:hint="eastAsia"/>
          <w:b/>
          <w:sz w:val="28"/>
          <w:szCs w:val="28"/>
        </w:rPr>
        <w:t>华安</w:t>
      </w:r>
      <w:r w:rsidR="00171BFD" w:rsidRPr="00661540">
        <w:rPr>
          <w:rFonts w:ascii="宋体" w:hAnsi="宋体" w:hint="eastAsia"/>
          <w:b/>
          <w:sz w:val="28"/>
          <w:szCs w:val="28"/>
        </w:rPr>
        <w:t>证券</w:t>
      </w:r>
      <w:r w:rsidR="00DD3FE8">
        <w:rPr>
          <w:rFonts w:ascii="宋体" w:hAnsi="宋体" w:hint="eastAsia"/>
          <w:b/>
          <w:sz w:val="28"/>
          <w:szCs w:val="28"/>
        </w:rPr>
        <w:t>股份</w:t>
      </w:r>
      <w:r w:rsidR="00D27079" w:rsidRPr="00661540">
        <w:rPr>
          <w:rFonts w:ascii="宋体" w:hAnsi="宋体" w:hint="eastAsia"/>
          <w:b/>
          <w:sz w:val="28"/>
          <w:szCs w:val="28"/>
        </w:rPr>
        <w:t>有限公司</w:t>
      </w:r>
      <w:r w:rsidR="00527E27">
        <w:rPr>
          <w:rFonts w:ascii="宋体" w:hAnsi="宋体" w:hint="eastAsia"/>
          <w:b/>
          <w:sz w:val="28"/>
          <w:szCs w:val="28"/>
        </w:rPr>
        <w:t>申购</w:t>
      </w:r>
      <w:r w:rsidR="00527E27">
        <w:rPr>
          <w:rFonts w:ascii="宋体" w:hAnsi="宋体"/>
          <w:b/>
          <w:sz w:val="28"/>
          <w:szCs w:val="28"/>
        </w:rPr>
        <w:t>及</w:t>
      </w:r>
      <w:r w:rsidR="00175AB2" w:rsidRPr="00661540">
        <w:rPr>
          <w:rFonts w:ascii="宋体" w:hAnsi="宋体" w:hint="eastAsia"/>
          <w:b/>
          <w:sz w:val="28"/>
          <w:szCs w:val="28"/>
        </w:rPr>
        <w:t>定期定额投资业务费率</w:t>
      </w:r>
      <w:r w:rsidR="004920B1" w:rsidRPr="00661540">
        <w:rPr>
          <w:rFonts w:ascii="宋体" w:hAnsi="宋体" w:hint="eastAsia"/>
          <w:b/>
          <w:sz w:val="28"/>
          <w:szCs w:val="28"/>
        </w:rPr>
        <w:t>优惠活动的公告</w:t>
      </w:r>
    </w:p>
    <w:p w:rsidR="0048277C" w:rsidRPr="00AB57FA" w:rsidRDefault="0048277C" w:rsidP="00311E72">
      <w:pPr>
        <w:adjustRightInd w:val="0"/>
        <w:snapToGrid w:val="0"/>
        <w:spacing w:line="360" w:lineRule="auto"/>
        <w:ind w:firstLineChars="200" w:firstLine="420"/>
        <w:rPr>
          <w:rFonts w:ascii="宋体" w:hAnsi="宋体" w:cs="Arial" w:hint="eastAsia"/>
          <w:szCs w:val="21"/>
        </w:rPr>
      </w:pPr>
    </w:p>
    <w:p w:rsidR="004920B1" w:rsidRDefault="00D315A6" w:rsidP="00311E72">
      <w:pPr>
        <w:adjustRightInd w:val="0"/>
        <w:snapToGrid w:val="0"/>
        <w:spacing w:line="360" w:lineRule="auto"/>
        <w:ind w:firstLineChars="200" w:firstLine="420"/>
        <w:rPr>
          <w:rFonts w:ascii="宋体" w:hAnsi="宋体" w:cs="Arial" w:hint="eastAsia"/>
          <w:szCs w:val="21"/>
        </w:rPr>
      </w:pPr>
      <w:r w:rsidRPr="00AB57FA">
        <w:rPr>
          <w:rFonts w:ascii="宋体" w:hAnsi="宋体" w:cs="Arial" w:hint="eastAsia"/>
          <w:szCs w:val="21"/>
        </w:rPr>
        <w:t>为了满足广大投资者的理财需求，</w:t>
      </w:r>
      <w:r w:rsidR="00455F52" w:rsidRPr="00AB57FA">
        <w:rPr>
          <w:rFonts w:ascii="宋体" w:hAnsi="宋体" w:cs="Arial" w:hint="eastAsia"/>
          <w:szCs w:val="21"/>
        </w:rPr>
        <w:t>我公司</w:t>
      </w:r>
      <w:r w:rsidRPr="00AB57FA">
        <w:rPr>
          <w:rFonts w:ascii="宋体" w:hAnsi="宋体" w:cs="Arial" w:hint="eastAsia"/>
          <w:szCs w:val="21"/>
        </w:rPr>
        <w:t>经与</w:t>
      </w:r>
      <w:r w:rsidR="00DD3FE8">
        <w:rPr>
          <w:rFonts w:ascii="宋体" w:hAnsi="宋体" w:cs="Arial" w:hint="eastAsia"/>
          <w:szCs w:val="21"/>
        </w:rPr>
        <w:t>华安</w:t>
      </w:r>
      <w:r w:rsidR="00171BFD" w:rsidRPr="00AB57FA">
        <w:rPr>
          <w:rFonts w:ascii="宋体" w:hAnsi="宋体" w:cs="Arial" w:hint="eastAsia"/>
          <w:szCs w:val="21"/>
        </w:rPr>
        <w:t>证券</w:t>
      </w:r>
      <w:r w:rsidR="00DD3FE8">
        <w:rPr>
          <w:rFonts w:ascii="宋体" w:hAnsi="宋体" w:cs="Arial" w:hint="eastAsia"/>
          <w:szCs w:val="21"/>
        </w:rPr>
        <w:t>股份</w:t>
      </w:r>
      <w:r w:rsidRPr="00AB57FA">
        <w:rPr>
          <w:rFonts w:ascii="宋体" w:hAnsi="宋体" w:cs="Arial" w:hint="eastAsia"/>
          <w:szCs w:val="21"/>
        </w:rPr>
        <w:t>有限公司（以下简称“</w:t>
      </w:r>
      <w:r w:rsidR="00DD3FE8">
        <w:rPr>
          <w:rFonts w:ascii="宋体" w:hAnsi="宋体" w:cs="Arial" w:hint="eastAsia"/>
          <w:szCs w:val="21"/>
        </w:rPr>
        <w:t>华安</w:t>
      </w:r>
      <w:r w:rsidR="00171BFD" w:rsidRPr="00AB57FA">
        <w:rPr>
          <w:rFonts w:ascii="宋体" w:hAnsi="宋体" w:cs="Arial" w:hint="eastAsia"/>
          <w:szCs w:val="21"/>
        </w:rPr>
        <w:t>证券</w:t>
      </w:r>
      <w:r w:rsidRPr="00AB57FA">
        <w:rPr>
          <w:rFonts w:ascii="宋体" w:hAnsi="宋体" w:cs="Arial" w:hint="eastAsia"/>
          <w:szCs w:val="21"/>
        </w:rPr>
        <w:t>”）协商，我公司旗下部分开放式基金将自</w:t>
      </w:r>
      <w:r w:rsidR="004D07A2" w:rsidRPr="00AB57FA">
        <w:rPr>
          <w:rFonts w:ascii="宋体" w:hAnsi="宋体" w:cs="Arial" w:hint="eastAsia"/>
          <w:szCs w:val="21"/>
        </w:rPr>
        <w:t>20</w:t>
      </w:r>
      <w:r w:rsidR="00DD3FE8">
        <w:rPr>
          <w:rFonts w:ascii="宋体" w:hAnsi="宋体" w:cs="Arial"/>
          <w:szCs w:val="21"/>
        </w:rPr>
        <w:t>20</w:t>
      </w:r>
      <w:r w:rsidR="004D07A2" w:rsidRPr="00AB57FA">
        <w:rPr>
          <w:rFonts w:ascii="宋体" w:hAnsi="宋体" w:cs="Arial" w:hint="eastAsia"/>
          <w:szCs w:val="21"/>
        </w:rPr>
        <w:t>年</w:t>
      </w:r>
      <w:r w:rsidR="00527E27">
        <w:rPr>
          <w:rFonts w:ascii="宋体" w:hAnsi="宋体" w:cs="Arial"/>
          <w:szCs w:val="21"/>
        </w:rPr>
        <w:t>5</w:t>
      </w:r>
      <w:r w:rsidR="00A008B4" w:rsidRPr="00AB57FA">
        <w:rPr>
          <w:rFonts w:ascii="宋体" w:hAnsi="宋体" w:cs="Arial" w:hint="eastAsia"/>
          <w:szCs w:val="21"/>
        </w:rPr>
        <w:t>月</w:t>
      </w:r>
      <w:r w:rsidR="00527E27">
        <w:rPr>
          <w:rFonts w:ascii="宋体" w:hAnsi="宋体" w:cs="Arial" w:hint="eastAsia"/>
          <w:szCs w:val="21"/>
        </w:rPr>
        <w:t>6</w:t>
      </w:r>
      <w:r w:rsidRPr="00AB57FA">
        <w:rPr>
          <w:rFonts w:ascii="宋体" w:hAnsi="宋体" w:cs="Arial" w:hint="eastAsia"/>
          <w:szCs w:val="21"/>
        </w:rPr>
        <w:t>日起参加</w:t>
      </w:r>
      <w:r w:rsidR="00433001">
        <w:rPr>
          <w:rFonts w:ascii="宋体" w:hAnsi="宋体" w:cs="Arial" w:hint="eastAsia"/>
          <w:szCs w:val="21"/>
        </w:rPr>
        <w:t>华安</w:t>
      </w:r>
      <w:r w:rsidR="00171BFD" w:rsidRPr="00AB57FA">
        <w:rPr>
          <w:rFonts w:ascii="宋体" w:hAnsi="宋体" w:cs="Arial" w:hint="eastAsia"/>
          <w:szCs w:val="21"/>
        </w:rPr>
        <w:t>证券</w:t>
      </w:r>
      <w:r w:rsidR="00527E27">
        <w:rPr>
          <w:rFonts w:ascii="宋体" w:hAnsi="宋体" w:cs="Arial" w:hint="eastAsia"/>
          <w:szCs w:val="21"/>
        </w:rPr>
        <w:t>申购</w:t>
      </w:r>
      <w:r w:rsidR="00527E27">
        <w:rPr>
          <w:rFonts w:ascii="宋体" w:hAnsi="宋体" w:cs="Arial"/>
          <w:szCs w:val="21"/>
        </w:rPr>
        <w:t>及</w:t>
      </w:r>
      <w:r w:rsidR="00175AB2" w:rsidRPr="00AB57FA">
        <w:rPr>
          <w:rFonts w:ascii="宋体" w:hAnsi="宋体" w:cs="Arial" w:hint="eastAsia"/>
          <w:szCs w:val="21"/>
        </w:rPr>
        <w:t>定期定额投资业务费率</w:t>
      </w:r>
      <w:r w:rsidRPr="00AB57FA">
        <w:rPr>
          <w:rFonts w:ascii="宋体" w:hAnsi="宋体" w:cs="Arial" w:hint="eastAsia"/>
          <w:szCs w:val="21"/>
        </w:rPr>
        <w:t>优惠活动。</w:t>
      </w:r>
      <w:r w:rsidR="004920B1" w:rsidRPr="00AB57FA">
        <w:rPr>
          <w:rFonts w:ascii="宋体" w:hAnsi="宋体" w:cs="Arial" w:hint="eastAsia"/>
          <w:szCs w:val="21"/>
        </w:rPr>
        <w:t>现将有关事项公告如下：</w:t>
      </w:r>
    </w:p>
    <w:p w:rsidR="00AB57FA" w:rsidRPr="00AB57FA" w:rsidRDefault="00AB57FA" w:rsidP="00311E72">
      <w:pPr>
        <w:adjustRightInd w:val="0"/>
        <w:snapToGrid w:val="0"/>
        <w:spacing w:line="360" w:lineRule="auto"/>
        <w:ind w:firstLineChars="200" w:firstLine="420"/>
        <w:rPr>
          <w:rFonts w:ascii="宋体" w:hAnsi="宋体" w:cs="Arial"/>
          <w:szCs w:val="21"/>
        </w:rPr>
      </w:pPr>
    </w:p>
    <w:p w:rsidR="00D27079" w:rsidRPr="00AB57FA" w:rsidRDefault="00D27079" w:rsidP="00821725">
      <w:pPr>
        <w:pStyle w:val="a8"/>
        <w:adjustRightInd w:val="0"/>
        <w:snapToGrid w:val="0"/>
        <w:spacing w:line="360" w:lineRule="auto"/>
        <w:ind w:firstLineChars="0" w:firstLine="480"/>
        <w:rPr>
          <w:rFonts w:ascii="宋体" w:hAnsi="宋体" w:cs="Arial" w:hint="eastAsia"/>
          <w:szCs w:val="21"/>
        </w:rPr>
      </w:pPr>
      <w:r w:rsidRPr="00AB57FA">
        <w:rPr>
          <w:rFonts w:ascii="宋体" w:hAnsi="宋体" w:cs="Arial" w:hint="eastAsia"/>
          <w:szCs w:val="21"/>
        </w:rPr>
        <w:t>一、适用投资者范围</w:t>
      </w:r>
      <w:r w:rsidR="00E05C46" w:rsidRPr="00AB57FA">
        <w:rPr>
          <w:rFonts w:ascii="宋体" w:hAnsi="宋体" w:cs="Arial" w:hint="eastAsia"/>
          <w:szCs w:val="21"/>
        </w:rPr>
        <w:t>：</w:t>
      </w:r>
    </w:p>
    <w:p w:rsidR="00D27079" w:rsidRDefault="00D27079" w:rsidP="00D27079">
      <w:pPr>
        <w:pStyle w:val="a8"/>
        <w:adjustRightInd w:val="0"/>
        <w:snapToGrid w:val="0"/>
        <w:spacing w:line="360" w:lineRule="auto"/>
        <w:ind w:firstLineChars="0"/>
        <w:rPr>
          <w:rFonts w:ascii="宋体" w:hAnsi="宋体" w:cs="Arial" w:hint="eastAsia"/>
          <w:szCs w:val="21"/>
        </w:rPr>
      </w:pPr>
      <w:r w:rsidRPr="00AB57FA">
        <w:rPr>
          <w:rFonts w:ascii="宋体" w:hAnsi="宋体" w:cs="Arial" w:hint="eastAsia"/>
          <w:szCs w:val="21"/>
        </w:rPr>
        <w:t>通过</w:t>
      </w:r>
      <w:r w:rsidR="00433001">
        <w:rPr>
          <w:rFonts w:ascii="宋体" w:hAnsi="宋体" w:cs="Arial" w:hint="eastAsia"/>
          <w:szCs w:val="21"/>
        </w:rPr>
        <w:t>华安</w:t>
      </w:r>
      <w:r w:rsidR="00171BFD" w:rsidRPr="00AB57FA">
        <w:rPr>
          <w:rFonts w:ascii="宋体" w:hAnsi="宋体" w:cs="Arial" w:hint="eastAsia"/>
          <w:szCs w:val="21"/>
        </w:rPr>
        <w:t>证券</w:t>
      </w:r>
      <w:r w:rsidR="00527E27">
        <w:rPr>
          <w:rFonts w:ascii="宋体" w:hAnsi="宋体" w:cs="Arial" w:hint="eastAsia"/>
          <w:szCs w:val="21"/>
        </w:rPr>
        <w:t>申购</w:t>
      </w:r>
      <w:r w:rsidR="00527E27">
        <w:rPr>
          <w:rFonts w:ascii="宋体" w:hAnsi="宋体" w:cs="Arial"/>
          <w:szCs w:val="21"/>
        </w:rPr>
        <w:t>及</w:t>
      </w:r>
      <w:r w:rsidRPr="00AB57FA">
        <w:rPr>
          <w:rFonts w:ascii="宋体" w:hAnsi="宋体" w:cs="Arial" w:hint="eastAsia"/>
          <w:szCs w:val="21"/>
        </w:rPr>
        <w:t>定期定额投资指定开放式基金的投资者。</w:t>
      </w:r>
    </w:p>
    <w:p w:rsidR="00AB57FA" w:rsidRPr="00AB57FA" w:rsidRDefault="00AB57FA" w:rsidP="00D27079">
      <w:pPr>
        <w:pStyle w:val="a8"/>
        <w:adjustRightInd w:val="0"/>
        <w:snapToGrid w:val="0"/>
        <w:spacing w:line="360" w:lineRule="auto"/>
        <w:ind w:firstLineChars="0"/>
        <w:rPr>
          <w:rFonts w:ascii="宋体" w:hAnsi="宋体" w:cs="Arial" w:hint="eastAsia"/>
          <w:szCs w:val="21"/>
        </w:rPr>
      </w:pPr>
    </w:p>
    <w:p w:rsidR="008F5745" w:rsidRPr="00AB57FA" w:rsidRDefault="00D27079" w:rsidP="00D27079">
      <w:pPr>
        <w:pStyle w:val="a8"/>
        <w:adjustRightInd w:val="0"/>
        <w:snapToGrid w:val="0"/>
        <w:spacing w:line="360" w:lineRule="auto"/>
        <w:ind w:firstLineChars="0"/>
        <w:rPr>
          <w:rFonts w:ascii="宋体" w:hAnsi="宋体" w:cs="Arial"/>
          <w:szCs w:val="21"/>
        </w:rPr>
      </w:pPr>
      <w:r w:rsidRPr="00AB57FA">
        <w:rPr>
          <w:rFonts w:ascii="宋体" w:hAnsi="宋体" w:cs="Arial" w:hint="eastAsia"/>
          <w:szCs w:val="21"/>
        </w:rPr>
        <w:t>二、</w:t>
      </w:r>
      <w:r w:rsidR="008F5745" w:rsidRPr="00AB57FA">
        <w:rPr>
          <w:rFonts w:ascii="宋体" w:hAnsi="宋体" w:cs="Arial" w:hint="eastAsia"/>
          <w:szCs w:val="21"/>
        </w:rPr>
        <w:t>适用的基金：</w:t>
      </w:r>
    </w:p>
    <w:tbl>
      <w:tblPr>
        <w:tblW w:w="80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118"/>
      </w:tblGrid>
      <w:tr w:rsidR="000270E3"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0270E3" w:rsidRPr="00583AE2" w:rsidRDefault="000270E3" w:rsidP="00BB7DE9">
            <w:pPr>
              <w:widowControl/>
              <w:jc w:val="center"/>
              <w:rPr>
                <w:rFonts w:ascii="宋体" w:hAnsi="宋体"/>
                <w:szCs w:val="21"/>
              </w:rPr>
            </w:pPr>
            <w:r w:rsidRPr="00583AE2">
              <w:rPr>
                <w:rFonts w:ascii="宋体" w:hAnsi="宋体" w:hint="eastAsia"/>
                <w:szCs w:val="21"/>
              </w:rPr>
              <w:t>基金名称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270E3" w:rsidRPr="00583AE2" w:rsidRDefault="000270E3" w:rsidP="00BB7DE9">
            <w:pPr>
              <w:widowControl/>
              <w:jc w:val="center"/>
              <w:rPr>
                <w:rFonts w:ascii="宋体" w:hAnsi="宋体" w:hint="eastAsia"/>
                <w:szCs w:val="21"/>
              </w:rPr>
            </w:pPr>
            <w:r w:rsidRPr="00583AE2">
              <w:rPr>
                <w:rFonts w:ascii="宋体" w:hAnsi="宋体" w:hint="eastAsia"/>
                <w:szCs w:val="21"/>
              </w:rPr>
              <w:t>基金代码</w:t>
            </w:r>
          </w:p>
        </w:tc>
      </w:tr>
      <w:tr w:rsidR="00284D19"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szCs w:val="21"/>
              </w:rPr>
            </w:pPr>
            <w:r w:rsidRPr="00583AE2">
              <w:rPr>
                <w:rFonts w:ascii="宋体" w:hAnsi="宋体" w:hint="eastAsia"/>
                <w:szCs w:val="21"/>
              </w:rPr>
              <w:t>融通增强收益债券型证券投资基金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szCs w:val="21"/>
              </w:rPr>
            </w:pPr>
            <w:r w:rsidRPr="00583AE2">
              <w:rPr>
                <w:rFonts w:ascii="宋体" w:hAnsi="宋体" w:hint="eastAsia"/>
                <w:szCs w:val="21"/>
              </w:rPr>
              <w:t>000142（A类）</w:t>
            </w:r>
          </w:p>
        </w:tc>
      </w:tr>
      <w:tr w:rsidR="00284D19"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szCs w:val="21"/>
              </w:rPr>
            </w:pPr>
            <w:r w:rsidRPr="00583AE2">
              <w:rPr>
                <w:rFonts w:ascii="宋体" w:hAnsi="宋体" w:hint="eastAsia"/>
                <w:color w:val="000000"/>
                <w:szCs w:val="21"/>
              </w:rPr>
              <w:t>融通通源短融债券型证券投资基金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szCs w:val="21"/>
              </w:rPr>
            </w:pPr>
            <w:r w:rsidRPr="00583AE2">
              <w:rPr>
                <w:rFonts w:ascii="宋体" w:hAnsi="宋体" w:hint="eastAsia"/>
                <w:szCs w:val="21"/>
              </w:rPr>
              <w:t>000394（A类）</w:t>
            </w:r>
          </w:p>
        </w:tc>
      </w:tr>
      <w:tr w:rsidR="00284D19"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color w:val="000000"/>
                <w:szCs w:val="21"/>
              </w:rPr>
            </w:pPr>
            <w:r w:rsidRPr="00583AE2">
              <w:rPr>
                <w:rFonts w:ascii="宋体" w:hAnsi="宋体" w:hint="eastAsia"/>
                <w:szCs w:val="21"/>
              </w:rPr>
              <w:t>融通月月添利定期开放债券型证券投资基金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C07B64">
            <w:pPr>
              <w:widowControl/>
              <w:jc w:val="center"/>
              <w:rPr>
                <w:rFonts w:ascii="宋体" w:hAnsi="宋体" w:hint="eastAsia"/>
                <w:szCs w:val="21"/>
              </w:rPr>
            </w:pPr>
            <w:r w:rsidRPr="00583AE2">
              <w:rPr>
                <w:rFonts w:ascii="宋体" w:hAnsi="宋体" w:hint="eastAsia"/>
                <w:szCs w:val="21"/>
              </w:rPr>
              <w:t>000437（A类）</w:t>
            </w:r>
          </w:p>
        </w:tc>
      </w:tr>
      <w:tr w:rsidR="00284D19"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szCs w:val="21"/>
              </w:rPr>
            </w:pPr>
            <w:r w:rsidRPr="00583AE2">
              <w:rPr>
                <w:rFonts w:ascii="宋体" w:hAnsi="宋体" w:hint="eastAsia"/>
                <w:szCs w:val="21"/>
              </w:rPr>
              <w:t>融通通瑞债券型证券投资基金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center"/>
              <w:rPr>
                <w:rFonts w:ascii="宋体" w:hAnsi="宋体" w:hint="eastAsia"/>
                <w:szCs w:val="21"/>
              </w:rPr>
            </w:pPr>
            <w:r w:rsidRPr="00583AE2">
              <w:rPr>
                <w:rFonts w:ascii="宋体" w:hAnsi="宋体" w:hint="eastAsia"/>
                <w:szCs w:val="21"/>
              </w:rPr>
              <w:t>000466（A类）、</w:t>
            </w:r>
            <w:r w:rsidRPr="00583AE2">
              <w:rPr>
                <w:rFonts w:ascii="宋体" w:hAnsi="宋体"/>
                <w:szCs w:val="21"/>
              </w:rPr>
              <w:t>000858</w:t>
            </w:r>
            <w:r w:rsidRPr="00583AE2">
              <w:rPr>
                <w:rFonts w:ascii="宋体" w:hAnsi="宋体" w:hint="eastAsia"/>
                <w:szCs w:val="21"/>
              </w:rPr>
              <w:t>（B类</w:t>
            </w:r>
            <w:r w:rsidRPr="00583AE2">
              <w:rPr>
                <w:rFonts w:ascii="宋体" w:hAnsi="宋体"/>
                <w:szCs w:val="21"/>
              </w:rPr>
              <w:t>）</w:t>
            </w:r>
            <w:r w:rsidRPr="00583AE2">
              <w:rPr>
                <w:rFonts w:ascii="宋体" w:hAnsi="宋体" w:hint="eastAsia"/>
                <w:szCs w:val="21"/>
              </w:rPr>
              <w:t>、</w:t>
            </w:r>
            <w:r w:rsidRPr="00583AE2">
              <w:rPr>
                <w:rFonts w:ascii="宋体" w:hAnsi="宋体"/>
                <w:szCs w:val="21"/>
              </w:rPr>
              <w:t>000859</w:t>
            </w:r>
            <w:r w:rsidRPr="00583AE2">
              <w:rPr>
                <w:rFonts w:ascii="宋体" w:hAnsi="宋体" w:hint="eastAsia"/>
                <w:szCs w:val="21"/>
              </w:rPr>
              <w:t>（</w:t>
            </w:r>
            <w:r w:rsidRPr="00583AE2">
              <w:rPr>
                <w:rFonts w:ascii="宋体" w:hAnsi="宋体"/>
                <w:szCs w:val="21"/>
              </w:rPr>
              <w:t>C</w:t>
            </w:r>
            <w:r w:rsidRPr="00583AE2">
              <w:rPr>
                <w:rFonts w:ascii="宋体" w:hAnsi="宋体" w:hint="eastAsia"/>
                <w:szCs w:val="21"/>
              </w:rPr>
              <w:t>类</w:t>
            </w:r>
            <w:r w:rsidRPr="00583AE2">
              <w:rPr>
                <w:rFonts w:ascii="宋体" w:hAnsi="宋体"/>
                <w:szCs w:val="21"/>
              </w:rPr>
              <w:t>）</w:t>
            </w:r>
          </w:p>
        </w:tc>
      </w:tr>
      <w:tr w:rsidR="000270E3"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0270E3" w:rsidRPr="00583AE2" w:rsidRDefault="000270E3" w:rsidP="00E15BB8">
            <w:pPr>
              <w:widowControl/>
              <w:jc w:val="left"/>
              <w:rPr>
                <w:rFonts w:ascii="宋体" w:hAnsi="宋体" w:hint="eastAsia"/>
                <w:szCs w:val="21"/>
              </w:rPr>
            </w:pPr>
            <w:r w:rsidRPr="00583AE2">
              <w:rPr>
                <w:rFonts w:ascii="宋体" w:hAnsi="宋体" w:hint="eastAsia"/>
                <w:szCs w:val="21"/>
              </w:rPr>
              <w:t>融通转型三动力灵活配置混合型证券投资基金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270E3" w:rsidRPr="00583AE2" w:rsidRDefault="000270E3" w:rsidP="00E15BB8">
            <w:pPr>
              <w:widowControl/>
              <w:jc w:val="left"/>
              <w:rPr>
                <w:rFonts w:ascii="宋体" w:hAnsi="宋体" w:hint="eastAsia"/>
                <w:szCs w:val="21"/>
              </w:rPr>
            </w:pPr>
            <w:r w:rsidRPr="00583AE2">
              <w:rPr>
                <w:rFonts w:ascii="宋体" w:hAnsi="宋体" w:hint="eastAsia"/>
                <w:szCs w:val="21"/>
              </w:rPr>
              <w:t>000717（前端）</w:t>
            </w:r>
            <w:r w:rsidR="000429F2" w:rsidRPr="00583AE2">
              <w:rPr>
                <w:rFonts w:ascii="宋体" w:hAnsi="宋体" w:hint="eastAsia"/>
                <w:szCs w:val="21"/>
              </w:rPr>
              <w:t>、000718（</w:t>
            </w:r>
            <w:r w:rsidR="000429F2" w:rsidRPr="00583AE2">
              <w:rPr>
                <w:rFonts w:ascii="宋体" w:hAnsi="宋体"/>
                <w:szCs w:val="21"/>
              </w:rPr>
              <w:t>后端）</w:t>
            </w:r>
          </w:p>
        </w:tc>
      </w:tr>
      <w:tr w:rsidR="00284D19"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left"/>
              <w:rPr>
                <w:rFonts w:ascii="宋体" w:hAnsi="宋体" w:hint="eastAsia"/>
                <w:szCs w:val="21"/>
              </w:rPr>
            </w:pPr>
            <w:r w:rsidRPr="00583AE2">
              <w:rPr>
                <w:rFonts w:ascii="宋体" w:hAnsi="宋体" w:hint="eastAsia"/>
                <w:szCs w:val="21"/>
              </w:rPr>
              <w:t>融通健康产业灵活配置混合型证券投资基金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84D19" w:rsidRPr="00583AE2" w:rsidRDefault="00284D19" w:rsidP="00284D19">
            <w:pPr>
              <w:widowControl/>
              <w:jc w:val="left"/>
              <w:rPr>
                <w:rFonts w:ascii="宋体" w:hAnsi="宋体" w:hint="eastAsia"/>
                <w:szCs w:val="21"/>
              </w:rPr>
            </w:pPr>
            <w:r w:rsidRPr="00583AE2">
              <w:rPr>
                <w:rFonts w:ascii="宋体" w:hAnsi="宋体" w:hint="eastAsia"/>
                <w:szCs w:val="21"/>
              </w:rPr>
              <w:t>000727（A类）、000731（</w:t>
            </w:r>
            <w:r>
              <w:rPr>
                <w:rFonts w:ascii="宋体" w:hAnsi="宋体" w:hint="eastAsia"/>
                <w:szCs w:val="21"/>
              </w:rPr>
              <w:t>B</w:t>
            </w:r>
            <w:r w:rsidRPr="00583AE2">
              <w:rPr>
                <w:rFonts w:ascii="宋体" w:hAnsi="宋体" w:hint="eastAsia"/>
                <w:szCs w:val="21"/>
              </w:rPr>
              <w:t>类</w:t>
            </w:r>
            <w:r w:rsidRPr="00583AE2">
              <w:rPr>
                <w:rFonts w:ascii="宋体" w:hAnsi="宋体"/>
                <w:szCs w:val="21"/>
              </w:rPr>
              <w:t>）</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融通互联网传媒灵活配置混合型证券投资基金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001150（前端）、001151（</w:t>
            </w:r>
            <w:r w:rsidRPr="00583AE2">
              <w:rPr>
                <w:rFonts w:ascii="宋体" w:hAnsi="宋体"/>
                <w:szCs w:val="21"/>
              </w:rPr>
              <w:t>后端）</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融通新区域新经济灵活配置混合型证券投资基金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001152（前端）、001153（</w:t>
            </w:r>
            <w:r w:rsidRPr="00583AE2">
              <w:rPr>
                <w:rFonts w:ascii="宋体" w:hAnsi="宋体"/>
                <w:szCs w:val="21"/>
              </w:rPr>
              <w:t>后端）</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融通通鑫灵活配置混合型证券投资基金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001470</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融通新能源灵活配置混合型证券投资基金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001471（前端）、</w:t>
            </w:r>
            <w:r w:rsidRPr="00583AE2">
              <w:rPr>
                <w:rFonts w:ascii="宋体" w:hAnsi="宋体"/>
                <w:szCs w:val="21"/>
              </w:rPr>
              <w:t>001472</w:t>
            </w:r>
            <w:r w:rsidRPr="00583AE2">
              <w:rPr>
                <w:rFonts w:ascii="宋体" w:hAnsi="宋体" w:hint="eastAsia"/>
                <w:szCs w:val="21"/>
              </w:rPr>
              <w:t>（</w:t>
            </w:r>
            <w:r w:rsidRPr="00583AE2">
              <w:rPr>
                <w:rFonts w:ascii="宋体" w:hAnsi="宋体"/>
                <w:szCs w:val="21"/>
              </w:rPr>
              <w:t>后端）</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融通跨界成长灵活配置混合型证券投资基金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001830（前端）、</w:t>
            </w:r>
            <w:r w:rsidRPr="00583AE2">
              <w:rPr>
                <w:rFonts w:ascii="宋体" w:hAnsi="宋体"/>
                <w:szCs w:val="21"/>
              </w:rPr>
              <w:t>001831</w:t>
            </w:r>
            <w:r w:rsidRPr="00583AE2">
              <w:rPr>
                <w:rFonts w:ascii="宋体" w:hAnsi="宋体" w:hint="eastAsia"/>
                <w:szCs w:val="21"/>
              </w:rPr>
              <w:t>（</w:t>
            </w:r>
            <w:r w:rsidRPr="00583AE2">
              <w:rPr>
                <w:rFonts w:ascii="宋体" w:hAnsi="宋体"/>
                <w:szCs w:val="21"/>
              </w:rPr>
              <w:t>后端）</w:t>
            </w:r>
          </w:p>
        </w:tc>
      </w:tr>
      <w:tr w:rsidR="00433001"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433001" w:rsidRPr="00583AE2" w:rsidRDefault="00B540B5" w:rsidP="00E15BB8">
            <w:pPr>
              <w:widowControl/>
              <w:jc w:val="left"/>
              <w:rPr>
                <w:rFonts w:ascii="宋体" w:hAnsi="宋体" w:hint="eastAsia"/>
                <w:color w:val="000000"/>
                <w:kern w:val="0"/>
                <w:szCs w:val="21"/>
              </w:rPr>
            </w:pPr>
            <w:r w:rsidRPr="00583AE2">
              <w:rPr>
                <w:rFonts w:ascii="宋体" w:hAnsi="宋体" w:hint="eastAsia"/>
                <w:szCs w:val="21"/>
              </w:rPr>
              <w:t>融通中国风1号灵活配置混合型证券投资基金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3001" w:rsidRPr="00583AE2" w:rsidRDefault="00433001" w:rsidP="00E15BB8">
            <w:pPr>
              <w:widowControl/>
              <w:jc w:val="left"/>
              <w:rPr>
                <w:rFonts w:ascii="宋体" w:hAnsi="宋体" w:hint="eastAsia"/>
                <w:szCs w:val="21"/>
              </w:rPr>
            </w:pPr>
            <w:r w:rsidRPr="00583AE2">
              <w:rPr>
                <w:rFonts w:ascii="宋体" w:hAnsi="宋体" w:hint="eastAsia"/>
                <w:szCs w:val="21"/>
              </w:rPr>
              <w:t>001852（</w:t>
            </w:r>
            <w:r w:rsidR="00CE3DAF">
              <w:rPr>
                <w:rFonts w:ascii="宋体" w:hAnsi="宋体" w:hint="eastAsia"/>
                <w:szCs w:val="21"/>
              </w:rPr>
              <w:t>A类</w:t>
            </w:r>
            <w:r w:rsidRPr="00583AE2">
              <w:rPr>
                <w:rFonts w:ascii="宋体" w:hAnsi="宋体" w:hint="eastAsia"/>
                <w:szCs w:val="21"/>
              </w:rPr>
              <w:t>）、001853（</w:t>
            </w:r>
            <w:r w:rsidR="00CE3DAF">
              <w:rPr>
                <w:rFonts w:ascii="宋体" w:hAnsi="宋体" w:hint="eastAsia"/>
                <w:szCs w:val="21"/>
              </w:rPr>
              <w:t>B类</w:t>
            </w:r>
            <w:r w:rsidRPr="00583AE2">
              <w:rPr>
                <w:rFonts w:ascii="宋体" w:hAnsi="宋体"/>
                <w:szCs w:val="21"/>
              </w:rPr>
              <w:t>）</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融通成长30灵活配置混合型证券投资基金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00225</w:t>
            </w:r>
            <w:r w:rsidRPr="00583AE2">
              <w:rPr>
                <w:rFonts w:ascii="宋体" w:hAnsi="宋体"/>
                <w:szCs w:val="21"/>
              </w:rPr>
              <w:t>2</w:t>
            </w:r>
            <w:r w:rsidRPr="00583AE2">
              <w:rPr>
                <w:rFonts w:ascii="宋体" w:hAnsi="宋体" w:hint="eastAsia"/>
                <w:szCs w:val="21"/>
              </w:rPr>
              <w:t>（前端）、002253（</w:t>
            </w:r>
            <w:r w:rsidRPr="00583AE2">
              <w:rPr>
                <w:rFonts w:ascii="宋体" w:hAnsi="宋体"/>
                <w:szCs w:val="21"/>
              </w:rPr>
              <w:t>后端）</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融通通盈灵活配置混合型证券投资基金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002415</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融通新消费灵活配置混合型证券投资基金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002605（前端）、002606（</w:t>
            </w:r>
            <w:r w:rsidRPr="00583AE2">
              <w:rPr>
                <w:rFonts w:ascii="宋体" w:hAnsi="宋体"/>
                <w:szCs w:val="21"/>
              </w:rPr>
              <w:t>后端）</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融通通慧混合型证券投资基金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002612（A类）、002613（B类</w:t>
            </w:r>
            <w:r w:rsidRPr="00583AE2">
              <w:rPr>
                <w:rFonts w:ascii="宋体" w:hAnsi="宋体"/>
                <w:szCs w:val="21"/>
              </w:rPr>
              <w:t>）</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融通现金宝货币市场基金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002788（A类）、</w:t>
            </w:r>
            <w:r w:rsidRPr="00583AE2">
              <w:rPr>
                <w:rFonts w:ascii="宋体" w:hAnsi="宋体"/>
                <w:szCs w:val="21"/>
              </w:rPr>
              <w:t>004398</w:t>
            </w:r>
            <w:r w:rsidRPr="00583AE2">
              <w:rPr>
                <w:rFonts w:ascii="宋体" w:hAnsi="宋体" w:hint="eastAsia"/>
                <w:szCs w:val="21"/>
              </w:rPr>
              <w:t>（</w:t>
            </w:r>
            <w:r w:rsidRPr="00583AE2">
              <w:rPr>
                <w:rFonts w:ascii="宋体" w:hAnsi="宋体"/>
                <w:szCs w:val="21"/>
              </w:rPr>
              <w:t>B</w:t>
            </w:r>
            <w:r w:rsidRPr="00583AE2">
              <w:rPr>
                <w:rFonts w:ascii="宋体" w:hAnsi="宋体" w:hint="eastAsia"/>
                <w:szCs w:val="21"/>
              </w:rPr>
              <w:t>类）</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融通新趋势灵活配置混合型证券投资基金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002955（前端）、</w:t>
            </w:r>
            <w:r w:rsidRPr="00583AE2">
              <w:rPr>
                <w:rFonts w:ascii="宋体" w:hAnsi="宋体"/>
                <w:szCs w:val="21"/>
              </w:rPr>
              <w:t>002956</w:t>
            </w:r>
            <w:r w:rsidRPr="00583AE2">
              <w:rPr>
                <w:rFonts w:ascii="宋体" w:hAnsi="宋体" w:hint="eastAsia"/>
                <w:szCs w:val="21"/>
              </w:rPr>
              <w:t>（</w:t>
            </w:r>
            <w:r w:rsidRPr="00583AE2">
              <w:rPr>
                <w:rFonts w:ascii="宋体" w:hAnsi="宋体"/>
                <w:szCs w:val="21"/>
              </w:rPr>
              <w:t>后端）</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融通通乾研究精选灵活配置混合型证券投资基金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002989</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融通沪港深智慧生活灵活配置混合型证券投资基金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003279</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融通通润债券型证券投资基金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003650</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融通收益增强债券型证券投资基金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004025（A类）、</w:t>
            </w:r>
            <w:r w:rsidRPr="00583AE2">
              <w:rPr>
                <w:rFonts w:ascii="宋体" w:hAnsi="宋体"/>
                <w:szCs w:val="21"/>
              </w:rPr>
              <w:t>004026</w:t>
            </w:r>
            <w:r w:rsidRPr="00583AE2">
              <w:rPr>
                <w:rFonts w:ascii="宋体" w:hAnsi="宋体" w:hint="eastAsia"/>
                <w:szCs w:val="21"/>
              </w:rPr>
              <w:t>（</w:t>
            </w:r>
            <w:r w:rsidRPr="00583AE2">
              <w:rPr>
                <w:rFonts w:ascii="宋体" w:hAnsi="宋体"/>
                <w:szCs w:val="21"/>
              </w:rPr>
              <w:t>B</w:t>
            </w:r>
            <w:r w:rsidRPr="00583AE2">
              <w:rPr>
                <w:rFonts w:ascii="宋体" w:hAnsi="宋体" w:hint="eastAsia"/>
                <w:szCs w:val="21"/>
              </w:rPr>
              <w:t>类）</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融通逆向策略灵活配置混合型证券投资基金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005067</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融通中国概念债券型证券投资基金(QDII)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005243</w:t>
            </w:r>
          </w:p>
        </w:tc>
      </w:tr>
      <w:tr w:rsidR="00CE3DAF"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融通红利机会主题精选灵活配置混合型证券投资基金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E3DAF" w:rsidRPr="00583AE2" w:rsidRDefault="00CE3DAF" w:rsidP="00CE3DAF">
            <w:pPr>
              <w:widowControl/>
              <w:jc w:val="left"/>
              <w:rPr>
                <w:rFonts w:ascii="宋体" w:hAnsi="宋体" w:hint="eastAsia"/>
                <w:szCs w:val="21"/>
              </w:rPr>
            </w:pPr>
            <w:r w:rsidRPr="00583AE2">
              <w:rPr>
                <w:rFonts w:ascii="宋体" w:hAnsi="宋体" w:hint="eastAsia"/>
                <w:szCs w:val="21"/>
              </w:rPr>
              <w:t>005618（A类）、</w:t>
            </w:r>
            <w:r w:rsidRPr="00583AE2">
              <w:rPr>
                <w:rFonts w:ascii="宋体" w:hAnsi="宋体"/>
                <w:szCs w:val="21"/>
              </w:rPr>
              <w:t>005619</w:t>
            </w:r>
            <w:r w:rsidRPr="00583AE2">
              <w:rPr>
                <w:rFonts w:ascii="宋体" w:hAnsi="宋体" w:hint="eastAsia"/>
                <w:szCs w:val="21"/>
              </w:rPr>
              <w:t>（</w:t>
            </w:r>
            <w:r w:rsidRPr="00583AE2">
              <w:rPr>
                <w:rFonts w:ascii="宋体" w:hAnsi="宋体"/>
                <w:szCs w:val="21"/>
              </w:rPr>
              <w:t>C</w:t>
            </w:r>
            <w:r w:rsidRPr="00583AE2">
              <w:rPr>
                <w:rFonts w:ascii="宋体" w:hAnsi="宋体" w:hint="eastAsia"/>
                <w:szCs w:val="21"/>
              </w:rPr>
              <w:t>类）</w:t>
            </w:r>
          </w:p>
        </w:tc>
      </w:tr>
      <w:tr w:rsidR="007945A4"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7945A4" w:rsidRPr="00583AE2" w:rsidRDefault="007945A4" w:rsidP="007945A4">
            <w:pPr>
              <w:widowControl/>
              <w:jc w:val="left"/>
              <w:rPr>
                <w:rFonts w:ascii="宋体" w:hAnsi="宋体" w:hint="eastAsia"/>
                <w:szCs w:val="21"/>
              </w:rPr>
            </w:pPr>
            <w:r w:rsidRPr="00583AE2">
              <w:rPr>
                <w:rFonts w:ascii="宋体" w:hAnsi="宋体" w:hint="eastAsia"/>
                <w:szCs w:val="21"/>
              </w:rPr>
              <w:lastRenderedPageBreak/>
              <w:t>融通新能源汽车主题精选灵活配置混合型证券投资基金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945A4" w:rsidRPr="00583AE2" w:rsidRDefault="007945A4" w:rsidP="007945A4">
            <w:pPr>
              <w:widowControl/>
              <w:jc w:val="left"/>
              <w:rPr>
                <w:rFonts w:ascii="宋体" w:hAnsi="宋体" w:hint="eastAsia"/>
                <w:szCs w:val="21"/>
              </w:rPr>
            </w:pPr>
            <w:r w:rsidRPr="00583AE2">
              <w:rPr>
                <w:rFonts w:ascii="宋体" w:hAnsi="宋体" w:hint="eastAsia"/>
                <w:szCs w:val="21"/>
              </w:rPr>
              <w:t>005668</w:t>
            </w:r>
          </w:p>
        </w:tc>
      </w:tr>
      <w:tr w:rsidR="007945A4"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7945A4" w:rsidRPr="00583AE2" w:rsidRDefault="007945A4" w:rsidP="007945A4">
            <w:pPr>
              <w:widowControl/>
              <w:jc w:val="left"/>
              <w:rPr>
                <w:rFonts w:ascii="宋体" w:hAnsi="宋体" w:hint="eastAsia"/>
                <w:szCs w:val="21"/>
              </w:rPr>
            </w:pPr>
            <w:r w:rsidRPr="00583AE2">
              <w:rPr>
                <w:rFonts w:ascii="宋体" w:hAnsi="宋体" w:hint="eastAsia"/>
                <w:szCs w:val="21"/>
              </w:rPr>
              <w:t>融通研究优选混合型证券投资基金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945A4" w:rsidRPr="00583AE2" w:rsidRDefault="007945A4" w:rsidP="007945A4">
            <w:pPr>
              <w:widowControl/>
              <w:jc w:val="left"/>
              <w:rPr>
                <w:rFonts w:ascii="宋体" w:hAnsi="宋体" w:hint="eastAsia"/>
                <w:szCs w:val="21"/>
              </w:rPr>
            </w:pPr>
            <w:r w:rsidRPr="00583AE2">
              <w:rPr>
                <w:rFonts w:ascii="宋体" w:hAnsi="宋体" w:hint="eastAsia"/>
                <w:szCs w:val="21"/>
              </w:rPr>
              <w:t>006084</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融通新蓝筹证券投资基金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161601</w:t>
            </w:r>
            <w:r w:rsidR="00503F12"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161602</w:t>
            </w:r>
            <w:r w:rsidR="00503F12"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融通债券投资基金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161603</w:t>
            </w:r>
            <w:r w:rsidR="00503F12" w:rsidRPr="00583AE2">
              <w:rPr>
                <w:rFonts w:ascii="宋体" w:hAnsi="宋体" w:hint="eastAsia"/>
                <w:szCs w:val="21"/>
              </w:rPr>
              <w:t>（A类）</w:t>
            </w:r>
            <w:r w:rsidRPr="00583AE2">
              <w:rPr>
                <w:rFonts w:ascii="宋体" w:hAnsi="宋体" w:hint="eastAsia"/>
                <w:szCs w:val="21"/>
              </w:rPr>
              <w:t>、</w:t>
            </w:r>
            <w:r w:rsidRPr="00583AE2">
              <w:rPr>
                <w:rFonts w:ascii="宋体" w:hAnsi="宋体"/>
                <w:szCs w:val="21"/>
              </w:rPr>
              <w:t>161653</w:t>
            </w:r>
            <w:r w:rsidR="00503F12" w:rsidRPr="00583AE2">
              <w:rPr>
                <w:rFonts w:ascii="宋体" w:hAnsi="宋体" w:hint="eastAsia"/>
                <w:szCs w:val="21"/>
              </w:rPr>
              <w:t>（</w:t>
            </w:r>
            <w:r w:rsidR="00503F12" w:rsidRPr="00583AE2">
              <w:rPr>
                <w:rFonts w:ascii="宋体" w:hAnsi="宋体"/>
                <w:szCs w:val="21"/>
              </w:rPr>
              <w:t>B</w:t>
            </w:r>
            <w:r w:rsidR="00503F12" w:rsidRPr="00583AE2">
              <w:rPr>
                <w:rFonts w:ascii="宋体" w:hAnsi="宋体" w:hint="eastAsia"/>
                <w:szCs w:val="21"/>
              </w:rPr>
              <w:t>类）</w:t>
            </w:r>
            <w:r w:rsidRPr="00583AE2">
              <w:rPr>
                <w:rFonts w:ascii="宋体" w:hAnsi="宋体" w:hint="eastAsia"/>
                <w:szCs w:val="21"/>
              </w:rPr>
              <w:t>、</w:t>
            </w:r>
            <w:r w:rsidRPr="00583AE2">
              <w:rPr>
                <w:rFonts w:ascii="宋体" w:hAnsi="宋体"/>
                <w:szCs w:val="21"/>
              </w:rPr>
              <w:t>161693</w:t>
            </w:r>
            <w:r w:rsidR="00503F12" w:rsidRPr="00583AE2">
              <w:rPr>
                <w:rFonts w:ascii="宋体" w:hAnsi="宋体" w:hint="eastAsia"/>
                <w:szCs w:val="21"/>
              </w:rPr>
              <w:t>（</w:t>
            </w:r>
            <w:r w:rsidR="00503F12" w:rsidRPr="00583AE2">
              <w:rPr>
                <w:rFonts w:ascii="宋体" w:hAnsi="宋体"/>
                <w:szCs w:val="21"/>
              </w:rPr>
              <w:t>C</w:t>
            </w:r>
            <w:r w:rsidR="00503F12" w:rsidRPr="00583AE2">
              <w:rPr>
                <w:rFonts w:ascii="宋体" w:hAnsi="宋体" w:hint="eastAsia"/>
                <w:szCs w:val="21"/>
              </w:rPr>
              <w:t>类）</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融通深证100指数证券投资基金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503F12">
            <w:pPr>
              <w:widowControl/>
              <w:jc w:val="left"/>
              <w:rPr>
                <w:rFonts w:ascii="宋体" w:hAnsi="宋体" w:hint="eastAsia"/>
                <w:szCs w:val="21"/>
              </w:rPr>
            </w:pPr>
            <w:r w:rsidRPr="00583AE2">
              <w:rPr>
                <w:rFonts w:ascii="宋体" w:hAnsi="宋体" w:hint="eastAsia"/>
                <w:szCs w:val="21"/>
              </w:rPr>
              <w:t>161604</w:t>
            </w:r>
            <w:r w:rsidR="00503F12" w:rsidRPr="00583AE2">
              <w:rPr>
                <w:rFonts w:ascii="宋体" w:hAnsi="宋体" w:hint="eastAsia"/>
                <w:szCs w:val="21"/>
              </w:rPr>
              <w:t>（</w:t>
            </w:r>
            <w:r w:rsidR="00704BC4" w:rsidRPr="00583AE2">
              <w:rPr>
                <w:rFonts w:ascii="宋体" w:hAnsi="宋体" w:hint="eastAsia"/>
                <w:szCs w:val="21"/>
              </w:rPr>
              <w:t>A类</w:t>
            </w:r>
            <w:r w:rsidR="00503F12" w:rsidRPr="00583AE2">
              <w:rPr>
                <w:rFonts w:ascii="宋体" w:hAnsi="宋体" w:hint="eastAsia"/>
                <w:szCs w:val="21"/>
              </w:rPr>
              <w:t>）</w:t>
            </w:r>
            <w:r w:rsidRPr="00583AE2">
              <w:rPr>
                <w:rFonts w:ascii="宋体" w:hAnsi="宋体" w:hint="eastAsia"/>
                <w:szCs w:val="21"/>
              </w:rPr>
              <w:t>、</w:t>
            </w:r>
            <w:r w:rsidRPr="00583AE2">
              <w:rPr>
                <w:rFonts w:ascii="宋体" w:hAnsi="宋体"/>
                <w:szCs w:val="21"/>
              </w:rPr>
              <w:t>161654</w:t>
            </w:r>
            <w:r w:rsidR="00503F12" w:rsidRPr="00583AE2">
              <w:rPr>
                <w:rFonts w:ascii="宋体" w:hAnsi="宋体" w:hint="eastAsia"/>
                <w:szCs w:val="21"/>
              </w:rPr>
              <w:t>（</w:t>
            </w:r>
            <w:r w:rsidR="00704BC4">
              <w:rPr>
                <w:rFonts w:ascii="宋体" w:hAnsi="宋体" w:hint="eastAsia"/>
                <w:szCs w:val="21"/>
              </w:rPr>
              <w:t>B</w:t>
            </w:r>
            <w:r w:rsidR="00704BC4" w:rsidRPr="00583AE2">
              <w:rPr>
                <w:rFonts w:ascii="宋体" w:hAnsi="宋体" w:hint="eastAsia"/>
                <w:szCs w:val="21"/>
              </w:rPr>
              <w:t>类</w:t>
            </w:r>
            <w:r w:rsidR="00503F12" w:rsidRPr="00583AE2">
              <w:rPr>
                <w:rFonts w:ascii="宋体" w:hAnsi="宋体" w:hint="eastAsia"/>
                <w:szCs w:val="21"/>
              </w:rPr>
              <w:t>）</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融通蓝筹成长证券投资基金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161605</w:t>
            </w:r>
            <w:r w:rsidR="00503F12"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161655</w:t>
            </w:r>
            <w:r w:rsidR="00503F12"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融通行业景气证券投资基金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161606</w:t>
            </w:r>
            <w:r w:rsidR="00503F12"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161656</w:t>
            </w:r>
            <w:r w:rsidR="00503F12"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融通易支付货币市场证券投资基金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6E7BAA">
            <w:pPr>
              <w:widowControl/>
              <w:jc w:val="left"/>
              <w:rPr>
                <w:rFonts w:ascii="宋体" w:hAnsi="宋体" w:hint="eastAsia"/>
                <w:szCs w:val="21"/>
              </w:rPr>
            </w:pPr>
            <w:r w:rsidRPr="00583AE2">
              <w:rPr>
                <w:rFonts w:ascii="宋体" w:hAnsi="宋体" w:hint="eastAsia"/>
                <w:szCs w:val="21"/>
              </w:rPr>
              <w:t>161608</w:t>
            </w:r>
            <w:r w:rsidR="00503F12" w:rsidRPr="00583AE2">
              <w:rPr>
                <w:rFonts w:ascii="宋体" w:hAnsi="宋体" w:hint="eastAsia"/>
                <w:szCs w:val="21"/>
              </w:rPr>
              <w:t>（A类）</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融通动力先锋混合型证券投资基金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161609</w:t>
            </w:r>
            <w:r w:rsidR="00F146CF"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161659</w:t>
            </w:r>
            <w:r w:rsidR="00F146CF"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融通内需驱动混合型证券投资基金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161611</w:t>
            </w:r>
            <w:r w:rsidR="00F146CF"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161661</w:t>
            </w:r>
            <w:r w:rsidR="00F146CF"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融通深证成份指数证券投资基金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161612</w:t>
            </w:r>
            <w:r w:rsidR="00F146CF"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161662</w:t>
            </w:r>
            <w:r w:rsidR="00F146CF"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融通创业板指数增强型证券投资基金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161613</w:t>
            </w:r>
            <w:r w:rsidR="00F146CF" w:rsidRPr="00583AE2">
              <w:rPr>
                <w:rFonts w:ascii="宋体" w:hAnsi="宋体" w:hint="eastAsia"/>
                <w:szCs w:val="21"/>
              </w:rPr>
              <w:t>（</w:t>
            </w:r>
            <w:r w:rsidR="00704BC4" w:rsidRPr="00583AE2">
              <w:rPr>
                <w:rFonts w:ascii="宋体" w:hAnsi="宋体" w:hint="eastAsia"/>
                <w:szCs w:val="21"/>
              </w:rPr>
              <w:t>A类</w:t>
            </w:r>
            <w:r w:rsidR="00F146CF" w:rsidRPr="00583AE2">
              <w:rPr>
                <w:rFonts w:ascii="宋体" w:hAnsi="宋体" w:hint="eastAsia"/>
                <w:szCs w:val="21"/>
              </w:rPr>
              <w:t>）</w:t>
            </w:r>
            <w:r w:rsidRPr="00583AE2">
              <w:rPr>
                <w:rFonts w:ascii="宋体" w:hAnsi="宋体" w:hint="eastAsia"/>
                <w:szCs w:val="21"/>
              </w:rPr>
              <w:t>、</w:t>
            </w:r>
            <w:r w:rsidRPr="00583AE2">
              <w:rPr>
                <w:rFonts w:ascii="宋体" w:hAnsi="宋体"/>
                <w:szCs w:val="21"/>
              </w:rPr>
              <w:t>161663</w:t>
            </w:r>
            <w:r w:rsidR="00F146CF" w:rsidRPr="00583AE2">
              <w:rPr>
                <w:rFonts w:ascii="宋体" w:hAnsi="宋体" w:hint="eastAsia"/>
                <w:szCs w:val="21"/>
              </w:rPr>
              <w:t>（</w:t>
            </w:r>
            <w:r w:rsidR="00704BC4">
              <w:rPr>
                <w:rFonts w:ascii="宋体" w:hAnsi="宋体" w:hint="eastAsia"/>
                <w:szCs w:val="21"/>
              </w:rPr>
              <w:t>B</w:t>
            </w:r>
            <w:r w:rsidR="00704BC4" w:rsidRPr="00583AE2">
              <w:rPr>
                <w:rFonts w:ascii="宋体" w:hAnsi="宋体" w:hint="eastAsia"/>
                <w:szCs w:val="21"/>
              </w:rPr>
              <w:t>类</w:t>
            </w:r>
            <w:r w:rsidR="00F146CF" w:rsidRPr="00583AE2">
              <w:rPr>
                <w:rFonts w:ascii="宋体" w:hAnsi="宋体" w:hint="eastAsia"/>
                <w:szCs w:val="21"/>
              </w:rPr>
              <w:t>）</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融通医疗保健行业混合型证券投资基金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161616</w:t>
            </w:r>
            <w:r w:rsidR="00F146CF" w:rsidRPr="00583AE2">
              <w:rPr>
                <w:rFonts w:ascii="宋体" w:hAnsi="宋体" w:hint="eastAsia"/>
                <w:szCs w:val="21"/>
              </w:rPr>
              <w:t>（前端）</w:t>
            </w:r>
            <w:r w:rsidRPr="00583AE2">
              <w:rPr>
                <w:rFonts w:ascii="宋体" w:hAnsi="宋体" w:hint="eastAsia"/>
                <w:szCs w:val="21"/>
              </w:rPr>
              <w:t>、</w:t>
            </w:r>
            <w:r w:rsidRPr="00583AE2">
              <w:rPr>
                <w:rFonts w:ascii="宋体" w:hAnsi="宋体"/>
                <w:szCs w:val="21"/>
              </w:rPr>
              <w:t>161617</w:t>
            </w:r>
            <w:r w:rsidR="00F146CF" w:rsidRPr="00583AE2">
              <w:rPr>
                <w:rFonts w:ascii="宋体" w:hAnsi="宋体" w:hint="eastAsia"/>
                <w:szCs w:val="21"/>
              </w:rPr>
              <w:t>（后端）</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融通岁岁添利定期开放债券型证券投资基金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C07B64">
            <w:pPr>
              <w:widowControl/>
              <w:jc w:val="left"/>
              <w:rPr>
                <w:rFonts w:ascii="宋体" w:hAnsi="宋体" w:hint="eastAsia"/>
                <w:szCs w:val="21"/>
              </w:rPr>
            </w:pPr>
            <w:r w:rsidRPr="00583AE2">
              <w:rPr>
                <w:rFonts w:ascii="宋体" w:hAnsi="宋体" w:hint="eastAsia"/>
                <w:szCs w:val="21"/>
              </w:rPr>
              <w:t>161618</w:t>
            </w:r>
            <w:r w:rsidR="00F146CF" w:rsidRPr="00583AE2">
              <w:rPr>
                <w:rFonts w:ascii="宋体" w:hAnsi="宋体" w:hint="eastAsia"/>
                <w:szCs w:val="21"/>
              </w:rPr>
              <w:t>（A类）</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融通核心价值混合型证券投资基金(QDII)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161620</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融通可转债债券型证券投资基金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161624</w:t>
            </w:r>
            <w:r w:rsidR="00752750" w:rsidRPr="00583AE2">
              <w:rPr>
                <w:rFonts w:ascii="宋体" w:hAnsi="宋体" w:hint="eastAsia"/>
                <w:szCs w:val="21"/>
              </w:rPr>
              <w:t>（A类）</w:t>
            </w:r>
            <w:r w:rsidRPr="00583AE2">
              <w:rPr>
                <w:rFonts w:ascii="宋体" w:hAnsi="宋体" w:hint="eastAsia"/>
                <w:szCs w:val="21"/>
              </w:rPr>
              <w:t>、</w:t>
            </w:r>
            <w:r w:rsidRPr="00583AE2">
              <w:rPr>
                <w:rFonts w:ascii="宋体" w:hAnsi="宋体"/>
                <w:szCs w:val="21"/>
              </w:rPr>
              <w:t>161625</w:t>
            </w:r>
            <w:r w:rsidR="00752750" w:rsidRPr="00583AE2">
              <w:rPr>
                <w:rFonts w:ascii="宋体" w:hAnsi="宋体" w:hint="eastAsia"/>
                <w:szCs w:val="21"/>
              </w:rPr>
              <w:t>（</w:t>
            </w:r>
            <w:r w:rsidR="00752750" w:rsidRPr="00583AE2">
              <w:rPr>
                <w:rFonts w:ascii="宋体" w:hAnsi="宋体"/>
                <w:szCs w:val="21"/>
              </w:rPr>
              <w:t>C</w:t>
            </w:r>
            <w:r w:rsidR="00752750" w:rsidRPr="00583AE2">
              <w:rPr>
                <w:rFonts w:ascii="宋体" w:hAnsi="宋体" w:hint="eastAsia"/>
                <w:szCs w:val="21"/>
              </w:rPr>
              <w:t>类）</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融通巨潮100指数证券投资基金(LOF)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161607</w:t>
            </w:r>
            <w:r w:rsidR="00752750" w:rsidRPr="00583AE2">
              <w:rPr>
                <w:rFonts w:ascii="宋体" w:hAnsi="宋体" w:hint="eastAsia"/>
                <w:szCs w:val="21"/>
              </w:rPr>
              <w:t>（A类）</w:t>
            </w:r>
            <w:r w:rsidRPr="00583AE2">
              <w:rPr>
                <w:rFonts w:ascii="宋体" w:hAnsi="宋体" w:hint="eastAsia"/>
                <w:szCs w:val="21"/>
              </w:rPr>
              <w:t>、</w:t>
            </w:r>
            <w:r w:rsidRPr="00583AE2">
              <w:rPr>
                <w:rFonts w:ascii="宋体" w:hAnsi="宋体"/>
                <w:szCs w:val="21"/>
              </w:rPr>
              <w:t>161657</w:t>
            </w:r>
            <w:r w:rsidR="00752750" w:rsidRPr="00583AE2">
              <w:rPr>
                <w:rFonts w:ascii="宋体" w:hAnsi="宋体" w:hint="eastAsia"/>
                <w:szCs w:val="21"/>
              </w:rPr>
              <w:t>（</w:t>
            </w:r>
            <w:r w:rsidR="00752750" w:rsidRPr="00583AE2">
              <w:rPr>
                <w:rFonts w:ascii="宋体" w:hAnsi="宋体"/>
                <w:szCs w:val="21"/>
              </w:rPr>
              <w:t>B</w:t>
            </w:r>
            <w:r w:rsidR="00752750" w:rsidRPr="00583AE2">
              <w:rPr>
                <w:rFonts w:ascii="宋体" w:hAnsi="宋体" w:hint="eastAsia"/>
                <w:szCs w:val="21"/>
              </w:rPr>
              <w:t>类）</w:t>
            </w:r>
          </w:p>
        </w:tc>
      </w:tr>
      <w:tr w:rsidR="00306176"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2134B1" w:rsidP="00306176">
            <w:pPr>
              <w:widowControl/>
              <w:jc w:val="left"/>
              <w:rPr>
                <w:rFonts w:ascii="宋体" w:hAnsi="宋体" w:hint="eastAsia"/>
                <w:szCs w:val="21"/>
              </w:rPr>
            </w:pPr>
            <w:r w:rsidRPr="00583AE2">
              <w:rPr>
                <w:rFonts w:ascii="宋体" w:hAnsi="宋体" w:hint="eastAsia"/>
                <w:szCs w:val="21"/>
              </w:rPr>
              <w:t>融通领先成长混合型证券投资基金(LOF)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06176" w:rsidRPr="00583AE2" w:rsidRDefault="00306176" w:rsidP="00306176">
            <w:pPr>
              <w:widowControl/>
              <w:jc w:val="left"/>
              <w:rPr>
                <w:rFonts w:ascii="宋体" w:hAnsi="宋体" w:hint="eastAsia"/>
                <w:szCs w:val="21"/>
              </w:rPr>
            </w:pPr>
            <w:r w:rsidRPr="00583AE2">
              <w:rPr>
                <w:rFonts w:ascii="宋体" w:hAnsi="宋体" w:hint="eastAsia"/>
                <w:szCs w:val="21"/>
              </w:rPr>
              <w:t>161610</w:t>
            </w:r>
            <w:r w:rsidR="00752750" w:rsidRPr="00583AE2">
              <w:rPr>
                <w:rFonts w:ascii="宋体" w:hAnsi="宋体" w:hint="eastAsia"/>
                <w:szCs w:val="21"/>
              </w:rPr>
              <w:t>（A类）</w:t>
            </w:r>
            <w:r w:rsidRPr="00583AE2">
              <w:rPr>
                <w:rFonts w:ascii="宋体" w:hAnsi="宋体" w:hint="eastAsia"/>
                <w:szCs w:val="21"/>
              </w:rPr>
              <w:t>、</w:t>
            </w:r>
            <w:r w:rsidRPr="00583AE2">
              <w:rPr>
                <w:rFonts w:ascii="宋体" w:hAnsi="宋体"/>
                <w:szCs w:val="21"/>
              </w:rPr>
              <w:t>161660</w:t>
            </w:r>
            <w:r w:rsidR="00752750" w:rsidRPr="00583AE2">
              <w:rPr>
                <w:rFonts w:ascii="宋体" w:hAnsi="宋体" w:hint="eastAsia"/>
                <w:szCs w:val="21"/>
              </w:rPr>
              <w:t>（</w:t>
            </w:r>
            <w:r w:rsidR="00752750" w:rsidRPr="00583AE2">
              <w:rPr>
                <w:rFonts w:ascii="宋体" w:hAnsi="宋体"/>
                <w:szCs w:val="21"/>
              </w:rPr>
              <w:t>B</w:t>
            </w:r>
            <w:r w:rsidR="00752750" w:rsidRPr="00583AE2">
              <w:rPr>
                <w:rFonts w:ascii="宋体" w:hAnsi="宋体" w:hint="eastAsia"/>
                <w:szCs w:val="21"/>
              </w:rPr>
              <w:t>类）</w:t>
            </w:r>
          </w:p>
        </w:tc>
      </w:tr>
      <w:tr w:rsidR="001A0B25"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2134B1" w:rsidP="001A0B25">
            <w:pPr>
              <w:widowControl/>
              <w:jc w:val="left"/>
              <w:rPr>
                <w:rFonts w:ascii="宋体" w:hAnsi="宋体" w:hint="eastAsia"/>
                <w:szCs w:val="21"/>
              </w:rPr>
            </w:pPr>
            <w:r w:rsidRPr="00583AE2">
              <w:rPr>
                <w:rFonts w:ascii="宋体" w:hAnsi="宋体" w:hint="eastAsia"/>
                <w:szCs w:val="21"/>
              </w:rPr>
              <w:t>融通四季添利债券型证券投资基金(LOF)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1A0B25" w:rsidP="001A0B25">
            <w:pPr>
              <w:widowControl/>
              <w:jc w:val="left"/>
              <w:rPr>
                <w:rFonts w:ascii="宋体" w:hAnsi="宋体" w:hint="eastAsia"/>
                <w:szCs w:val="21"/>
              </w:rPr>
            </w:pPr>
            <w:r w:rsidRPr="00583AE2">
              <w:rPr>
                <w:rFonts w:ascii="宋体" w:hAnsi="宋体" w:hint="eastAsia"/>
                <w:szCs w:val="21"/>
              </w:rPr>
              <w:t>161614</w:t>
            </w:r>
          </w:p>
        </w:tc>
      </w:tr>
      <w:tr w:rsidR="001A0B25"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2134B1" w:rsidP="001A0B25">
            <w:pPr>
              <w:widowControl/>
              <w:jc w:val="left"/>
              <w:rPr>
                <w:rFonts w:ascii="宋体" w:hAnsi="宋体" w:hint="eastAsia"/>
                <w:szCs w:val="21"/>
              </w:rPr>
            </w:pPr>
            <w:r w:rsidRPr="00583AE2">
              <w:rPr>
                <w:rFonts w:ascii="宋体" w:hAnsi="宋体" w:hint="eastAsia"/>
                <w:szCs w:val="21"/>
              </w:rPr>
              <w:t>融通通福债券型证券投资基金(LOF)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1A0B25" w:rsidP="00C07B64">
            <w:pPr>
              <w:widowControl/>
              <w:jc w:val="left"/>
              <w:rPr>
                <w:rFonts w:ascii="宋体" w:hAnsi="宋体" w:hint="eastAsia"/>
                <w:szCs w:val="21"/>
              </w:rPr>
            </w:pPr>
            <w:r w:rsidRPr="00583AE2">
              <w:rPr>
                <w:rFonts w:ascii="宋体" w:hAnsi="宋体" w:hint="eastAsia"/>
                <w:szCs w:val="21"/>
              </w:rPr>
              <w:t>161626</w:t>
            </w:r>
            <w:r w:rsidR="00752750" w:rsidRPr="00583AE2">
              <w:rPr>
                <w:rFonts w:ascii="宋体" w:hAnsi="宋体" w:hint="eastAsia"/>
                <w:szCs w:val="21"/>
              </w:rPr>
              <w:t>（A类）</w:t>
            </w:r>
          </w:p>
        </w:tc>
      </w:tr>
      <w:tr w:rsidR="001A0B25"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2134B1" w:rsidP="001A0B25">
            <w:pPr>
              <w:widowControl/>
              <w:jc w:val="left"/>
              <w:rPr>
                <w:rFonts w:ascii="宋体" w:hAnsi="宋体" w:hint="eastAsia"/>
                <w:szCs w:val="21"/>
              </w:rPr>
            </w:pPr>
            <w:r w:rsidRPr="00583AE2">
              <w:rPr>
                <w:rFonts w:ascii="宋体" w:hAnsi="宋体" w:hint="eastAsia"/>
                <w:szCs w:val="21"/>
              </w:rPr>
              <w:t>融通中证军工指数分级证券投资基金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1A0B25" w:rsidP="001A0B25">
            <w:pPr>
              <w:widowControl/>
              <w:jc w:val="left"/>
              <w:rPr>
                <w:rFonts w:ascii="宋体" w:hAnsi="宋体" w:hint="eastAsia"/>
                <w:szCs w:val="21"/>
              </w:rPr>
            </w:pPr>
            <w:r w:rsidRPr="00583AE2">
              <w:rPr>
                <w:rFonts w:ascii="宋体" w:hAnsi="宋体" w:hint="eastAsia"/>
                <w:szCs w:val="21"/>
              </w:rPr>
              <w:t>161628</w:t>
            </w:r>
          </w:p>
        </w:tc>
      </w:tr>
      <w:tr w:rsidR="001A0B25"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2134B1" w:rsidP="001A0B25">
            <w:pPr>
              <w:widowControl/>
              <w:jc w:val="left"/>
              <w:rPr>
                <w:rFonts w:ascii="宋体" w:hAnsi="宋体" w:hint="eastAsia"/>
                <w:szCs w:val="21"/>
              </w:rPr>
            </w:pPr>
            <w:r w:rsidRPr="00583AE2">
              <w:rPr>
                <w:rFonts w:ascii="宋体" w:hAnsi="宋体" w:hint="eastAsia"/>
                <w:szCs w:val="21"/>
              </w:rPr>
              <w:t>融通中证全指证券公司指数分级证券投资基金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1A0B25" w:rsidP="001A0B25">
            <w:pPr>
              <w:widowControl/>
              <w:jc w:val="left"/>
              <w:rPr>
                <w:rFonts w:ascii="宋体" w:hAnsi="宋体" w:hint="eastAsia"/>
                <w:szCs w:val="21"/>
              </w:rPr>
            </w:pPr>
            <w:r w:rsidRPr="00583AE2">
              <w:rPr>
                <w:rFonts w:ascii="宋体" w:hAnsi="宋体" w:hint="eastAsia"/>
                <w:szCs w:val="21"/>
              </w:rPr>
              <w:t>161629</w:t>
            </w:r>
          </w:p>
        </w:tc>
      </w:tr>
      <w:tr w:rsidR="001A0B25" w:rsidRPr="00583AE2" w:rsidTr="00BB7DE9">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2134B1" w:rsidP="001A0B25">
            <w:pPr>
              <w:widowControl/>
              <w:jc w:val="left"/>
              <w:rPr>
                <w:rFonts w:ascii="宋体" w:hAnsi="宋体" w:hint="eastAsia"/>
                <w:szCs w:val="21"/>
              </w:rPr>
            </w:pPr>
            <w:r w:rsidRPr="00583AE2">
              <w:rPr>
                <w:rFonts w:ascii="宋体" w:hAnsi="宋体" w:hint="eastAsia"/>
                <w:szCs w:val="21"/>
              </w:rPr>
              <w:t>融通中证人工智能主题指数证券投资基金(LOF)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B25" w:rsidRPr="00583AE2" w:rsidRDefault="001A0B25" w:rsidP="001A0B25">
            <w:pPr>
              <w:widowControl/>
              <w:jc w:val="left"/>
              <w:rPr>
                <w:rFonts w:ascii="宋体" w:hAnsi="宋体" w:hint="eastAsia"/>
                <w:szCs w:val="21"/>
              </w:rPr>
            </w:pPr>
            <w:r w:rsidRPr="00583AE2">
              <w:rPr>
                <w:rFonts w:ascii="宋体" w:hAnsi="宋体" w:hint="eastAsia"/>
                <w:szCs w:val="21"/>
              </w:rPr>
              <w:t>161631</w:t>
            </w:r>
            <w:r w:rsidR="00003B97" w:rsidRPr="00583AE2">
              <w:rPr>
                <w:rFonts w:ascii="宋体" w:hAnsi="宋体" w:hint="eastAsia"/>
                <w:szCs w:val="21"/>
              </w:rPr>
              <w:t>（A类）</w:t>
            </w:r>
          </w:p>
        </w:tc>
      </w:tr>
    </w:tbl>
    <w:p w:rsidR="00D461E7" w:rsidRDefault="00D461E7" w:rsidP="00D461E7">
      <w:pPr>
        <w:spacing w:line="360" w:lineRule="auto"/>
        <w:ind w:firstLineChars="200" w:firstLine="420"/>
        <w:rPr>
          <w:rFonts w:ascii="宋体" w:hAnsi="宋体" w:hint="eastAsia"/>
          <w:szCs w:val="21"/>
        </w:rPr>
      </w:pPr>
      <w:r>
        <w:rPr>
          <w:rFonts w:ascii="宋体" w:hAnsi="宋体" w:hint="eastAsia"/>
          <w:szCs w:val="21"/>
        </w:rPr>
        <w:t>注：1、</w:t>
      </w:r>
      <w:r w:rsidR="00003B97" w:rsidRPr="00583AE2">
        <w:rPr>
          <w:rFonts w:ascii="宋体" w:hAnsi="宋体" w:hint="eastAsia"/>
          <w:szCs w:val="21"/>
        </w:rPr>
        <w:t>融通增强收益债券型证券投资基金</w:t>
      </w:r>
      <w:r w:rsidR="00003B97">
        <w:rPr>
          <w:rFonts w:ascii="宋体" w:hAnsi="宋体" w:hint="eastAsia"/>
          <w:szCs w:val="21"/>
        </w:rPr>
        <w:t>、融通月月添利定期开放债券型证券投资基金、</w:t>
      </w:r>
      <w:r w:rsidR="00003B97" w:rsidRPr="00003B97">
        <w:rPr>
          <w:rFonts w:ascii="宋体" w:hAnsi="宋体" w:hint="eastAsia"/>
          <w:szCs w:val="21"/>
        </w:rPr>
        <w:t>融通通鑫灵活配置混合型证券投资基金</w:t>
      </w:r>
      <w:r w:rsidR="00003B97">
        <w:rPr>
          <w:rFonts w:ascii="宋体" w:hAnsi="宋体" w:hint="eastAsia"/>
          <w:szCs w:val="21"/>
        </w:rPr>
        <w:t>、</w:t>
      </w:r>
      <w:r w:rsidR="00003B97" w:rsidRPr="00A85AF2">
        <w:rPr>
          <w:rFonts w:ascii="宋体" w:hAnsi="宋体" w:hint="eastAsia"/>
          <w:szCs w:val="21"/>
        </w:rPr>
        <w:t>融通通盈</w:t>
      </w:r>
      <w:r w:rsidR="00003B97" w:rsidRPr="00003B97">
        <w:rPr>
          <w:rFonts w:ascii="宋体" w:hAnsi="宋体" w:hint="eastAsia"/>
          <w:szCs w:val="21"/>
        </w:rPr>
        <w:t>灵活配置</w:t>
      </w:r>
      <w:r w:rsidR="00003B97" w:rsidRPr="00A85AF2">
        <w:rPr>
          <w:rFonts w:ascii="宋体" w:hAnsi="宋体" w:hint="eastAsia"/>
          <w:szCs w:val="21"/>
        </w:rPr>
        <w:t>混合型证券投资基金</w:t>
      </w:r>
      <w:r w:rsidR="00003B97">
        <w:rPr>
          <w:rFonts w:ascii="宋体" w:hAnsi="宋体" w:hint="eastAsia"/>
          <w:szCs w:val="21"/>
        </w:rPr>
        <w:t>、</w:t>
      </w:r>
      <w:r>
        <w:rPr>
          <w:rFonts w:ascii="宋体" w:hAnsi="宋体" w:hint="eastAsia"/>
          <w:szCs w:val="21"/>
        </w:rPr>
        <w:t>融通岁岁添利定期开放债券型证券投资基金、</w:t>
      </w:r>
      <w:r w:rsidRPr="00A85AF2">
        <w:rPr>
          <w:rFonts w:ascii="宋体" w:hAnsi="宋体" w:hint="eastAsia"/>
          <w:szCs w:val="21"/>
        </w:rPr>
        <w:t>融通通福债券型证券投资基金（LOF）</w:t>
      </w:r>
      <w:r>
        <w:rPr>
          <w:rFonts w:ascii="宋体" w:hAnsi="宋体" w:hint="eastAsia"/>
          <w:szCs w:val="21"/>
        </w:rPr>
        <w:t>暂不开通定期定额投资业务；</w:t>
      </w:r>
    </w:p>
    <w:p w:rsidR="00D461E7" w:rsidRDefault="00D461E7" w:rsidP="00D461E7">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、融通月月添利定期开放债券型证券投资基金、融通岁岁添利定期开放债券型证券投资基金目前处于封闭期，开放时间请留意后续相关公告。</w:t>
      </w:r>
    </w:p>
    <w:p w:rsidR="00BB7DE9" w:rsidRPr="00D461E7" w:rsidRDefault="00BB7DE9" w:rsidP="00BB7DE9">
      <w:pPr>
        <w:pStyle w:val="a8"/>
        <w:adjustRightInd w:val="0"/>
        <w:snapToGrid w:val="0"/>
        <w:spacing w:line="360" w:lineRule="auto"/>
        <w:rPr>
          <w:rFonts w:ascii="宋体" w:hAnsi="宋体" w:cs="Arial"/>
          <w:szCs w:val="21"/>
        </w:rPr>
      </w:pPr>
    </w:p>
    <w:p w:rsidR="00D27079" w:rsidRPr="00AB57FA" w:rsidRDefault="00D27079" w:rsidP="00311E72">
      <w:pPr>
        <w:pStyle w:val="a8"/>
        <w:adjustRightInd w:val="0"/>
        <w:snapToGrid w:val="0"/>
        <w:spacing w:line="360" w:lineRule="auto"/>
        <w:rPr>
          <w:rFonts w:ascii="宋体" w:hAnsi="宋体" w:cs="Arial" w:hint="eastAsia"/>
          <w:szCs w:val="21"/>
        </w:rPr>
      </w:pPr>
      <w:r w:rsidRPr="00AB57FA">
        <w:rPr>
          <w:rFonts w:ascii="宋体" w:hAnsi="宋体" w:cs="Arial" w:hint="eastAsia"/>
          <w:szCs w:val="21"/>
        </w:rPr>
        <w:t>三、活动内容</w:t>
      </w:r>
      <w:r w:rsidR="00E05C46" w:rsidRPr="00AB57FA">
        <w:rPr>
          <w:rFonts w:ascii="宋体" w:hAnsi="宋体" w:cs="Arial" w:hint="eastAsia"/>
          <w:szCs w:val="21"/>
        </w:rPr>
        <w:t>：</w:t>
      </w:r>
    </w:p>
    <w:p w:rsidR="0041527D" w:rsidRDefault="004D07A2" w:rsidP="00311E72">
      <w:pPr>
        <w:pStyle w:val="a8"/>
        <w:adjustRightInd w:val="0"/>
        <w:snapToGrid w:val="0"/>
        <w:spacing w:line="360" w:lineRule="auto"/>
        <w:rPr>
          <w:rFonts w:ascii="宋体" w:hAnsi="宋体"/>
          <w:szCs w:val="21"/>
        </w:rPr>
      </w:pPr>
      <w:r w:rsidRPr="00AB57FA">
        <w:rPr>
          <w:rFonts w:ascii="宋体" w:hAnsi="宋体" w:cs="Arial" w:hint="eastAsia"/>
          <w:szCs w:val="21"/>
        </w:rPr>
        <w:t>1、</w:t>
      </w:r>
      <w:r w:rsidR="00171BFD" w:rsidRPr="00AB57FA">
        <w:rPr>
          <w:rFonts w:ascii="宋体" w:hAnsi="宋体" w:cs="Arial" w:hint="eastAsia"/>
          <w:szCs w:val="21"/>
        </w:rPr>
        <w:t>自</w:t>
      </w:r>
      <w:r w:rsidRPr="00AB57FA">
        <w:rPr>
          <w:rFonts w:ascii="宋体" w:hAnsi="宋体" w:cs="Arial" w:hint="eastAsia"/>
          <w:szCs w:val="21"/>
        </w:rPr>
        <w:t>20</w:t>
      </w:r>
      <w:r w:rsidR="00433001">
        <w:rPr>
          <w:rFonts w:ascii="宋体" w:hAnsi="宋体" w:cs="Arial"/>
          <w:szCs w:val="21"/>
        </w:rPr>
        <w:t>20</w:t>
      </w:r>
      <w:r w:rsidRPr="00AB57FA">
        <w:rPr>
          <w:rFonts w:ascii="宋体" w:hAnsi="宋体" w:cs="Arial" w:hint="eastAsia"/>
          <w:szCs w:val="21"/>
        </w:rPr>
        <w:t>年</w:t>
      </w:r>
      <w:r w:rsidR="00527E27">
        <w:rPr>
          <w:rFonts w:ascii="宋体" w:hAnsi="宋体" w:cs="Arial"/>
          <w:szCs w:val="21"/>
        </w:rPr>
        <w:t>5</w:t>
      </w:r>
      <w:r w:rsidR="001238FB" w:rsidRPr="00AB57FA">
        <w:rPr>
          <w:rFonts w:ascii="宋体" w:hAnsi="宋体" w:cs="Arial" w:hint="eastAsia"/>
          <w:szCs w:val="21"/>
        </w:rPr>
        <w:t>月</w:t>
      </w:r>
      <w:r w:rsidR="00527E27">
        <w:rPr>
          <w:rFonts w:ascii="宋体" w:hAnsi="宋体" w:cs="Arial" w:hint="eastAsia"/>
          <w:szCs w:val="21"/>
        </w:rPr>
        <w:t>6</w:t>
      </w:r>
      <w:r w:rsidR="001238FB" w:rsidRPr="00AB57FA">
        <w:rPr>
          <w:rFonts w:ascii="宋体" w:hAnsi="宋体" w:cs="Arial" w:hint="eastAsia"/>
          <w:szCs w:val="21"/>
        </w:rPr>
        <w:t>日</w:t>
      </w:r>
      <w:r w:rsidR="00171BFD" w:rsidRPr="00AB57FA">
        <w:rPr>
          <w:rFonts w:ascii="宋体" w:hAnsi="宋体" w:cs="Arial" w:hint="eastAsia"/>
          <w:szCs w:val="21"/>
        </w:rPr>
        <w:t>起</w:t>
      </w:r>
      <w:r w:rsidR="00D27079" w:rsidRPr="00AB57FA">
        <w:rPr>
          <w:rFonts w:ascii="宋体" w:hAnsi="宋体" w:cs="Arial" w:hint="eastAsia"/>
          <w:szCs w:val="21"/>
        </w:rPr>
        <w:t>，</w:t>
      </w:r>
      <w:r w:rsidR="0041527D" w:rsidRPr="00AB57FA">
        <w:rPr>
          <w:rFonts w:ascii="宋体" w:hAnsi="宋体" w:cs="Arial" w:hint="eastAsia"/>
          <w:szCs w:val="21"/>
        </w:rPr>
        <w:t>凡通过</w:t>
      </w:r>
      <w:r w:rsidR="00433001">
        <w:rPr>
          <w:rFonts w:ascii="宋体" w:hAnsi="宋体" w:cs="Arial" w:hint="eastAsia"/>
          <w:szCs w:val="21"/>
        </w:rPr>
        <w:t>华安</w:t>
      </w:r>
      <w:r w:rsidR="0041527D" w:rsidRPr="00AB57FA">
        <w:rPr>
          <w:rFonts w:ascii="宋体" w:hAnsi="宋体" w:cs="Arial" w:hint="eastAsia"/>
          <w:szCs w:val="21"/>
        </w:rPr>
        <w:t>证券</w:t>
      </w:r>
      <w:r w:rsidR="00527E27">
        <w:rPr>
          <w:rFonts w:ascii="宋体" w:hAnsi="宋体" w:cs="Arial" w:hint="eastAsia"/>
          <w:szCs w:val="21"/>
        </w:rPr>
        <w:t>申购</w:t>
      </w:r>
      <w:r w:rsidR="00527E27">
        <w:rPr>
          <w:rFonts w:ascii="宋体" w:hAnsi="宋体" w:cs="Arial"/>
          <w:szCs w:val="21"/>
        </w:rPr>
        <w:t>及</w:t>
      </w:r>
      <w:r w:rsidR="0041527D" w:rsidRPr="00AB57FA">
        <w:rPr>
          <w:rFonts w:ascii="宋体" w:hAnsi="宋体" w:hint="eastAsia"/>
          <w:szCs w:val="21"/>
        </w:rPr>
        <w:t>定期定额投资上述开放式基金的投资者，享受在该基金相应</w:t>
      </w:r>
      <w:r w:rsidR="001B4D7D">
        <w:rPr>
          <w:rFonts w:ascii="宋体" w:hAnsi="宋体" w:cs="Arial" w:hint="eastAsia"/>
          <w:szCs w:val="21"/>
        </w:rPr>
        <w:t>申购</w:t>
      </w:r>
      <w:r w:rsidR="001B4D7D">
        <w:rPr>
          <w:rFonts w:ascii="宋体" w:hAnsi="宋体" w:cs="Arial"/>
          <w:szCs w:val="21"/>
        </w:rPr>
        <w:t>及</w:t>
      </w:r>
      <w:r w:rsidR="0041527D" w:rsidRPr="00AB57FA">
        <w:rPr>
          <w:rFonts w:ascii="宋体" w:hAnsi="宋体" w:hint="eastAsia"/>
          <w:szCs w:val="21"/>
        </w:rPr>
        <w:t>定期定额申购费率基础上</w:t>
      </w:r>
      <w:r w:rsidR="00527E27">
        <w:rPr>
          <w:rFonts w:ascii="宋体" w:hAnsi="宋体" w:hint="eastAsia"/>
          <w:szCs w:val="21"/>
        </w:rPr>
        <w:t>最低</w:t>
      </w:r>
      <w:r w:rsidR="00B05267">
        <w:rPr>
          <w:rFonts w:ascii="宋体" w:hAnsi="宋体"/>
          <w:szCs w:val="21"/>
        </w:rPr>
        <w:t>1</w:t>
      </w:r>
      <w:r w:rsidR="0041527D" w:rsidRPr="00AB57FA">
        <w:rPr>
          <w:rFonts w:ascii="宋体" w:hAnsi="宋体" w:hint="eastAsia"/>
          <w:szCs w:val="21"/>
        </w:rPr>
        <w:t>折优惠，具体</w:t>
      </w:r>
      <w:r w:rsidR="00527E27">
        <w:rPr>
          <w:rFonts w:ascii="宋体" w:hAnsi="宋体" w:hint="eastAsia"/>
          <w:szCs w:val="21"/>
        </w:rPr>
        <w:t>折扣率</w:t>
      </w:r>
      <w:r w:rsidR="0041527D" w:rsidRPr="00AB57FA">
        <w:rPr>
          <w:rFonts w:ascii="宋体" w:hAnsi="宋体" w:hint="eastAsia"/>
          <w:szCs w:val="21"/>
        </w:rPr>
        <w:t>以</w:t>
      </w:r>
      <w:r w:rsidR="00433001">
        <w:rPr>
          <w:rFonts w:ascii="宋体" w:hAnsi="宋体" w:hint="eastAsia"/>
          <w:szCs w:val="21"/>
        </w:rPr>
        <w:t>华安</w:t>
      </w:r>
      <w:r w:rsidR="0041527D" w:rsidRPr="00AB57FA">
        <w:rPr>
          <w:rFonts w:ascii="宋体" w:hAnsi="宋体" w:hint="eastAsia"/>
          <w:szCs w:val="21"/>
        </w:rPr>
        <w:t>证券</w:t>
      </w:r>
      <w:r w:rsidR="00527E27">
        <w:rPr>
          <w:rFonts w:ascii="宋体" w:hAnsi="宋体" w:hint="eastAsia"/>
          <w:szCs w:val="21"/>
        </w:rPr>
        <w:t>活动</w:t>
      </w:r>
      <w:r w:rsidR="0041527D" w:rsidRPr="00AB57FA">
        <w:rPr>
          <w:rFonts w:ascii="宋体" w:hAnsi="宋体" w:hint="eastAsia"/>
          <w:szCs w:val="21"/>
        </w:rPr>
        <w:t>公告为准。</w:t>
      </w:r>
      <w:r w:rsidR="00BF009F" w:rsidRPr="00BF009F">
        <w:rPr>
          <w:rFonts w:ascii="宋体" w:hAnsi="宋体" w:hint="eastAsia"/>
          <w:szCs w:val="21"/>
        </w:rPr>
        <w:t>若申购费率是固定费用的，则按固定费用执行，不再享有费率折扣。</w:t>
      </w:r>
    </w:p>
    <w:p w:rsidR="001B4D7D" w:rsidRPr="00AB57FA" w:rsidRDefault="001B4D7D" w:rsidP="001B4D7D">
      <w:pPr>
        <w:pStyle w:val="a8"/>
        <w:adjustRightInd w:val="0"/>
        <w:snapToGrid w:val="0"/>
        <w:spacing w:line="360" w:lineRule="auto"/>
        <w:ind w:firstLineChars="0"/>
        <w:rPr>
          <w:rFonts w:ascii="宋体" w:hAnsi="宋体" w:cs="Arial" w:hint="eastAsia"/>
          <w:szCs w:val="21"/>
        </w:rPr>
      </w:pPr>
      <w:r>
        <w:rPr>
          <w:rFonts w:ascii="宋体" w:hAnsi="宋体" w:cs="Arial"/>
          <w:szCs w:val="21"/>
        </w:rPr>
        <w:t>2</w:t>
      </w:r>
      <w:r w:rsidRPr="00AB57FA">
        <w:rPr>
          <w:rFonts w:ascii="宋体" w:hAnsi="宋体" w:cs="Arial" w:hint="eastAsia"/>
          <w:szCs w:val="21"/>
        </w:rPr>
        <w:t>、</w:t>
      </w:r>
      <w:r>
        <w:rPr>
          <w:rFonts w:ascii="宋体" w:hAnsi="宋体" w:cs="Arial" w:hint="eastAsia"/>
          <w:szCs w:val="21"/>
        </w:rPr>
        <w:t>费率</w:t>
      </w:r>
      <w:r>
        <w:rPr>
          <w:rFonts w:ascii="宋体" w:hAnsi="宋体" w:cs="Arial"/>
          <w:szCs w:val="21"/>
        </w:rPr>
        <w:t>优惠期限内</w:t>
      </w:r>
      <w:r w:rsidRPr="00AB57FA">
        <w:rPr>
          <w:rFonts w:ascii="宋体" w:hAnsi="宋体" w:cs="Arial" w:hint="eastAsia"/>
          <w:szCs w:val="21"/>
        </w:rPr>
        <w:t>，</w:t>
      </w:r>
      <w:r>
        <w:rPr>
          <w:rFonts w:ascii="宋体" w:hAnsi="宋体" w:cs="Arial" w:hint="eastAsia"/>
          <w:szCs w:val="21"/>
        </w:rPr>
        <w:t>如</w:t>
      </w:r>
      <w:r>
        <w:rPr>
          <w:rFonts w:ascii="宋体" w:hAnsi="宋体" w:cs="Arial"/>
          <w:szCs w:val="21"/>
        </w:rPr>
        <w:t>本公司</w:t>
      </w:r>
      <w:r w:rsidRPr="00AB57FA">
        <w:rPr>
          <w:rFonts w:ascii="宋体" w:hAnsi="宋体" w:cs="Arial" w:hint="eastAsia"/>
          <w:szCs w:val="21"/>
        </w:rPr>
        <w:t>新增</w:t>
      </w:r>
      <w:r>
        <w:rPr>
          <w:rFonts w:ascii="宋体" w:hAnsi="宋体" w:cs="Arial" w:hint="eastAsia"/>
          <w:szCs w:val="21"/>
        </w:rPr>
        <w:t>通过华安</w:t>
      </w:r>
      <w:r>
        <w:rPr>
          <w:rFonts w:ascii="宋体" w:hAnsi="宋体" w:cs="Arial"/>
          <w:szCs w:val="21"/>
        </w:rPr>
        <w:t>证券销售的基金产品，则自该</w:t>
      </w:r>
      <w:r>
        <w:rPr>
          <w:rFonts w:ascii="宋体" w:hAnsi="宋体" w:cs="Arial" w:hint="eastAsia"/>
          <w:szCs w:val="21"/>
        </w:rPr>
        <w:t>基金</w:t>
      </w:r>
      <w:r>
        <w:rPr>
          <w:rFonts w:ascii="宋体" w:hAnsi="宋体" w:cs="Arial"/>
          <w:szCs w:val="21"/>
        </w:rPr>
        <w:t>产品</w:t>
      </w:r>
      <w:r w:rsidR="00FF753D">
        <w:rPr>
          <w:rFonts w:ascii="宋体" w:hAnsi="宋体" w:cs="Arial" w:hint="eastAsia"/>
          <w:szCs w:val="21"/>
        </w:rPr>
        <w:t>在</w:t>
      </w:r>
      <w:r w:rsidR="00374E80">
        <w:rPr>
          <w:rFonts w:ascii="宋体" w:hAnsi="宋体" w:cs="Arial" w:hint="eastAsia"/>
          <w:szCs w:val="21"/>
        </w:rPr>
        <w:t>华安</w:t>
      </w:r>
      <w:r w:rsidR="00374E80">
        <w:rPr>
          <w:rFonts w:ascii="宋体" w:hAnsi="宋体" w:cs="Arial"/>
          <w:szCs w:val="21"/>
        </w:rPr>
        <w:t>证券</w:t>
      </w:r>
      <w:r w:rsidR="00374E80">
        <w:rPr>
          <w:rFonts w:ascii="宋体" w:hAnsi="宋体" w:cs="Arial" w:hint="eastAsia"/>
          <w:szCs w:val="21"/>
        </w:rPr>
        <w:t>上线</w:t>
      </w:r>
      <w:r w:rsidR="00374E80">
        <w:rPr>
          <w:rFonts w:ascii="宋体" w:hAnsi="宋体" w:cs="Arial"/>
          <w:szCs w:val="21"/>
        </w:rPr>
        <w:t>销售</w:t>
      </w:r>
      <w:r w:rsidR="00B577EF">
        <w:rPr>
          <w:rFonts w:ascii="宋体" w:hAnsi="宋体" w:cs="Arial" w:hint="eastAsia"/>
          <w:szCs w:val="21"/>
        </w:rPr>
        <w:t>之</w:t>
      </w:r>
      <w:r>
        <w:rPr>
          <w:rFonts w:ascii="宋体" w:hAnsi="宋体" w:cs="Arial"/>
          <w:szCs w:val="21"/>
        </w:rPr>
        <w:t>日起，将同时</w:t>
      </w:r>
      <w:r w:rsidR="002410DE">
        <w:rPr>
          <w:rFonts w:ascii="宋体" w:hAnsi="宋体" w:cs="Arial" w:hint="eastAsia"/>
          <w:szCs w:val="21"/>
        </w:rPr>
        <w:t>参与</w:t>
      </w:r>
      <w:r>
        <w:rPr>
          <w:rFonts w:ascii="宋体" w:hAnsi="宋体" w:cs="Arial"/>
          <w:szCs w:val="21"/>
        </w:rPr>
        <w:t>上述</w:t>
      </w:r>
      <w:r>
        <w:rPr>
          <w:rFonts w:ascii="宋体" w:hAnsi="宋体" w:cs="Arial" w:hint="eastAsia"/>
          <w:szCs w:val="21"/>
        </w:rPr>
        <w:t>优惠活动</w:t>
      </w:r>
      <w:r w:rsidRPr="00AB57FA">
        <w:rPr>
          <w:rFonts w:ascii="宋体" w:hAnsi="宋体" w:cs="Arial" w:hint="eastAsia"/>
          <w:szCs w:val="21"/>
        </w:rPr>
        <w:t>。</w:t>
      </w:r>
    </w:p>
    <w:p w:rsidR="005B3669" w:rsidRDefault="001B4D7D" w:rsidP="00311E72">
      <w:pPr>
        <w:pStyle w:val="a8"/>
        <w:adjustRightInd w:val="0"/>
        <w:snapToGrid w:val="0"/>
        <w:spacing w:line="360" w:lineRule="auto"/>
        <w:rPr>
          <w:rFonts w:ascii="宋体" w:hAnsi="宋体" w:cs="Arial" w:hint="eastAsia"/>
          <w:szCs w:val="21"/>
        </w:rPr>
      </w:pPr>
      <w:r>
        <w:rPr>
          <w:rFonts w:ascii="宋体" w:hAnsi="宋体" w:cs="Arial"/>
          <w:szCs w:val="21"/>
        </w:rPr>
        <w:lastRenderedPageBreak/>
        <w:t>3</w:t>
      </w:r>
      <w:r w:rsidR="00D27079" w:rsidRPr="00AB57FA">
        <w:rPr>
          <w:rFonts w:ascii="宋体" w:hAnsi="宋体" w:cs="Arial" w:hint="eastAsia"/>
          <w:szCs w:val="21"/>
        </w:rPr>
        <w:t>、</w:t>
      </w:r>
      <w:r w:rsidR="0041527D" w:rsidRPr="00AB57FA">
        <w:rPr>
          <w:rFonts w:ascii="宋体" w:hAnsi="宋体" w:cs="Arial" w:hint="eastAsia"/>
          <w:szCs w:val="21"/>
        </w:rPr>
        <w:t>费率优惠活动期限：</w:t>
      </w:r>
      <w:r w:rsidR="00433001">
        <w:rPr>
          <w:rFonts w:ascii="宋体" w:hAnsi="宋体" w:cs="Arial" w:hint="eastAsia"/>
          <w:szCs w:val="21"/>
        </w:rPr>
        <w:t>自</w:t>
      </w:r>
      <w:r w:rsidR="0041527D" w:rsidRPr="00AB57FA">
        <w:rPr>
          <w:rFonts w:ascii="宋体" w:hAnsi="宋体" w:cs="Arial" w:hint="eastAsia"/>
          <w:szCs w:val="21"/>
        </w:rPr>
        <w:t>20</w:t>
      </w:r>
      <w:r w:rsidR="00433001">
        <w:rPr>
          <w:rFonts w:ascii="宋体" w:hAnsi="宋体" w:cs="Arial"/>
          <w:szCs w:val="21"/>
        </w:rPr>
        <w:t>20</w:t>
      </w:r>
      <w:r w:rsidR="0041527D" w:rsidRPr="00AB57FA">
        <w:rPr>
          <w:rFonts w:ascii="宋体" w:hAnsi="宋体" w:cs="Arial" w:hint="eastAsia"/>
          <w:szCs w:val="21"/>
        </w:rPr>
        <w:t>年</w:t>
      </w:r>
      <w:r>
        <w:rPr>
          <w:rFonts w:ascii="宋体" w:hAnsi="宋体" w:cs="Arial"/>
          <w:szCs w:val="21"/>
        </w:rPr>
        <w:t>5</w:t>
      </w:r>
      <w:r w:rsidR="0041527D" w:rsidRPr="00AB57FA">
        <w:rPr>
          <w:rFonts w:ascii="宋体" w:hAnsi="宋体" w:cs="Arial" w:hint="eastAsia"/>
          <w:szCs w:val="21"/>
        </w:rPr>
        <w:t>月</w:t>
      </w:r>
      <w:r>
        <w:rPr>
          <w:rFonts w:ascii="宋体" w:hAnsi="宋体" w:cs="Arial"/>
          <w:szCs w:val="21"/>
        </w:rPr>
        <w:t>6</w:t>
      </w:r>
      <w:r w:rsidR="0041527D" w:rsidRPr="00AB57FA">
        <w:rPr>
          <w:rFonts w:ascii="宋体" w:hAnsi="宋体" w:cs="Arial" w:hint="eastAsia"/>
          <w:szCs w:val="21"/>
        </w:rPr>
        <w:t>日</w:t>
      </w:r>
      <w:r w:rsidR="00433001">
        <w:rPr>
          <w:rFonts w:ascii="宋体" w:hAnsi="宋体" w:cs="Arial" w:hint="eastAsia"/>
          <w:szCs w:val="21"/>
        </w:rPr>
        <w:t>起</w:t>
      </w:r>
      <w:r w:rsidR="0041527D" w:rsidRPr="00AB57FA">
        <w:rPr>
          <w:rFonts w:ascii="宋体" w:hAnsi="宋体" w:cs="Arial" w:hint="eastAsia"/>
          <w:szCs w:val="21"/>
        </w:rPr>
        <w:t>，</w:t>
      </w:r>
      <w:r w:rsidR="00433001">
        <w:rPr>
          <w:rFonts w:ascii="宋体" w:hAnsi="宋体" w:cs="Arial" w:hint="eastAsia"/>
          <w:szCs w:val="21"/>
        </w:rPr>
        <w:t>具体结束</w:t>
      </w:r>
      <w:r w:rsidR="00433001">
        <w:rPr>
          <w:rFonts w:ascii="宋体" w:hAnsi="宋体" w:cs="Arial"/>
          <w:szCs w:val="21"/>
        </w:rPr>
        <w:t>日期</w:t>
      </w:r>
      <w:r w:rsidR="0041527D" w:rsidRPr="00AB57FA">
        <w:rPr>
          <w:rFonts w:ascii="宋体" w:hAnsi="宋体" w:cs="Arial" w:hint="eastAsia"/>
          <w:szCs w:val="21"/>
        </w:rPr>
        <w:t>以</w:t>
      </w:r>
      <w:r w:rsidR="00433001">
        <w:rPr>
          <w:rFonts w:ascii="宋体" w:hAnsi="宋体" w:cs="Arial" w:hint="eastAsia"/>
          <w:szCs w:val="21"/>
        </w:rPr>
        <w:t>华安</w:t>
      </w:r>
      <w:r w:rsidR="0041527D" w:rsidRPr="00AB57FA">
        <w:rPr>
          <w:rFonts w:ascii="宋体" w:hAnsi="宋体" w:cs="Arial" w:hint="eastAsia"/>
          <w:szCs w:val="21"/>
        </w:rPr>
        <w:t>证券公告为准。</w:t>
      </w:r>
    </w:p>
    <w:p w:rsidR="00AB57FA" w:rsidRPr="001404B3" w:rsidRDefault="00AB57FA" w:rsidP="00311E72">
      <w:pPr>
        <w:pStyle w:val="a8"/>
        <w:adjustRightInd w:val="0"/>
        <w:snapToGrid w:val="0"/>
        <w:spacing w:line="360" w:lineRule="auto"/>
        <w:rPr>
          <w:rFonts w:ascii="宋体" w:hAnsi="宋体" w:cs="Arial" w:hint="eastAsia"/>
          <w:szCs w:val="21"/>
        </w:rPr>
      </w:pPr>
    </w:p>
    <w:p w:rsidR="00D27079" w:rsidRPr="00AB57FA" w:rsidRDefault="00D27079" w:rsidP="00311E72">
      <w:pPr>
        <w:pStyle w:val="a8"/>
        <w:adjustRightInd w:val="0"/>
        <w:snapToGrid w:val="0"/>
        <w:spacing w:line="360" w:lineRule="auto"/>
        <w:rPr>
          <w:rFonts w:ascii="宋体" w:hAnsi="宋体" w:cs="Arial" w:hint="eastAsia"/>
          <w:szCs w:val="21"/>
        </w:rPr>
      </w:pPr>
      <w:r w:rsidRPr="00AB57FA">
        <w:rPr>
          <w:rFonts w:ascii="宋体" w:hAnsi="宋体" w:cs="Arial" w:hint="eastAsia"/>
          <w:szCs w:val="21"/>
        </w:rPr>
        <w:t>四、重要提示</w:t>
      </w:r>
      <w:r w:rsidR="00E05C46" w:rsidRPr="00AB57FA">
        <w:rPr>
          <w:rFonts w:ascii="宋体" w:hAnsi="宋体" w:cs="Arial" w:hint="eastAsia"/>
          <w:szCs w:val="21"/>
        </w:rPr>
        <w:t>：</w:t>
      </w:r>
    </w:p>
    <w:p w:rsidR="00D27079" w:rsidRPr="00AB57FA" w:rsidRDefault="00D27079" w:rsidP="00D27079">
      <w:pPr>
        <w:pStyle w:val="a8"/>
        <w:adjustRightInd w:val="0"/>
        <w:snapToGrid w:val="0"/>
        <w:spacing w:line="360" w:lineRule="auto"/>
        <w:ind w:firstLineChars="0"/>
        <w:rPr>
          <w:rFonts w:ascii="宋体" w:hAnsi="宋体" w:cs="Arial" w:hint="eastAsia"/>
          <w:szCs w:val="21"/>
        </w:rPr>
      </w:pPr>
      <w:r w:rsidRPr="00AB57FA">
        <w:rPr>
          <w:rFonts w:ascii="宋体" w:hAnsi="宋体" w:cs="Arial" w:hint="eastAsia"/>
          <w:szCs w:val="21"/>
        </w:rPr>
        <w:t>1、</w:t>
      </w:r>
      <w:r w:rsidR="00661540" w:rsidRPr="00AB57FA">
        <w:rPr>
          <w:rFonts w:ascii="宋体" w:hAnsi="宋体" w:cs="Arial" w:hint="eastAsia"/>
          <w:szCs w:val="21"/>
        </w:rPr>
        <w:t>本次</w:t>
      </w:r>
      <w:r w:rsidRPr="00AB57FA">
        <w:rPr>
          <w:rFonts w:ascii="宋体" w:hAnsi="宋体" w:cs="Arial" w:hint="eastAsia"/>
          <w:szCs w:val="21"/>
        </w:rPr>
        <w:t>基金</w:t>
      </w:r>
      <w:r w:rsidR="001B4D7D">
        <w:rPr>
          <w:rFonts w:ascii="宋体" w:hAnsi="宋体" w:cs="Arial" w:hint="eastAsia"/>
          <w:szCs w:val="21"/>
        </w:rPr>
        <w:t>申购</w:t>
      </w:r>
      <w:r w:rsidR="001B4D7D">
        <w:rPr>
          <w:rFonts w:ascii="宋体" w:hAnsi="宋体" w:cs="Arial"/>
          <w:szCs w:val="21"/>
        </w:rPr>
        <w:t>及</w:t>
      </w:r>
      <w:r w:rsidRPr="00AB57FA">
        <w:rPr>
          <w:rFonts w:ascii="宋体" w:hAnsi="宋体" w:cs="Arial" w:hint="eastAsia"/>
          <w:szCs w:val="21"/>
        </w:rPr>
        <w:t>定期定额投资手续费率优惠仅针对处于正常申购期的指定开放式基金(前端模式)</w:t>
      </w:r>
      <w:r w:rsidR="001B4D7D" w:rsidRPr="001B4D7D">
        <w:rPr>
          <w:rFonts w:ascii="宋体" w:hAnsi="宋体" w:cs="Arial" w:hint="eastAsia"/>
          <w:szCs w:val="21"/>
        </w:rPr>
        <w:t xml:space="preserve"> </w:t>
      </w:r>
      <w:r w:rsidR="001B4D7D">
        <w:rPr>
          <w:rFonts w:ascii="宋体" w:hAnsi="宋体" w:cs="Arial" w:hint="eastAsia"/>
          <w:szCs w:val="21"/>
        </w:rPr>
        <w:t>申购</w:t>
      </w:r>
      <w:r w:rsidR="001B4D7D">
        <w:rPr>
          <w:rFonts w:ascii="宋体" w:hAnsi="宋体" w:cs="Arial"/>
          <w:szCs w:val="21"/>
        </w:rPr>
        <w:t>及</w:t>
      </w:r>
      <w:r w:rsidRPr="00AB57FA">
        <w:rPr>
          <w:rFonts w:ascii="宋体" w:hAnsi="宋体" w:cs="Arial" w:hint="eastAsia"/>
          <w:szCs w:val="21"/>
        </w:rPr>
        <w:t>定期定额投资手续费，不包括后端收费模式基金的</w:t>
      </w:r>
      <w:r w:rsidR="001B4D7D">
        <w:rPr>
          <w:rFonts w:ascii="宋体" w:hAnsi="宋体" w:cs="Arial" w:hint="eastAsia"/>
          <w:szCs w:val="21"/>
        </w:rPr>
        <w:t>申购</w:t>
      </w:r>
      <w:r w:rsidR="001B4D7D">
        <w:rPr>
          <w:rFonts w:ascii="宋体" w:hAnsi="宋体" w:cs="Arial"/>
          <w:szCs w:val="21"/>
        </w:rPr>
        <w:t>及</w:t>
      </w:r>
      <w:r w:rsidRPr="00AB57FA">
        <w:rPr>
          <w:rFonts w:ascii="宋体" w:hAnsi="宋体" w:cs="Arial" w:hint="eastAsia"/>
          <w:szCs w:val="21"/>
        </w:rPr>
        <w:t>定期定额投资。“前端模式</w:t>
      </w:r>
      <w:r w:rsidR="001B4D7D">
        <w:rPr>
          <w:rFonts w:ascii="宋体" w:hAnsi="宋体" w:cs="Arial" w:hint="eastAsia"/>
          <w:szCs w:val="21"/>
        </w:rPr>
        <w:t>申购</w:t>
      </w:r>
      <w:r w:rsidR="001B4D7D">
        <w:rPr>
          <w:rFonts w:ascii="宋体" w:hAnsi="宋体" w:cs="Arial"/>
          <w:szCs w:val="21"/>
        </w:rPr>
        <w:t>及</w:t>
      </w:r>
      <w:r w:rsidR="00656862" w:rsidRPr="00AB57FA">
        <w:rPr>
          <w:rFonts w:ascii="宋体" w:hAnsi="宋体" w:cs="Arial" w:hint="eastAsia"/>
          <w:szCs w:val="21"/>
        </w:rPr>
        <w:t>定期定额投资</w:t>
      </w:r>
      <w:r w:rsidRPr="00AB57FA">
        <w:rPr>
          <w:rFonts w:ascii="宋体" w:hAnsi="宋体" w:cs="Arial" w:hint="eastAsia"/>
          <w:szCs w:val="21"/>
        </w:rPr>
        <w:t>”是指</w:t>
      </w:r>
      <w:r w:rsidR="001B4D7D">
        <w:rPr>
          <w:rFonts w:ascii="宋体" w:hAnsi="宋体" w:cs="Arial" w:hint="eastAsia"/>
          <w:szCs w:val="21"/>
        </w:rPr>
        <w:t>申购</w:t>
      </w:r>
      <w:r w:rsidR="001B4D7D">
        <w:rPr>
          <w:rFonts w:ascii="宋体" w:hAnsi="宋体" w:cs="Arial"/>
          <w:szCs w:val="21"/>
        </w:rPr>
        <w:t>及</w:t>
      </w:r>
      <w:r w:rsidR="00656862" w:rsidRPr="00AB57FA">
        <w:rPr>
          <w:rFonts w:ascii="宋体" w:hAnsi="宋体" w:cs="Arial" w:hint="eastAsia"/>
          <w:szCs w:val="21"/>
        </w:rPr>
        <w:t>定期定额投资</w:t>
      </w:r>
      <w:r w:rsidRPr="00AB57FA">
        <w:rPr>
          <w:rFonts w:ascii="宋体" w:hAnsi="宋体" w:cs="Arial" w:hint="eastAsia"/>
          <w:szCs w:val="21"/>
        </w:rPr>
        <w:t>基金时就需要支付申购费的购买方式。</w:t>
      </w:r>
    </w:p>
    <w:p w:rsidR="00F146D3" w:rsidRPr="00AB57FA" w:rsidRDefault="00F146D3" w:rsidP="00F146D3">
      <w:pPr>
        <w:pStyle w:val="a8"/>
        <w:adjustRightInd w:val="0"/>
        <w:snapToGrid w:val="0"/>
        <w:spacing w:line="360" w:lineRule="auto"/>
        <w:ind w:firstLineChars="0"/>
        <w:rPr>
          <w:rFonts w:ascii="宋体" w:hAnsi="宋体" w:cs="Arial" w:hint="eastAsia"/>
          <w:szCs w:val="21"/>
        </w:rPr>
      </w:pPr>
      <w:r w:rsidRPr="00AB57FA">
        <w:rPr>
          <w:rFonts w:ascii="宋体" w:hAnsi="宋体" w:cs="Arial" w:hint="eastAsia"/>
          <w:szCs w:val="21"/>
        </w:rPr>
        <w:t>2、</w:t>
      </w:r>
      <w:r w:rsidR="00F87477" w:rsidRPr="00AB57FA">
        <w:rPr>
          <w:rFonts w:ascii="宋体" w:hAnsi="宋体" w:cs="Arial" w:hint="eastAsia"/>
          <w:szCs w:val="21"/>
        </w:rPr>
        <w:t>本次优惠活动仅适用于</w:t>
      </w:r>
      <w:r w:rsidR="004A4325" w:rsidRPr="00AB57FA">
        <w:rPr>
          <w:rFonts w:ascii="宋体" w:hAnsi="宋体" w:cs="Arial" w:hint="eastAsia"/>
          <w:szCs w:val="21"/>
        </w:rPr>
        <w:t>上述</w:t>
      </w:r>
      <w:r w:rsidR="00F87477" w:rsidRPr="00AB57FA">
        <w:rPr>
          <w:rFonts w:ascii="宋体" w:hAnsi="宋体" w:cs="Arial" w:hint="eastAsia"/>
          <w:szCs w:val="21"/>
        </w:rPr>
        <w:t>开放式基金申购期的场外模式的</w:t>
      </w:r>
      <w:r w:rsidR="001B4D7D">
        <w:rPr>
          <w:rFonts w:ascii="宋体" w:hAnsi="宋体" w:cs="Arial" w:hint="eastAsia"/>
          <w:szCs w:val="21"/>
        </w:rPr>
        <w:t>申购</w:t>
      </w:r>
      <w:r w:rsidR="001B4D7D">
        <w:rPr>
          <w:rFonts w:ascii="宋体" w:hAnsi="宋体" w:cs="Arial"/>
          <w:szCs w:val="21"/>
        </w:rPr>
        <w:t>及</w:t>
      </w:r>
      <w:r w:rsidR="00F87477" w:rsidRPr="00AB57FA">
        <w:rPr>
          <w:rFonts w:ascii="宋体" w:hAnsi="宋体" w:cs="Arial" w:hint="eastAsia"/>
          <w:szCs w:val="21"/>
        </w:rPr>
        <w:t>定期定额投资申购费，不包括交易所场内模式的申购费。</w:t>
      </w:r>
    </w:p>
    <w:p w:rsidR="00D27079" w:rsidRDefault="001B4D7D" w:rsidP="00D27079">
      <w:pPr>
        <w:pStyle w:val="a8"/>
        <w:adjustRightInd w:val="0"/>
        <w:snapToGrid w:val="0"/>
        <w:spacing w:line="360" w:lineRule="auto"/>
        <w:ind w:firstLineChars="0"/>
        <w:rPr>
          <w:rFonts w:ascii="宋体" w:hAnsi="宋体" w:cs="Arial" w:hint="eastAsia"/>
          <w:szCs w:val="21"/>
        </w:rPr>
      </w:pPr>
      <w:r>
        <w:rPr>
          <w:rFonts w:ascii="宋体" w:hAnsi="宋体" w:cs="Arial"/>
          <w:szCs w:val="21"/>
        </w:rPr>
        <w:t>3</w:t>
      </w:r>
      <w:r w:rsidR="00D27079" w:rsidRPr="00AB57FA">
        <w:rPr>
          <w:rFonts w:ascii="宋体" w:hAnsi="宋体" w:cs="Arial" w:hint="eastAsia"/>
          <w:szCs w:val="21"/>
        </w:rPr>
        <w:t>、有关上述费率优惠活动的具体费率折扣及活动起止时间如有变化，敬请投资者留意</w:t>
      </w:r>
      <w:r w:rsidR="00433001">
        <w:rPr>
          <w:rFonts w:ascii="宋体" w:hAnsi="宋体" w:cs="Arial" w:hint="eastAsia"/>
          <w:szCs w:val="21"/>
        </w:rPr>
        <w:t>华安</w:t>
      </w:r>
      <w:r w:rsidR="00171BFD" w:rsidRPr="00AB57FA">
        <w:rPr>
          <w:rFonts w:ascii="宋体" w:hAnsi="宋体" w:cs="Arial" w:hint="eastAsia"/>
          <w:szCs w:val="21"/>
        </w:rPr>
        <w:t>证券</w:t>
      </w:r>
      <w:r w:rsidR="00D27079" w:rsidRPr="00AB57FA">
        <w:rPr>
          <w:rFonts w:ascii="宋体" w:hAnsi="宋体" w:cs="Arial" w:hint="eastAsia"/>
          <w:szCs w:val="21"/>
        </w:rPr>
        <w:t>的有关公告。</w:t>
      </w:r>
    </w:p>
    <w:p w:rsidR="00AB57FA" w:rsidRPr="00AB57FA" w:rsidRDefault="00AB57FA" w:rsidP="00D27079">
      <w:pPr>
        <w:pStyle w:val="a8"/>
        <w:adjustRightInd w:val="0"/>
        <w:snapToGrid w:val="0"/>
        <w:spacing w:line="360" w:lineRule="auto"/>
        <w:ind w:firstLineChars="0"/>
        <w:rPr>
          <w:rFonts w:ascii="宋体" w:hAnsi="宋体" w:cs="Arial" w:hint="eastAsia"/>
          <w:szCs w:val="21"/>
        </w:rPr>
      </w:pPr>
    </w:p>
    <w:p w:rsidR="004920B1" w:rsidRPr="00AB57FA" w:rsidRDefault="00D27079"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五</w:t>
      </w:r>
      <w:r w:rsidR="004920B1" w:rsidRPr="00AB57FA">
        <w:rPr>
          <w:rFonts w:ascii="宋体" w:hAnsi="宋体" w:cs="Arial" w:hint="eastAsia"/>
          <w:szCs w:val="21"/>
        </w:rPr>
        <w:t>、</w:t>
      </w:r>
      <w:r w:rsidR="008F5745" w:rsidRPr="00AB57FA">
        <w:rPr>
          <w:rFonts w:ascii="宋体" w:hAnsi="宋体" w:cs="Arial" w:hint="eastAsia"/>
          <w:szCs w:val="21"/>
        </w:rPr>
        <w:t>投资者可通过以下途径了解或咨询相关情况</w:t>
      </w:r>
      <w:r w:rsidR="00D11F4B" w:rsidRPr="00AB57FA">
        <w:rPr>
          <w:rFonts w:ascii="宋体" w:hAnsi="宋体" w:cs="Arial" w:hint="eastAsia"/>
          <w:szCs w:val="21"/>
        </w:rPr>
        <w:t>：</w:t>
      </w:r>
    </w:p>
    <w:p w:rsidR="009B65BF" w:rsidRPr="00AB57FA" w:rsidRDefault="004920B1"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1、</w:t>
      </w:r>
      <w:r w:rsidR="00433001">
        <w:rPr>
          <w:rFonts w:ascii="宋体" w:hAnsi="宋体" w:cs="Arial" w:hint="eastAsia"/>
          <w:szCs w:val="21"/>
        </w:rPr>
        <w:t>华安</w:t>
      </w:r>
      <w:r w:rsidR="00171BFD" w:rsidRPr="00AB57FA">
        <w:rPr>
          <w:rFonts w:ascii="宋体" w:hAnsi="宋体" w:cs="Arial" w:hint="eastAsia"/>
          <w:szCs w:val="21"/>
        </w:rPr>
        <w:t>证券</w:t>
      </w:r>
      <w:r w:rsidR="00656862">
        <w:rPr>
          <w:rFonts w:ascii="宋体" w:hAnsi="宋体" w:cs="Arial" w:hint="eastAsia"/>
          <w:szCs w:val="21"/>
        </w:rPr>
        <w:t>股份</w:t>
      </w:r>
      <w:r w:rsidRPr="00AB57FA">
        <w:rPr>
          <w:rFonts w:ascii="宋体" w:hAnsi="宋体" w:cs="Arial" w:hint="eastAsia"/>
          <w:szCs w:val="21"/>
        </w:rPr>
        <w:t>有限公司</w:t>
      </w:r>
    </w:p>
    <w:p w:rsidR="004920B1" w:rsidRPr="00AB57FA" w:rsidRDefault="004920B1"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客户服务电话：</w:t>
      </w:r>
      <w:r w:rsidR="00E15BB8">
        <w:rPr>
          <w:rFonts w:ascii="宋体" w:hAnsi="宋体" w:hint="eastAsia"/>
          <w:szCs w:val="21"/>
        </w:rPr>
        <w:t>95</w:t>
      </w:r>
      <w:r w:rsidR="00656862">
        <w:rPr>
          <w:rFonts w:ascii="宋体" w:hAnsi="宋体"/>
          <w:szCs w:val="21"/>
        </w:rPr>
        <w:t>318</w:t>
      </w:r>
      <w:r w:rsidR="008F5745" w:rsidRPr="00AB57FA">
        <w:rPr>
          <w:rFonts w:ascii="宋体" w:hAnsi="宋体" w:cs="Arial" w:hint="eastAsia"/>
          <w:szCs w:val="21"/>
        </w:rPr>
        <w:t>；</w:t>
      </w:r>
    </w:p>
    <w:p w:rsidR="004920B1" w:rsidRPr="00AB57FA" w:rsidRDefault="004920B1"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网址：</w:t>
      </w:r>
      <w:r w:rsidR="00121F05" w:rsidRPr="00121F05">
        <w:rPr>
          <w:rFonts w:ascii="宋体" w:hAnsi="宋体"/>
          <w:szCs w:val="21"/>
        </w:rPr>
        <w:t>www.</w:t>
      </w:r>
      <w:r w:rsidR="00656862">
        <w:rPr>
          <w:rFonts w:ascii="宋体" w:hAnsi="宋体"/>
          <w:szCs w:val="21"/>
        </w:rPr>
        <w:t>hazq</w:t>
      </w:r>
      <w:r w:rsidR="00121F05" w:rsidRPr="00121F05">
        <w:rPr>
          <w:rFonts w:ascii="宋体" w:hAnsi="宋体"/>
          <w:szCs w:val="21"/>
        </w:rPr>
        <w:t>.com</w:t>
      </w:r>
      <w:r w:rsidR="009B65BF" w:rsidRPr="00AB57FA">
        <w:rPr>
          <w:rFonts w:ascii="宋体" w:hAnsi="宋体" w:cs="Arial" w:hint="eastAsia"/>
          <w:szCs w:val="21"/>
        </w:rPr>
        <w:t>。</w:t>
      </w:r>
    </w:p>
    <w:p w:rsidR="004920B1" w:rsidRPr="00AB57FA" w:rsidRDefault="004920B1"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2、融通基金管理有限公司</w:t>
      </w:r>
    </w:p>
    <w:p w:rsidR="008F5745" w:rsidRPr="00AB57FA" w:rsidRDefault="008F5745"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客户服务</w:t>
      </w:r>
      <w:r w:rsidR="0030765F" w:rsidRPr="00AB57FA">
        <w:rPr>
          <w:rFonts w:ascii="宋体" w:hAnsi="宋体" w:cs="Arial" w:hint="eastAsia"/>
          <w:szCs w:val="21"/>
        </w:rPr>
        <w:t>电话</w:t>
      </w:r>
      <w:r w:rsidRPr="00AB57FA">
        <w:rPr>
          <w:rFonts w:ascii="宋体" w:hAnsi="宋体" w:cs="Arial" w:hint="eastAsia"/>
          <w:szCs w:val="21"/>
        </w:rPr>
        <w:t>：400-883-8088（免长途话费）或0755-26948088</w:t>
      </w:r>
      <w:r w:rsidR="009B65BF" w:rsidRPr="00AB57FA">
        <w:rPr>
          <w:rFonts w:ascii="宋体" w:hAnsi="宋体" w:cs="Arial" w:hint="eastAsia"/>
          <w:szCs w:val="21"/>
        </w:rPr>
        <w:t>；</w:t>
      </w:r>
    </w:p>
    <w:p w:rsidR="0030765F" w:rsidRDefault="004920B1" w:rsidP="00311E72">
      <w:pPr>
        <w:adjustRightInd w:val="0"/>
        <w:snapToGrid w:val="0"/>
        <w:spacing w:line="360" w:lineRule="auto"/>
        <w:ind w:firstLineChars="200" w:firstLine="420"/>
        <w:rPr>
          <w:rFonts w:ascii="宋体" w:hAnsi="宋体" w:cs="Arial" w:hint="eastAsia"/>
          <w:szCs w:val="21"/>
        </w:rPr>
      </w:pPr>
      <w:r w:rsidRPr="00AB57FA">
        <w:rPr>
          <w:rFonts w:ascii="宋体" w:hAnsi="宋体" w:cs="Arial" w:hint="eastAsia"/>
          <w:szCs w:val="21"/>
        </w:rPr>
        <w:t>网址：</w:t>
      </w:r>
      <w:hyperlink r:id="rId8" w:history="1">
        <w:r w:rsidR="008F5745" w:rsidRPr="00AB57FA">
          <w:rPr>
            <w:rStyle w:val="a7"/>
            <w:rFonts w:ascii="宋体" w:hAnsi="宋体" w:cs="Arial" w:hint="eastAsia"/>
            <w:sz w:val="21"/>
            <w:szCs w:val="21"/>
          </w:rPr>
          <w:t>www.rtfund.com</w:t>
        </w:r>
      </w:hyperlink>
      <w:r w:rsidR="008F5745" w:rsidRPr="00AB57FA">
        <w:rPr>
          <w:rFonts w:ascii="宋体" w:hAnsi="宋体" w:cs="Arial" w:hint="eastAsia"/>
          <w:szCs w:val="21"/>
        </w:rPr>
        <w:t>。</w:t>
      </w:r>
    </w:p>
    <w:p w:rsidR="00AB57FA" w:rsidRPr="00AB57FA" w:rsidRDefault="00AB57FA" w:rsidP="00311E72">
      <w:pPr>
        <w:adjustRightInd w:val="0"/>
        <w:snapToGrid w:val="0"/>
        <w:spacing w:line="360" w:lineRule="auto"/>
        <w:ind w:firstLineChars="200" w:firstLine="420"/>
        <w:rPr>
          <w:rFonts w:ascii="宋体" w:hAnsi="宋体" w:cs="Arial" w:hint="eastAsia"/>
          <w:szCs w:val="21"/>
        </w:rPr>
      </w:pPr>
    </w:p>
    <w:p w:rsidR="0030765F" w:rsidRPr="00AB57FA" w:rsidRDefault="0030765F"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六、风险提示</w:t>
      </w:r>
      <w:r w:rsidR="00D11F4B" w:rsidRPr="00AB57FA">
        <w:rPr>
          <w:rFonts w:ascii="宋体" w:hAnsi="宋体" w:cs="Arial" w:hint="eastAsia"/>
          <w:szCs w:val="21"/>
        </w:rPr>
        <w:t>：</w:t>
      </w:r>
    </w:p>
    <w:p w:rsidR="004920B1" w:rsidRPr="00AB57FA" w:rsidRDefault="0030765F"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4920B1" w:rsidRPr="00AB57FA" w:rsidRDefault="004920B1" w:rsidP="00311E72">
      <w:pPr>
        <w:adjustRightInd w:val="0"/>
        <w:snapToGrid w:val="0"/>
        <w:spacing w:line="360" w:lineRule="auto"/>
        <w:ind w:firstLineChars="200" w:firstLine="420"/>
        <w:rPr>
          <w:rFonts w:ascii="宋体" w:hAnsi="宋体" w:cs="Arial"/>
          <w:szCs w:val="21"/>
        </w:rPr>
      </w:pPr>
    </w:p>
    <w:p w:rsidR="004920B1" w:rsidRPr="00AB57FA" w:rsidRDefault="004920B1" w:rsidP="00311E72">
      <w:pPr>
        <w:adjustRightInd w:val="0"/>
        <w:snapToGrid w:val="0"/>
        <w:spacing w:line="360" w:lineRule="auto"/>
        <w:ind w:firstLineChars="200" w:firstLine="420"/>
        <w:rPr>
          <w:rFonts w:ascii="宋体" w:hAnsi="宋体" w:cs="Arial"/>
          <w:szCs w:val="21"/>
        </w:rPr>
      </w:pPr>
      <w:r w:rsidRPr="00AB57FA">
        <w:rPr>
          <w:rFonts w:ascii="宋体" w:hAnsi="宋体" w:cs="Arial" w:hint="eastAsia"/>
          <w:szCs w:val="21"/>
        </w:rPr>
        <w:t>特此公告。</w:t>
      </w:r>
    </w:p>
    <w:p w:rsidR="004920B1" w:rsidRPr="00AB57FA" w:rsidRDefault="004920B1" w:rsidP="00311E72">
      <w:pPr>
        <w:adjustRightInd w:val="0"/>
        <w:snapToGrid w:val="0"/>
        <w:spacing w:line="360" w:lineRule="auto"/>
        <w:ind w:firstLineChars="200" w:firstLine="420"/>
        <w:rPr>
          <w:rFonts w:ascii="宋体" w:hAnsi="宋体" w:cs="Arial"/>
          <w:szCs w:val="21"/>
        </w:rPr>
      </w:pPr>
      <w:r w:rsidRPr="00AB57FA">
        <w:rPr>
          <w:rFonts w:ascii="宋体" w:hAnsi="宋体" w:cs="Arial"/>
          <w:szCs w:val="21"/>
        </w:rPr>
        <w:t xml:space="preserve"> </w:t>
      </w:r>
    </w:p>
    <w:p w:rsidR="004920B1" w:rsidRPr="00AB57FA" w:rsidRDefault="004920B1" w:rsidP="00311E72">
      <w:pPr>
        <w:adjustRightInd w:val="0"/>
        <w:snapToGrid w:val="0"/>
        <w:spacing w:line="360" w:lineRule="auto"/>
        <w:ind w:firstLineChars="200" w:firstLine="420"/>
        <w:jc w:val="right"/>
        <w:rPr>
          <w:rFonts w:ascii="宋体" w:hAnsi="宋体" w:cs="Arial"/>
          <w:szCs w:val="21"/>
        </w:rPr>
      </w:pPr>
    </w:p>
    <w:p w:rsidR="004920B1" w:rsidRPr="00AB57FA" w:rsidRDefault="004920B1" w:rsidP="00311E72">
      <w:pPr>
        <w:adjustRightInd w:val="0"/>
        <w:snapToGrid w:val="0"/>
        <w:spacing w:line="360" w:lineRule="auto"/>
        <w:ind w:firstLineChars="200" w:firstLine="420"/>
        <w:jc w:val="right"/>
        <w:rPr>
          <w:rFonts w:ascii="宋体" w:hAnsi="宋体" w:cs="Arial"/>
          <w:szCs w:val="21"/>
        </w:rPr>
      </w:pPr>
      <w:r w:rsidRPr="00AB57FA">
        <w:rPr>
          <w:rFonts w:ascii="宋体" w:hAnsi="宋体" w:cs="Arial" w:hint="eastAsia"/>
          <w:szCs w:val="21"/>
        </w:rPr>
        <w:t>融通基金管理有限公司</w:t>
      </w:r>
    </w:p>
    <w:p w:rsidR="006C42BE" w:rsidRPr="00AB57FA" w:rsidRDefault="0041527D" w:rsidP="00311E72">
      <w:pPr>
        <w:adjustRightInd w:val="0"/>
        <w:snapToGrid w:val="0"/>
        <w:spacing w:line="360" w:lineRule="auto"/>
        <w:ind w:firstLineChars="200" w:firstLine="420"/>
        <w:jc w:val="right"/>
        <w:rPr>
          <w:rFonts w:ascii="宋体" w:hAnsi="宋体"/>
          <w:szCs w:val="21"/>
        </w:rPr>
      </w:pPr>
      <w:r w:rsidRPr="00AB57FA">
        <w:rPr>
          <w:rFonts w:ascii="宋体" w:hAnsi="宋体" w:cs="Arial" w:hint="eastAsia"/>
          <w:szCs w:val="21"/>
        </w:rPr>
        <w:t>二〇</w:t>
      </w:r>
      <w:r w:rsidR="00656862">
        <w:rPr>
          <w:rFonts w:ascii="宋体" w:hAnsi="宋体" w:cs="Arial" w:hint="eastAsia"/>
          <w:szCs w:val="21"/>
        </w:rPr>
        <w:t>二〇</w:t>
      </w:r>
      <w:r w:rsidR="004D07A2" w:rsidRPr="00AB57FA">
        <w:rPr>
          <w:rFonts w:ascii="宋体" w:hAnsi="宋体" w:cs="Arial" w:hint="eastAsia"/>
          <w:szCs w:val="21"/>
        </w:rPr>
        <w:t>年</w:t>
      </w:r>
      <w:r w:rsidR="001B4D7D">
        <w:rPr>
          <w:rFonts w:ascii="宋体" w:hAnsi="宋体" w:cs="Arial" w:hint="eastAsia"/>
          <w:szCs w:val="21"/>
        </w:rPr>
        <w:t>五</w:t>
      </w:r>
      <w:r w:rsidR="00681D37" w:rsidRPr="00AB57FA">
        <w:rPr>
          <w:rFonts w:ascii="宋体" w:hAnsi="宋体" w:cs="Arial" w:hint="eastAsia"/>
          <w:szCs w:val="21"/>
        </w:rPr>
        <w:t>月</w:t>
      </w:r>
      <w:r w:rsidR="001B4D7D">
        <w:rPr>
          <w:rFonts w:ascii="宋体" w:hAnsi="宋体" w:cs="Arial" w:hint="eastAsia"/>
          <w:szCs w:val="21"/>
        </w:rPr>
        <w:t>六</w:t>
      </w:r>
      <w:r w:rsidR="004920B1" w:rsidRPr="00AB57FA">
        <w:rPr>
          <w:rFonts w:ascii="宋体" w:hAnsi="宋体" w:cs="Arial" w:hint="eastAsia"/>
          <w:szCs w:val="21"/>
        </w:rPr>
        <w:t>日</w:t>
      </w:r>
    </w:p>
    <w:sectPr w:rsidR="006C42BE" w:rsidRPr="00AB57FA" w:rsidSect="006C4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FBC" w:rsidRDefault="000D3FBC" w:rsidP="004920B1">
      <w:r>
        <w:separator/>
      </w:r>
    </w:p>
  </w:endnote>
  <w:endnote w:type="continuationSeparator" w:id="1">
    <w:p w:rsidR="000D3FBC" w:rsidRDefault="000D3FBC" w:rsidP="0049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FBC" w:rsidRDefault="000D3FBC" w:rsidP="004920B1">
      <w:r>
        <w:separator/>
      </w:r>
    </w:p>
  </w:footnote>
  <w:footnote w:type="continuationSeparator" w:id="1">
    <w:p w:rsidR="000D3FBC" w:rsidRDefault="000D3FBC" w:rsidP="00492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F7F"/>
    <w:multiLevelType w:val="hybridMultilevel"/>
    <w:tmpl w:val="0EE011E0"/>
    <w:lvl w:ilvl="0" w:tplc="C0C26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A41C1"/>
    <w:multiLevelType w:val="hybridMultilevel"/>
    <w:tmpl w:val="275C6DD0"/>
    <w:lvl w:ilvl="0" w:tplc="4720F658">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0982260"/>
    <w:multiLevelType w:val="hybridMultilevel"/>
    <w:tmpl w:val="C234F278"/>
    <w:lvl w:ilvl="0" w:tplc="2222E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D934C5"/>
    <w:multiLevelType w:val="hybridMultilevel"/>
    <w:tmpl w:val="82B87184"/>
    <w:lvl w:ilvl="0" w:tplc="185A7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20B1"/>
    <w:rsid w:val="000007D3"/>
    <w:rsid w:val="00003B97"/>
    <w:rsid w:val="000270E3"/>
    <w:rsid w:val="000300A8"/>
    <w:rsid w:val="0003065E"/>
    <w:rsid w:val="0003415D"/>
    <w:rsid w:val="000368EC"/>
    <w:rsid w:val="000401C7"/>
    <w:rsid w:val="00040C91"/>
    <w:rsid w:val="000429F2"/>
    <w:rsid w:val="00052C18"/>
    <w:rsid w:val="0005794E"/>
    <w:rsid w:val="00062791"/>
    <w:rsid w:val="00084020"/>
    <w:rsid w:val="000A78CA"/>
    <w:rsid w:val="000D3FBC"/>
    <w:rsid w:val="000D60A3"/>
    <w:rsid w:val="00121F05"/>
    <w:rsid w:val="001238FB"/>
    <w:rsid w:val="0013168B"/>
    <w:rsid w:val="001404B3"/>
    <w:rsid w:val="00166B93"/>
    <w:rsid w:val="00171BFD"/>
    <w:rsid w:val="00175AB2"/>
    <w:rsid w:val="00186716"/>
    <w:rsid w:val="00190E2F"/>
    <w:rsid w:val="00196BDB"/>
    <w:rsid w:val="001A0B25"/>
    <w:rsid w:val="001A3AC7"/>
    <w:rsid w:val="001A5366"/>
    <w:rsid w:val="001B4D7D"/>
    <w:rsid w:val="00210971"/>
    <w:rsid w:val="002134B1"/>
    <w:rsid w:val="00220AFC"/>
    <w:rsid w:val="0023300D"/>
    <w:rsid w:val="00240234"/>
    <w:rsid w:val="002410DE"/>
    <w:rsid w:val="00280E81"/>
    <w:rsid w:val="00284D19"/>
    <w:rsid w:val="002B3585"/>
    <w:rsid w:val="002B7517"/>
    <w:rsid w:val="002D5E4D"/>
    <w:rsid w:val="002E2052"/>
    <w:rsid w:val="002F2F1C"/>
    <w:rsid w:val="00301D24"/>
    <w:rsid w:val="00303620"/>
    <w:rsid w:val="0030458A"/>
    <w:rsid w:val="00306176"/>
    <w:rsid w:val="0030765F"/>
    <w:rsid w:val="00311E72"/>
    <w:rsid w:val="00313BDB"/>
    <w:rsid w:val="0031565B"/>
    <w:rsid w:val="00317635"/>
    <w:rsid w:val="003402A4"/>
    <w:rsid w:val="003403C1"/>
    <w:rsid w:val="00350405"/>
    <w:rsid w:val="00360F54"/>
    <w:rsid w:val="00373596"/>
    <w:rsid w:val="00374E80"/>
    <w:rsid w:val="00390FEC"/>
    <w:rsid w:val="00392BD4"/>
    <w:rsid w:val="003A3855"/>
    <w:rsid w:val="00404970"/>
    <w:rsid w:val="0041527D"/>
    <w:rsid w:val="0042500E"/>
    <w:rsid w:val="00433001"/>
    <w:rsid w:val="00434C91"/>
    <w:rsid w:val="004379B8"/>
    <w:rsid w:val="00452789"/>
    <w:rsid w:val="00455F52"/>
    <w:rsid w:val="004735CF"/>
    <w:rsid w:val="0048277C"/>
    <w:rsid w:val="00486E4A"/>
    <w:rsid w:val="004920B1"/>
    <w:rsid w:val="004A4325"/>
    <w:rsid w:val="004C4497"/>
    <w:rsid w:val="004D07A2"/>
    <w:rsid w:val="004D568A"/>
    <w:rsid w:val="00503F12"/>
    <w:rsid w:val="00527E27"/>
    <w:rsid w:val="00530D15"/>
    <w:rsid w:val="005538C1"/>
    <w:rsid w:val="00583AE2"/>
    <w:rsid w:val="005A3D34"/>
    <w:rsid w:val="005B3669"/>
    <w:rsid w:val="005D2FC2"/>
    <w:rsid w:val="005E212E"/>
    <w:rsid w:val="005E27B0"/>
    <w:rsid w:val="005F6933"/>
    <w:rsid w:val="006372FB"/>
    <w:rsid w:val="006403F9"/>
    <w:rsid w:val="0065188D"/>
    <w:rsid w:val="00654E52"/>
    <w:rsid w:val="00656862"/>
    <w:rsid w:val="00661540"/>
    <w:rsid w:val="00675C34"/>
    <w:rsid w:val="00681D37"/>
    <w:rsid w:val="0068689D"/>
    <w:rsid w:val="0069041B"/>
    <w:rsid w:val="006B3D32"/>
    <w:rsid w:val="006C42BE"/>
    <w:rsid w:val="006E7BAA"/>
    <w:rsid w:val="006F3AD1"/>
    <w:rsid w:val="00704BC4"/>
    <w:rsid w:val="0072244A"/>
    <w:rsid w:val="00752750"/>
    <w:rsid w:val="00752A2A"/>
    <w:rsid w:val="007600CC"/>
    <w:rsid w:val="00766ACB"/>
    <w:rsid w:val="007945A4"/>
    <w:rsid w:val="007F33D9"/>
    <w:rsid w:val="00820948"/>
    <w:rsid w:val="00821725"/>
    <w:rsid w:val="008451C1"/>
    <w:rsid w:val="008528F3"/>
    <w:rsid w:val="008614E6"/>
    <w:rsid w:val="00867C1C"/>
    <w:rsid w:val="00897650"/>
    <w:rsid w:val="008A4161"/>
    <w:rsid w:val="008C6C30"/>
    <w:rsid w:val="008D1FC2"/>
    <w:rsid w:val="008D5809"/>
    <w:rsid w:val="008F120F"/>
    <w:rsid w:val="008F5745"/>
    <w:rsid w:val="00915517"/>
    <w:rsid w:val="009334C7"/>
    <w:rsid w:val="00940F51"/>
    <w:rsid w:val="009458C4"/>
    <w:rsid w:val="00970D2A"/>
    <w:rsid w:val="009903B0"/>
    <w:rsid w:val="00992D81"/>
    <w:rsid w:val="009B65BF"/>
    <w:rsid w:val="00A008B4"/>
    <w:rsid w:val="00A06D59"/>
    <w:rsid w:val="00A1403A"/>
    <w:rsid w:val="00A257D1"/>
    <w:rsid w:val="00A31FC5"/>
    <w:rsid w:val="00A37DF4"/>
    <w:rsid w:val="00A54921"/>
    <w:rsid w:val="00A62A36"/>
    <w:rsid w:val="00A8466B"/>
    <w:rsid w:val="00AA056D"/>
    <w:rsid w:val="00AB57FA"/>
    <w:rsid w:val="00AC649B"/>
    <w:rsid w:val="00AC6779"/>
    <w:rsid w:val="00AE19E6"/>
    <w:rsid w:val="00B05267"/>
    <w:rsid w:val="00B15A4B"/>
    <w:rsid w:val="00B249EB"/>
    <w:rsid w:val="00B27F5C"/>
    <w:rsid w:val="00B35A2C"/>
    <w:rsid w:val="00B43A9D"/>
    <w:rsid w:val="00B46D38"/>
    <w:rsid w:val="00B540B5"/>
    <w:rsid w:val="00B577EF"/>
    <w:rsid w:val="00B61515"/>
    <w:rsid w:val="00B62FD2"/>
    <w:rsid w:val="00B8350C"/>
    <w:rsid w:val="00B84AF1"/>
    <w:rsid w:val="00BA6324"/>
    <w:rsid w:val="00BB7DE9"/>
    <w:rsid w:val="00BC3721"/>
    <w:rsid w:val="00BC4CAC"/>
    <w:rsid w:val="00BF009F"/>
    <w:rsid w:val="00C07B64"/>
    <w:rsid w:val="00C21FDA"/>
    <w:rsid w:val="00C57639"/>
    <w:rsid w:val="00C764BB"/>
    <w:rsid w:val="00C87097"/>
    <w:rsid w:val="00CE0B4D"/>
    <w:rsid w:val="00CE3DAF"/>
    <w:rsid w:val="00D11427"/>
    <w:rsid w:val="00D11F4B"/>
    <w:rsid w:val="00D2085A"/>
    <w:rsid w:val="00D27079"/>
    <w:rsid w:val="00D315A6"/>
    <w:rsid w:val="00D461E7"/>
    <w:rsid w:val="00D57657"/>
    <w:rsid w:val="00D63236"/>
    <w:rsid w:val="00D74D62"/>
    <w:rsid w:val="00D77172"/>
    <w:rsid w:val="00D94386"/>
    <w:rsid w:val="00DB1C3F"/>
    <w:rsid w:val="00DB5B4B"/>
    <w:rsid w:val="00DB7F8D"/>
    <w:rsid w:val="00DC1E0A"/>
    <w:rsid w:val="00DD3FE8"/>
    <w:rsid w:val="00DD7720"/>
    <w:rsid w:val="00DF2E33"/>
    <w:rsid w:val="00DF5086"/>
    <w:rsid w:val="00E05C46"/>
    <w:rsid w:val="00E15BB8"/>
    <w:rsid w:val="00E17B79"/>
    <w:rsid w:val="00E17D51"/>
    <w:rsid w:val="00E20910"/>
    <w:rsid w:val="00E36F8C"/>
    <w:rsid w:val="00E43226"/>
    <w:rsid w:val="00E43DFA"/>
    <w:rsid w:val="00E53FAA"/>
    <w:rsid w:val="00E63513"/>
    <w:rsid w:val="00E63BAB"/>
    <w:rsid w:val="00E726BC"/>
    <w:rsid w:val="00E73C0F"/>
    <w:rsid w:val="00EB07CA"/>
    <w:rsid w:val="00EE347A"/>
    <w:rsid w:val="00F12E26"/>
    <w:rsid w:val="00F146CF"/>
    <w:rsid w:val="00F146D3"/>
    <w:rsid w:val="00F275E2"/>
    <w:rsid w:val="00F61063"/>
    <w:rsid w:val="00F81A8A"/>
    <w:rsid w:val="00F87477"/>
    <w:rsid w:val="00FA31D5"/>
    <w:rsid w:val="00FB7C2F"/>
    <w:rsid w:val="00FE6459"/>
    <w:rsid w:val="00FF75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0B1"/>
    <w:pPr>
      <w:pBdr>
        <w:bottom w:val="single" w:sz="6" w:space="1" w:color="auto"/>
      </w:pBdr>
      <w:tabs>
        <w:tab w:val="center" w:pos="4153"/>
        <w:tab w:val="right" w:pos="8306"/>
      </w:tabs>
      <w:snapToGrid w:val="0"/>
      <w:jc w:val="center"/>
    </w:pPr>
    <w:rPr>
      <w:kern w:val="0"/>
      <w:sz w:val="18"/>
      <w:szCs w:val="18"/>
      <w:lang/>
    </w:rPr>
  </w:style>
  <w:style w:type="character" w:customStyle="1" w:styleId="a4">
    <w:name w:val="页眉 字符"/>
    <w:link w:val="a3"/>
    <w:uiPriority w:val="99"/>
    <w:rsid w:val="004920B1"/>
    <w:rPr>
      <w:sz w:val="18"/>
      <w:szCs w:val="18"/>
    </w:rPr>
  </w:style>
  <w:style w:type="paragraph" w:styleId="a5">
    <w:name w:val="footer"/>
    <w:basedOn w:val="a"/>
    <w:link w:val="a6"/>
    <w:uiPriority w:val="99"/>
    <w:unhideWhenUsed/>
    <w:rsid w:val="004920B1"/>
    <w:pPr>
      <w:tabs>
        <w:tab w:val="center" w:pos="4153"/>
        <w:tab w:val="right" w:pos="8306"/>
      </w:tabs>
      <w:snapToGrid w:val="0"/>
      <w:jc w:val="left"/>
    </w:pPr>
    <w:rPr>
      <w:kern w:val="0"/>
      <w:sz w:val="18"/>
      <w:szCs w:val="18"/>
      <w:lang/>
    </w:rPr>
  </w:style>
  <w:style w:type="character" w:customStyle="1" w:styleId="a6">
    <w:name w:val="页脚 字符"/>
    <w:link w:val="a5"/>
    <w:uiPriority w:val="99"/>
    <w:rsid w:val="004920B1"/>
    <w:rPr>
      <w:sz w:val="18"/>
      <w:szCs w:val="18"/>
    </w:rPr>
  </w:style>
  <w:style w:type="character" w:styleId="a7">
    <w:name w:val="Hyperlink"/>
    <w:rsid w:val="008F5745"/>
    <w:rPr>
      <w:strike w:val="0"/>
      <w:dstrike w:val="0"/>
      <w:color w:val="333333"/>
      <w:sz w:val="18"/>
      <w:szCs w:val="18"/>
      <w:u w:val="none"/>
      <w:effect w:val="none"/>
    </w:rPr>
  </w:style>
  <w:style w:type="paragraph" w:styleId="a8">
    <w:name w:val="List Paragraph"/>
    <w:basedOn w:val="a"/>
    <w:uiPriority w:val="34"/>
    <w:qFormat/>
    <w:rsid w:val="008F5745"/>
    <w:pPr>
      <w:ind w:firstLineChars="200" w:firstLine="420"/>
    </w:pPr>
  </w:style>
  <w:style w:type="paragraph" w:styleId="a9">
    <w:name w:val="Balloon Text"/>
    <w:basedOn w:val="a"/>
    <w:link w:val="aa"/>
    <w:uiPriority w:val="99"/>
    <w:semiHidden/>
    <w:unhideWhenUsed/>
    <w:rsid w:val="008F5745"/>
    <w:rPr>
      <w:kern w:val="0"/>
      <w:sz w:val="18"/>
      <w:szCs w:val="18"/>
      <w:lang/>
    </w:rPr>
  </w:style>
  <w:style w:type="character" w:customStyle="1" w:styleId="aa">
    <w:name w:val="批注框文本 字符"/>
    <w:link w:val="a9"/>
    <w:uiPriority w:val="99"/>
    <w:semiHidden/>
    <w:rsid w:val="008F5745"/>
    <w:rPr>
      <w:sz w:val="18"/>
      <w:szCs w:val="18"/>
    </w:rPr>
  </w:style>
  <w:style w:type="character" w:styleId="ab">
    <w:name w:val="Strong"/>
    <w:uiPriority w:val="22"/>
    <w:qFormat/>
    <w:rsid w:val="00681D37"/>
    <w:rPr>
      <w:b/>
      <w:bCs/>
    </w:rPr>
  </w:style>
  <w:style w:type="table" w:styleId="ac">
    <w:name w:val="Table Grid"/>
    <w:basedOn w:val="a1"/>
    <w:uiPriority w:val="59"/>
    <w:rsid w:val="0017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DF2E33"/>
    <w:rPr>
      <w:sz w:val="21"/>
      <w:szCs w:val="21"/>
    </w:rPr>
  </w:style>
  <w:style w:type="paragraph" w:styleId="ae">
    <w:name w:val="annotation text"/>
    <w:basedOn w:val="a"/>
    <w:link w:val="af"/>
    <w:uiPriority w:val="99"/>
    <w:unhideWhenUsed/>
    <w:rsid w:val="00DF2E33"/>
    <w:pPr>
      <w:jc w:val="left"/>
    </w:pPr>
    <w:rPr>
      <w:lang/>
    </w:rPr>
  </w:style>
  <w:style w:type="character" w:customStyle="1" w:styleId="af">
    <w:name w:val="批注文字 字符"/>
    <w:link w:val="ae"/>
    <w:uiPriority w:val="99"/>
    <w:rsid w:val="00DF2E33"/>
    <w:rPr>
      <w:kern w:val="2"/>
      <w:sz w:val="21"/>
      <w:szCs w:val="22"/>
    </w:rPr>
  </w:style>
  <w:style w:type="paragraph" w:styleId="af0">
    <w:name w:val="annotation subject"/>
    <w:basedOn w:val="ae"/>
    <w:next w:val="ae"/>
    <w:link w:val="af1"/>
    <w:uiPriority w:val="99"/>
    <w:semiHidden/>
    <w:unhideWhenUsed/>
    <w:rsid w:val="00DF2E33"/>
    <w:rPr>
      <w:b/>
      <w:bCs/>
    </w:rPr>
  </w:style>
  <w:style w:type="character" w:customStyle="1" w:styleId="af1">
    <w:name w:val="批注主题 字符"/>
    <w:link w:val="af0"/>
    <w:uiPriority w:val="99"/>
    <w:semiHidden/>
    <w:rsid w:val="00DF2E33"/>
    <w:rPr>
      <w:b/>
      <w:bCs/>
      <w:kern w:val="2"/>
      <w:sz w:val="21"/>
      <w:szCs w:val="22"/>
    </w:rPr>
  </w:style>
  <w:style w:type="paragraph" w:styleId="af2">
    <w:name w:val="Revision"/>
    <w:hidden/>
    <w:uiPriority w:val="99"/>
    <w:semiHidden/>
    <w:rsid w:val="00AC6779"/>
    <w:rPr>
      <w:kern w:val="2"/>
      <w:sz w:val="21"/>
      <w:szCs w:val="22"/>
    </w:rPr>
  </w:style>
</w:styles>
</file>

<file path=word/webSettings.xml><?xml version="1.0" encoding="utf-8"?>
<w:webSettings xmlns:r="http://schemas.openxmlformats.org/officeDocument/2006/relationships" xmlns:w="http://schemas.openxmlformats.org/wordprocessingml/2006/main">
  <w:divs>
    <w:div w:id="1664159">
      <w:bodyDiv w:val="1"/>
      <w:marLeft w:val="0"/>
      <w:marRight w:val="0"/>
      <w:marTop w:val="0"/>
      <w:marBottom w:val="0"/>
      <w:divBdr>
        <w:top w:val="none" w:sz="0" w:space="0" w:color="auto"/>
        <w:left w:val="none" w:sz="0" w:space="0" w:color="auto"/>
        <w:bottom w:val="none" w:sz="0" w:space="0" w:color="auto"/>
        <w:right w:val="none" w:sz="0" w:space="0" w:color="auto"/>
      </w:divBdr>
    </w:div>
    <w:div w:id="71052461">
      <w:bodyDiv w:val="1"/>
      <w:marLeft w:val="0"/>
      <w:marRight w:val="0"/>
      <w:marTop w:val="0"/>
      <w:marBottom w:val="0"/>
      <w:divBdr>
        <w:top w:val="none" w:sz="0" w:space="0" w:color="auto"/>
        <w:left w:val="none" w:sz="0" w:space="0" w:color="auto"/>
        <w:bottom w:val="none" w:sz="0" w:space="0" w:color="auto"/>
        <w:right w:val="none" w:sz="0" w:space="0" w:color="auto"/>
      </w:divBdr>
    </w:div>
    <w:div w:id="151725581">
      <w:bodyDiv w:val="1"/>
      <w:marLeft w:val="0"/>
      <w:marRight w:val="0"/>
      <w:marTop w:val="0"/>
      <w:marBottom w:val="0"/>
      <w:divBdr>
        <w:top w:val="none" w:sz="0" w:space="0" w:color="auto"/>
        <w:left w:val="none" w:sz="0" w:space="0" w:color="auto"/>
        <w:bottom w:val="none" w:sz="0" w:space="0" w:color="auto"/>
        <w:right w:val="none" w:sz="0" w:space="0" w:color="auto"/>
      </w:divBdr>
    </w:div>
    <w:div w:id="256452376">
      <w:bodyDiv w:val="1"/>
      <w:marLeft w:val="0"/>
      <w:marRight w:val="0"/>
      <w:marTop w:val="0"/>
      <w:marBottom w:val="0"/>
      <w:divBdr>
        <w:top w:val="none" w:sz="0" w:space="0" w:color="auto"/>
        <w:left w:val="none" w:sz="0" w:space="0" w:color="auto"/>
        <w:bottom w:val="none" w:sz="0" w:space="0" w:color="auto"/>
        <w:right w:val="none" w:sz="0" w:space="0" w:color="auto"/>
      </w:divBdr>
    </w:div>
    <w:div w:id="293605393">
      <w:bodyDiv w:val="1"/>
      <w:marLeft w:val="0"/>
      <w:marRight w:val="0"/>
      <w:marTop w:val="0"/>
      <w:marBottom w:val="0"/>
      <w:divBdr>
        <w:top w:val="none" w:sz="0" w:space="0" w:color="auto"/>
        <w:left w:val="none" w:sz="0" w:space="0" w:color="auto"/>
        <w:bottom w:val="none" w:sz="0" w:space="0" w:color="auto"/>
        <w:right w:val="none" w:sz="0" w:space="0" w:color="auto"/>
      </w:divBdr>
    </w:div>
    <w:div w:id="519972750">
      <w:bodyDiv w:val="1"/>
      <w:marLeft w:val="0"/>
      <w:marRight w:val="0"/>
      <w:marTop w:val="0"/>
      <w:marBottom w:val="0"/>
      <w:divBdr>
        <w:top w:val="none" w:sz="0" w:space="0" w:color="auto"/>
        <w:left w:val="none" w:sz="0" w:space="0" w:color="auto"/>
        <w:bottom w:val="none" w:sz="0" w:space="0" w:color="auto"/>
        <w:right w:val="none" w:sz="0" w:space="0" w:color="auto"/>
      </w:divBdr>
    </w:div>
    <w:div w:id="739014192">
      <w:bodyDiv w:val="1"/>
      <w:marLeft w:val="0"/>
      <w:marRight w:val="0"/>
      <w:marTop w:val="0"/>
      <w:marBottom w:val="0"/>
      <w:divBdr>
        <w:top w:val="none" w:sz="0" w:space="0" w:color="auto"/>
        <w:left w:val="none" w:sz="0" w:space="0" w:color="auto"/>
        <w:bottom w:val="none" w:sz="0" w:space="0" w:color="auto"/>
        <w:right w:val="none" w:sz="0" w:space="0" w:color="auto"/>
      </w:divBdr>
    </w:div>
    <w:div w:id="805586780">
      <w:bodyDiv w:val="1"/>
      <w:marLeft w:val="0"/>
      <w:marRight w:val="0"/>
      <w:marTop w:val="0"/>
      <w:marBottom w:val="0"/>
      <w:divBdr>
        <w:top w:val="none" w:sz="0" w:space="0" w:color="auto"/>
        <w:left w:val="none" w:sz="0" w:space="0" w:color="auto"/>
        <w:bottom w:val="none" w:sz="0" w:space="0" w:color="auto"/>
        <w:right w:val="none" w:sz="0" w:space="0" w:color="auto"/>
      </w:divBdr>
    </w:div>
    <w:div w:id="944072029">
      <w:bodyDiv w:val="1"/>
      <w:marLeft w:val="0"/>
      <w:marRight w:val="0"/>
      <w:marTop w:val="0"/>
      <w:marBottom w:val="0"/>
      <w:divBdr>
        <w:top w:val="none" w:sz="0" w:space="0" w:color="auto"/>
        <w:left w:val="none" w:sz="0" w:space="0" w:color="auto"/>
        <w:bottom w:val="none" w:sz="0" w:space="0" w:color="auto"/>
        <w:right w:val="none" w:sz="0" w:space="0" w:color="auto"/>
      </w:divBdr>
    </w:div>
    <w:div w:id="1132556202">
      <w:bodyDiv w:val="1"/>
      <w:marLeft w:val="0"/>
      <w:marRight w:val="0"/>
      <w:marTop w:val="0"/>
      <w:marBottom w:val="0"/>
      <w:divBdr>
        <w:top w:val="none" w:sz="0" w:space="0" w:color="auto"/>
        <w:left w:val="none" w:sz="0" w:space="0" w:color="auto"/>
        <w:bottom w:val="none" w:sz="0" w:space="0" w:color="auto"/>
        <w:right w:val="none" w:sz="0" w:space="0" w:color="auto"/>
      </w:divBdr>
    </w:div>
    <w:div w:id="1257980139">
      <w:bodyDiv w:val="1"/>
      <w:marLeft w:val="0"/>
      <w:marRight w:val="0"/>
      <w:marTop w:val="0"/>
      <w:marBottom w:val="0"/>
      <w:divBdr>
        <w:top w:val="none" w:sz="0" w:space="0" w:color="auto"/>
        <w:left w:val="none" w:sz="0" w:space="0" w:color="auto"/>
        <w:bottom w:val="none" w:sz="0" w:space="0" w:color="auto"/>
        <w:right w:val="none" w:sz="0" w:space="0" w:color="auto"/>
      </w:divBdr>
    </w:div>
    <w:div w:id="1363673280">
      <w:bodyDiv w:val="1"/>
      <w:marLeft w:val="0"/>
      <w:marRight w:val="0"/>
      <w:marTop w:val="0"/>
      <w:marBottom w:val="0"/>
      <w:divBdr>
        <w:top w:val="none" w:sz="0" w:space="0" w:color="auto"/>
        <w:left w:val="none" w:sz="0" w:space="0" w:color="auto"/>
        <w:bottom w:val="none" w:sz="0" w:space="0" w:color="auto"/>
        <w:right w:val="none" w:sz="0" w:space="0" w:color="auto"/>
      </w:divBdr>
    </w:div>
    <w:div w:id="1384478106">
      <w:bodyDiv w:val="1"/>
      <w:marLeft w:val="0"/>
      <w:marRight w:val="0"/>
      <w:marTop w:val="0"/>
      <w:marBottom w:val="0"/>
      <w:divBdr>
        <w:top w:val="none" w:sz="0" w:space="0" w:color="auto"/>
        <w:left w:val="none" w:sz="0" w:space="0" w:color="auto"/>
        <w:bottom w:val="none" w:sz="0" w:space="0" w:color="auto"/>
        <w:right w:val="none" w:sz="0" w:space="0" w:color="auto"/>
      </w:divBdr>
    </w:div>
    <w:div w:id="1485853882">
      <w:bodyDiv w:val="1"/>
      <w:marLeft w:val="0"/>
      <w:marRight w:val="0"/>
      <w:marTop w:val="0"/>
      <w:marBottom w:val="0"/>
      <w:divBdr>
        <w:top w:val="none" w:sz="0" w:space="0" w:color="auto"/>
        <w:left w:val="none" w:sz="0" w:space="0" w:color="auto"/>
        <w:bottom w:val="none" w:sz="0" w:space="0" w:color="auto"/>
        <w:right w:val="none" w:sz="0" w:space="0" w:color="auto"/>
      </w:divBdr>
    </w:div>
    <w:div w:id="1747265282">
      <w:bodyDiv w:val="1"/>
      <w:marLeft w:val="0"/>
      <w:marRight w:val="0"/>
      <w:marTop w:val="0"/>
      <w:marBottom w:val="0"/>
      <w:divBdr>
        <w:top w:val="none" w:sz="0" w:space="0" w:color="auto"/>
        <w:left w:val="none" w:sz="0" w:space="0" w:color="auto"/>
        <w:bottom w:val="none" w:sz="0" w:space="0" w:color="auto"/>
        <w:right w:val="none" w:sz="0" w:space="0" w:color="auto"/>
      </w:divBdr>
    </w:div>
    <w:div w:id="1768621178">
      <w:bodyDiv w:val="1"/>
      <w:marLeft w:val="0"/>
      <w:marRight w:val="0"/>
      <w:marTop w:val="0"/>
      <w:marBottom w:val="0"/>
      <w:divBdr>
        <w:top w:val="none" w:sz="0" w:space="0" w:color="auto"/>
        <w:left w:val="none" w:sz="0" w:space="0" w:color="auto"/>
        <w:bottom w:val="none" w:sz="0" w:space="0" w:color="auto"/>
        <w:right w:val="none" w:sz="0" w:space="0" w:color="auto"/>
      </w:divBdr>
    </w:div>
    <w:div w:id="1781607173">
      <w:bodyDiv w:val="1"/>
      <w:marLeft w:val="0"/>
      <w:marRight w:val="0"/>
      <w:marTop w:val="0"/>
      <w:marBottom w:val="0"/>
      <w:divBdr>
        <w:top w:val="none" w:sz="0" w:space="0" w:color="auto"/>
        <w:left w:val="none" w:sz="0" w:space="0" w:color="auto"/>
        <w:bottom w:val="none" w:sz="0" w:space="0" w:color="auto"/>
        <w:right w:val="none" w:sz="0" w:space="0" w:color="auto"/>
      </w:divBdr>
    </w:div>
    <w:div w:id="1851993028">
      <w:bodyDiv w:val="1"/>
      <w:marLeft w:val="0"/>
      <w:marRight w:val="0"/>
      <w:marTop w:val="0"/>
      <w:marBottom w:val="0"/>
      <w:divBdr>
        <w:top w:val="none" w:sz="0" w:space="0" w:color="auto"/>
        <w:left w:val="none" w:sz="0" w:space="0" w:color="auto"/>
        <w:bottom w:val="none" w:sz="0" w:space="0" w:color="auto"/>
        <w:right w:val="none" w:sz="0" w:space="0" w:color="auto"/>
      </w:divBdr>
    </w:div>
    <w:div w:id="1950425264">
      <w:bodyDiv w:val="1"/>
      <w:marLeft w:val="0"/>
      <w:marRight w:val="0"/>
      <w:marTop w:val="0"/>
      <w:marBottom w:val="0"/>
      <w:divBdr>
        <w:top w:val="none" w:sz="0" w:space="0" w:color="auto"/>
        <w:left w:val="none" w:sz="0" w:space="0" w:color="auto"/>
        <w:bottom w:val="none" w:sz="0" w:space="0" w:color="auto"/>
        <w:right w:val="none" w:sz="0" w:space="0" w:color="auto"/>
      </w:divBdr>
    </w:div>
    <w:div w:id="21151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94FD-4AA9-4AD1-8680-E9DB4049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Office Word</Application>
  <DocSecurity>4</DocSecurity>
  <Lines>21</Lines>
  <Paragraphs>6</Paragraphs>
  <ScaleCrop>false</ScaleCrop>
  <Company/>
  <LinksUpToDate>false</LinksUpToDate>
  <CharactersWithSpaces>3001</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关于融通基金管理有限公司旗下部分开放式基金参加华西证券股份有限公司申购及定期定额投资业务费率优惠活动的公告</dc:title>
  <dc:subject/>
  <dc:creator>冯雯雯</dc:creator>
  <cp:keywords/>
  <dc:description/>
  <cp:lastModifiedBy>JonMMx 2000</cp:lastModifiedBy>
  <cp:revision>2</cp:revision>
  <cp:lastPrinted>2018-01-30T05:08:00Z</cp:lastPrinted>
  <dcterms:created xsi:type="dcterms:W3CDTF">2020-05-05T16:06:00Z</dcterms:created>
  <dcterms:modified xsi:type="dcterms:W3CDTF">2020-05-05T16:06:00Z</dcterms:modified>
</cp:coreProperties>
</file>