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r w:rsidRPr="002C0C59">
        <w:rPr>
          <w:rFonts w:ascii="Times New Roman" w:hAnsi="Times New Roman" w:cs="Times New Roman"/>
          <w:b/>
          <w:color w:val="000000"/>
          <w:kern w:val="0"/>
          <w:sz w:val="28"/>
          <w:szCs w:val="28"/>
        </w:rPr>
        <w:t>关于旗下部分开放式</w:t>
      </w:r>
      <w:bookmarkStart w:id="0" w:name="_GoBack"/>
      <w:bookmarkEnd w:id="0"/>
      <w:r w:rsidRPr="002C0C59">
        <w:rPr>
          <w:rFonts w:ascii="Times New Roman" w:hAnsi="Times New Roman" w:cs="Times New Roman"/>
          <w:b/>
          <w:color w:val="000000"/>
          <w:kern w:val="0"/>
          <w:sz w:val="28"/>
          <w:szCs w:val="28"/>
        </w:rPr>
        <w:t>基金增加</w:t>
      </w:r>
      <w:r w:rsidR="00E70835" w:rsidRPr="00E70835">
        <w:rPr>
          <w:rFonts w:ascii="Times New Roman" w:hAnsi="Times New Roman" w:cs="Times New Roman" w:hint="eastAsia"/>
          <w:b/>
          <w:color w:val="000000"/>
          <w:kern w:val="0"/>
          <w:sz w:val="28"/>
          <w:szCs w:val="28"/>
        </w:rPr>
        <w:t>中信证券华南股份有限公司</w:t>
      </w:r>
      <w:r w:rsidR="00DB0662">
        <w:rPr>
          <w:rFonts w:ascii="Times New Roman" w:hAnsi="Times New Roman" w:cs="Times New Roman" w:hint="eastAsia"/>
          <w:b/>
          <w:color w:val="000000"/>
          <w:kern w:val="0"/>
          <w:sz w:val="28"/>
          <w:szCs w:val="28"/>
        </w:rPr>
        <w:t>为</w:t>
      </w:r>
      <w:r w:rsidR="00BD3887">
        <w:rPr>
          <w:rFonts w:ascii="Times New Roman" w:hAnsi="Times New Roman" w:cs="Times New Roman" w:hint="eastAsia"/>
          <w:b/>
          <w:color w:val="000000"/>
          <w:kern w:val="0"/>
          <w:sz w:val="28"/>
          <w:szCs w:val="28"/>
        </w:rPr>
        <w:t>销售</w:t>
      </w:r>
      <w:r w:rsidRPr="002C0C59">
        <w:rPr>
          <w:rFonts w:ascii="Times New Roman" w:hAnsi="Times New Roman" w:cs="Times New Roman"/>
          <w:b/>
          <w:color w:val="000000"/>
          <w:kern w:val="0"/>
          <w:sz w:val="28"/>
          <w:szCs w:val="28"/>
        </w:rPr>
        <w:t>机构</w:t>
      </w:r>
      <w:r w:rsidR="00E70835" w:rsidRPr="00E70835">
        <w:rPr>
          <w:rFonts w:ascii="Times New Roman" w:hAnsi="Times New Roman" w:cs="Times New Roman" w:hint="eastAsia"/>
          <w:b/>
          <w:color w:val="000000"/>
          <w:kern w:val="0"/>
          <w:sz w:val="28"/>
          <w:szCs w:val="28"/>
        </w:rPr>
        <w:t>并开通基金定期定额投资和转换业务</w:t>
      </w:r>
      <w:r w:rsidRPr="002C0C59">
        <w:rPr>
          <w:rFonts w:ascii="Times New Roman" w:hAnsi="Times New Roman" w:cs="Times New Roman"/>
          <w:b/>
          <w:color w:val="000000"/>
          <w:kern w:val="0"/>
          <w:sz w:val="28"/>
          <w:szCs w:val="28"/>
        </w:rPr>
        <w:t>的公告</w:t>
      </w:r>
    </w:p>
    <w:p w:rsidR="00CD0674" w:rsidRPr="00F533A3"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9A6552" w:rsidRDefault="00CD0674" w:rsidP="00F15C3C">
      <w:pPr>
        <w:autoSpaceDE w:val="0"/>
        <w:autoSpaceDN w:val="0"/>
        <w:adjustRightInd w:val="0"/>
        <w:spacing w:line="360" w:lineRule="auto"/>
        <w:ind w:firstLineChars="200" w:firstLine="480"/>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根据民生加银基金管理有限公司（以下简称“本公司”）与</w:t>
      </w:r>
      <w:r w:rsidR="00E70835" w:rsidRPr="009A6552">
        <w:rPr>
          <w:rFonts w:asciiTheme="minorEastAsia" w:hAnsiTheme="minorEastAsia" w:cs="Times New Roman" w:hint="eastAsia"/>
          <w:color w:val="000000"/>
          <w:kern w:val="0"/>
          <w:sz w:val="24"/>
          <w:szCs w:val="24"/>
        </w:rPr>
        <w:t>中信证券华南股份有限公司</w:t>
      </w:r>
      <w:r w:rsidR="005F0F54" w:rsidRPr="009A6552">
        <w:rPr>
          <w:rFonts w:asciiTheme="minorEastAsia" w:hAnsiTheme="minorEastAsia" w:cs="Times New Roman"/>
          <w:color w:val="000000"/>
          <w:kern w:val="0"/>
          <w:sz w:val="24"/>
          <w:szCs w:val="24"/>
        </w:rPr>
        <w:t>签署的基金销售</w:t>
      </w:r>
      <w:r w:rsidRPr="009A6552">
        <w:rPr>
          <w:rFonts w:asciiTheme="minorEastAsia" w:hAnsiTheme="minorEastAsia" w:cs="Times New Roman"/>
          <w:color w:val="000000"/>
          <w:kern w:val="0"/>
          <w:sz w:val="24"/>
          <w:szCs w:val="24"/>
        </w:rPr>
        <w:t>协议，自</w:t>
      </w:r>
      <w:r w:rsidR="00E70835" w:rsidRPr="009A6552">
        <w:rPr>
          <w:rFonts w:asciiTheme="minorEastAsia" w:hAnsiTheme="minorEastAsia" w:cs="Times New Roman"/>
          <w:kern w:val="0"/>
          <w:sz w:val="24"/>
          <w:szCs w:val="24"/>
        </w:rPr>
        <w:t>2020年5</w:t>
      </w:r>
      <w:r w:rsidR="00473B7E" w:rsidRPr="009A6552">
        <w:rPr>
          <w:rFonts w:asciiTheme="minorEastAsia" w:hAnsiTheme="minorEastAsia" w:cs="Times New Roman"/>
          <w:kern w:val="0"/>
          <w:sz w:val="24"/>
          <w:szCs w:val="24"/>
        </w:rPr>
        <w:t>月</w:t>
      </w:r>
      <w:r w:rsidR="00E70835" w:rsidRPr="009A6552">
        <w:rPr>
          <w:rFonts w:asciiTheme="minorEastAsia" w:hAnsiTheme="minorEastAsia" w:cs="Times New Roman"/>
          <w:kern w:val="0"/>
          <w:sz w:val="24"/>
          <w:szCs w:val="24"/>
        </w:rPr>
        <w:t>6</w:t>
      </w:r>
      <w:r w:rsidRPr="009A6552">
        <w:rPr>
          <w:rFonts w:asciiTheme="minorEastAsia" w:hAnsiTheme="minorEastAsia" w:cs="Times New Roman"/>
          <w:kern w:val="0"/>
          <w:sz w:val="24"/>
          <w:szCs w:val="24"/>
        </w:rPr>
        <w:t>日</w:t>
      </w:r>
      <w:r w:rsidRPr="009A6552">
        <w:rPr>
          <w:rFonts w:asciiTheme="minorEastAsia" w:hAnsiTheme="minorEastAsia" w:cs="Times New Roman"/>
          <w:color w:val="000000"/>
          <w:kern w:val="0"/>
          <w:sz w:val="24"/>
          <w:szCs w:val="24"/>
        </w:rPr>
        <w:t>起，本公司旗下部分开放式基金增加</w:t>
      </w:r>
      <w:r w:rsidR="00E70835" w:rsidRPr="009A6552">
        <w:rPr>
          <w:rFonts w:asciiTheme="minorEastAsia" w:hAnsiTheme="minorEastAsia" w:cs="Times New Roman" w:hint="eastAsia"/>
          <w:color w:val="000000"/>
          <w:kern w:val="0"/>
          <w:sz w:val="24"/>
          <w:szCs w:val="24"/>
        </w:rPr>
        <w:t>中信证券华南股份有限公司</w:t>
      </w:r>
      <w:r w:rsidRPr="009A6552">
        <w:rPr>
          <w:rFonts w:asciiTheme="minorEastAsia" w:hAnsiTheme="minorEastAsia" w:cs="Times New Roman"/>
          <w:color w:val="000000"/>
          <w:kern w:val="0"/>
          <w:sz w:val="24"/>
          <w:szCs w:val="24"/>
        </w:rPr>
        <w:t>为</w:t>
      </w:r>
      <w:r w:rsidR="00BD3887" w:rsidRPr="009A6552">
        <w:rPr>
          <w:rFonts w:asciiTheme="minorEastAsia" w:hAnsiTheme="minorEastAsia" w:cs="Times New Roman"/>
          <w:color w:val="000000"/>
          <w:kern w:val="0"/>
          <w:sz w:val="24"/>
          <w:szCs w:val="24"/>
        </w:rPr>
        <w:t>销售</w:t>
      </w:r>
      <w:r w:rsidRPr="009A6552">
        <w:rPr>
          <w:rFonts w:asciiTheme="minorEastAsia" w:hAnsiTheme="minorEastAsia" w:cs="Times New Roman"/>
          <w:color w:val="000000"/>
          <w:kern w:val="0"/>
          <w:sz w:val="24"/>
          <w:szCs w:val="24"/>
        </w:rPr>
        <w:t>机构</w:t>
      </w:r>
      <w:r w:rsidR="002754BA" w:rsidRPr="009A6552">
        <w:rPr>
          <w:rFonts w:asciiTheme="minorEastAsia" w:hAnsiTheme="minorEastAsia" w:cs="Times New Roman" w:hint="eastAsia"/>
          <w:color w:val="000000"/>
          <w:kern w:val="0"/>
          <w:sz w:val="24"/>
          <w:szCs w:val="24"/>
        </w:rPr>
        <w:t>（以下简称“中信</w:t>
      </w:r>
      <w:r w:rsidR="00E70835" w:rsidRPr="009A6552">
        <w:rPr>
          <w:rFonts w:asciiTheme="minorEastAsia" w:hAnsiTheme="minorEastAsia" w:cs="Times New Roman" w:hint="eastAsia"/>
          <w:color w:val="000000"/>
          <w:kern w:val="0"/>
          <w:sz w:val="24"/>
          <w:szCs w:val="24"/>
        </w:rPr>
        <w:t>证券华南</w:t>
      </w:r>
      <w:r w:rsidR="00E40F96" w:rsidRPr="009A6552">
        <w:rPr>
          <w:rFonts w:asciiTheme="minorEastAsia" w:hAnsiTheme="minorEastAsia" w:cs="Times New Roman" w:hint="eastAsia"/>
          <w:color w:val="000000"/>
          <w:kern w:val="0"/>
          <w:sz w:val="24"/>
          <w:szCs w:val="24"/>
        </w:rPr>
        <w:t>公司</w:t>
      </w:r>
      <w:r w:rsidR="002754BA" w:rsidRPr="009A6552">
        <w:rPr>
          <w:rFonts w:asciiTheme="minorEastAsia" w:hAnsiTheme="minorEastAsia" w:cs="Times New Roman" w:hint="eastAsia"/>
          <w:color w:val="000000"/>
          <w:kern w:val="0"/>
          <w:sz w:val="24"/>
          <w:szCs w:val="24"/>
        </w:rPr>
        <w:t>”）</w:t>
      </w:r>
      <w:r w:rsidR="00E70835" w:rsidRPr="009A6552">
        <w:rPr>
          <w:rFonts w:asciiTheme="minorEastAsia" w:hAnsiTheme="minorEastAsia" w:cs="Times New Roman" w:hint="eastAsia"/>
          <w:color w:val="000000"/>
          <w:kern w:val="0"/>
          <w:sz w:val="24"/>
          <w:szCs w:val="24"/>
        </w:rPr>
        <w:t>，</w:t>
      </w:r>
      <w:r w:rsidR="00E70835" w:rsidRPr="009A6552">
        <w:rPr>
          <w:rFonts w:asciiTheme="minorEastAsia" w:hAnsiTheme="minorEastAsia" w:cs="Times New Roman"/>
          <w:color w:val="000000"/>
          <w:kern w:val="0"/>
          <w:sz w:val="24"/>
          <w:szCs w:val="24"/>
        </w:rPr>
        <w:t>同时开通基金定期定额投资业务</w:t>
      </w:r>
      <w:r w:rsidR="00E40F96" w:rsidRPr="009A6552">
        <w:rPr>
          <w:rFonts w:asciiTheme="minorEastAsia" w:hAnsiTheme="minorEastAsia" w:cs="Times New Roman" w:hint="eastAsia"/>
          <w:color w:val="000000"/>
          <w:kern w:val="0"/>
          <w:sz w:val="24"/>
          <w:szCs w:val="24"/>
        </w:rPr>
        <w:t>（简称“定投申购”）</w:t>
      </w:r>
      <w:r w:rsidR="00E70835" w:rsidRPr="009A6552">
        <w:rPr>
          <w:rFonts w:asciiTheme="minorEastAsia" w:hAnsiTheme="minorEastAsia" w:cs="Times New Roman"/>
          <w:color w:val="000000"/>
          <w:kern w:val="0"/>
          <w:sz w:val="24"/>
          <w:szCs w:val="24"/>
        </w:rPr>
        <w:t>和基金转换业务</w:t>
      </w:r>
      <w:r w:rsidRPr="009A6552">
        <w:rPr>
          <w:rFonts w:asciiTheme="minorEastAsia" w:hAnsiTheme="minorEastAsia" w:cs="Times New Roman"/>
          <w:color w:val="000000"/>
          <w:kern w:val="0"/>
          <w:sz w:val="24"/>
          <w:szCs w:val="24"/>
        </w:rPr>
        <w:t>。现将相关事项公告如下：</w:t>
      </w:r>
    </w:p>
    <w:p w:rsidR="00747F02" w:rsidRPr="009A6552" w:rsidRDefault="00530766" w:rsidP="00747F02">
      <w:pPr>
        <w:pStyle w:val="ac"/>
        <w:numPr>
          <w:ilvl w:val="0"/>
          <w:numId w:val="1"/>
        </w:numPr>
        <w:autoSpaceDE w:val="0"/>
        <w:autoSpaceDN w:val="0"/>
        <w:adjustRightInd w:val="0"/>
        <w:spacing w:line="360" w:lineRule="auto"/>
        <w:ind w:firstLineChars="0"/>
        <w:jc w:val="left"/>
        <w:rPr>
          <w:rFonts w:asciiTheme="minorEastAsia" w:hAnsiTheme="minorEastAsia" w:cs="Times New Roman"/>
          <w:color w:val="000000"/>
          <w:kern w:val="0"/>
          <w:sz w:val="24"/>
          <w:szCs w:val="24"/>
        </w:rPr>
      </w:pPr>
      <w:r w:rsidRPr="009A6552">
        <w:rPr>
          <w:rFonts w:asciiTheme="minorEastAsia" w:hAnsiTheme="minorEastAsia" w:cs="Times New Roman" w:hint="eastAsia"/>
          <w:color w:val="000000"/>
          <w:kern w:val="0"/>
          <w:sz w:val="24"/>
          <w:szCs w:val="24"/>
        </w:rPr>
        <w:t>适用基金</w:t>
      </w:r>
      <w:r w:rsidR="00B272AB" w:rsidRPr="009A6552">
        <w:rPr>
          <w:rFonts w:asciiTheme="minorEastAsia" w:hAnsiTheme="minorEastAsia" w:cs="Times New Roman" w:hint="eastAsia"/>
          <w:color w:val="000000"/>
          <w:kern w:val="0"/>
          <w:sz w:val="24"/>
          <w:szCs w:val="24"/>
        </w:rPr>
        <w:t>及业务范围</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742"/>
        <w:gridCol w:w="4111"/>
        <w:gridCol w:w="1134"/>
        <w:gridCol w:w="1134"/>
      </w:tblGrid>
      <w:tr w:rsidR="00942B3F" w:rsidRPr="009A6552" w:rsidTr="00012DA8">
        <w:trPr>
          <w:trHeight w:val="540"/>
        </w:trPr>
        <w:tc>
          <w:tcPr>
            <w:tcW w:w="704" w:type="dxa"/>
            <w:shd w:val="clear" w:color="auto" w:fill="auto"/>
            <w:noWrap/>
            <w:vAlign w:val="center"/>
            <w:hideMark/>
          </w:tcPr>
          <w:p w:rsidR="00942B3F" w:rsidRPr="009A6552" w:rsidRDefault="00942B3F" w:rsidP="00012DA8">
            <w:pPr>
              <w:widowControl/>
              <w:ind w:leftChars="-50" w:left="-105" w:firstLineChars="47" w:firstLine="113"/>
              <w:jc w:val="center"/>
              <w:rPr>
                <w:rFonts w:asciiTheme="minorEastAsia" w:hAnsiTheme="minorEastAsia" w:cs="宋体"/>
                <w:b/>
                <w:kern w:val="0"/>
                <w:sz w:val="24"/>
                <w:szCs w:val="24"/>
              </w:rPr>
            </w:pPr>
            <w:r w:rsidRPr="009A6552">
              <w:rPr>
                <w:rFonts w:asciiTheme="minorEastAsia" w:hAnsiTheme="minorEastAsia" w:cs="宋体" w:hint="eastAsia"/>
                <w:b/>
                <w:kern w:val="0"/>
                <w:sz w:val="24"/>
                <w:szCs w:val="24"/>
              </w:rPr>
              <w:t>序号</w:t>
            </w:r>
          </w:p>
        </w:tc>
        <w:tc>
          <w:tcPr>
            <w:tcW w:w="1742" w:type="dxa"/>
            <w:shd w:val="clear" w:color="auto" w:fill="auto"/>
            <w:noWrap/>
            <w:vAlign w:val="center"/>
            <w:hideMark/>
          </w:tcPr>
          <w:p w:rsidR="00942B3F" w:rsidRPr="009A6552" w:rsidRDefault="00942B3F" w:rsidP="00942B3F">
            <w:pPr>
              <w:widowControl/>
              <w:jc w:val="left"/>
              <w:rPr>
                <w:rFonts w:asciiTheme="minorEastAsia" w:hAnsiTheme="minorEastAsia" w:cs="宋体"/>
                <w:b/>
                <w:kern w:val="0"/>
                <w:sz w:val="24"/>
                <w:szCs w:val="24"/>
              </w:rPr>
            </w:pPr>
            <w:r w:rsidRPr="009A6552">
              <w:rPr>
                <w:rFonts w:asciiTheme="minorEastAsia" w:hAnsiTheme="minorEastAsia" w:cs="宋体" w:hint="eastAsia"/>
                <w:b/>
                <w:kern w:val="0"/>
                <w:sz w:val="24"/>
                <w:szCs w:val="24"/>
              </w:rPr>
              <w:t>基金代码</w:t>
            </w:r>
          </w:p>
        </w:tc>
        <w:tc>
          <w:tcPr>
            <w:tcW w:w="4111" w:type="dxa"/>
            <w:shd w:val="clear" w:color="auto" w:fill="auto"/>
            <w:noWrap/>
            <w:vAlign w:val="center"/>
            <w:hideMark/>
          </w:tcPr>
          <w:p w:rsidR="00942B3F" w:rsidRPr="009A6552" w:rsidRDefault="00942B3F" w:rsidP="00942B3F">
            <w:pPr>
              <w:widowControl/>
              <w:jc w:val="left"/>
              <w:rPr>
                <w:rFonts w:asciiTheme="minorEastAsia" w:hAnsiTheme="minorEastAsia" w:cs="宋体"/>
                <w:b/>
                <w:kern w:val="0"/>
                <w:sz w:val="24"/>
                <w:szCs w:val="24"/>
              </w:rPr>
            </w:pPr>
            <w:r w:rsidRPr="009A6552">
              <w:rPr>
                <w:rFonts w:asciiTheme="minorEastAsia" w:hAnsiTheme="minorEastAsia" w:cs="宋体" w:hint="eastAsia"/>
                <w:b/>
                <w:kern w:val="0"/>
                <w:sz w:val="24"/>
                <w:szCs w:val="24"/>
              </w:rPr>
              <w:t>基金名称</w:t>
            </w:r>
          </w:p>
        </w:tc>
        <w:tc>
          <w:tcPr>
            <w:tcW w:w="1134" w:type="dxa"/>
            <w:shd w:val="clear" w:color="auto" w:fill="auto"/>
            <w:vAlign w:val="center"/>
            <w:hideMark/>
          </w:tcPr>
          <w:p w:rsidR="00942B3F" w:rsidRPr="009A6552" w:rsidRDefault="00942B3F">
            <w:pPr>
              <w:widowControl/>
              <w:jc w:val="center"/>
              <w:rPr>
                <w:rFonts w:asciiTheme="minorEastAsia" w:hAnsiTheme="minorEastAsia" w:cs="宋体"/>
                <w:b/>
                <w:kern w:val="0"/>
                <w:sz w:val="24"/>
                <w:szCs w:val="24"/>
              </w:rPr>
            </w:pPr>
            <w:r w:rsidRPr="009A6552">
              <w:rPr>
                <w:rFonts w:asciiTheme="minorEastAsia" w:hAnsiTheme="minorEastAsia" w:cs="宋体" w:hint="eastAsia"/>
                <w:b/>
                <w:kern w:val="0"/>
                <w:sz w:val="24"/>
                <w:szCs w:val="24"/>
              </w:rPr>
              <w:t>是否开通定投申购</w:t>
            </w:r>
          </w:p>
        </w:tc>
        <w:tc>
          <w:tcPr>
            <w:tcW w:w="1134" w:type="dxa"/>
            <w:shd w:val="clear" w:color="auto" w:fill="auto"/>
            <w:vAlign w:val="center"/>
            <w:hideMark/>
          </w:tcPr>
          <w:p w:rsidR="00942B3F" w:rsidRPr="009A6552" w:rsidRDefault="00942B3F">
            <w:pPr>
              <w:widowControl/>
              <w:jc w:val="center"/>
              <w:rPr>
                <w:rFonts w:asciiTheme="minorEastAsia" w:hAnsiTheme="minorEastAsia" w:cs="宋体"/>
                <w:b/>
                <w:kern w:val="0"/>
                <w:sz w:val="24"/>
                <w:szCs w:val="24"/>
              </w:rPr>
            </w:pPr>
            <w:r w:rsidRPr="009A6552">
              <w:rPr>
                <w:rFonts w:asciiTheme="minorEastAsia" w:hAnsiTheme="minorEastAsia" w:cs="宋体" w:hint="eastAsia"/>
                <w:b/>
                <w:kern w:val="0"/>
                <w:sz w:val="24"/>
                <w:szCs w:val="24"/>
              </w:rPr>
              <w:t>是否开通转换</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690001</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民生加银品牌蓝筹灵活配置混合型证券投资基金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2</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A类：690002</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民生加银增强收益债券型证券投资基金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C类：690202</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3</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690003</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民生加银精选混合型证券投资基金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4</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690004</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民生加银稳健成长混合型证券投资基金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5</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690005</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民生加银内需增长混合型证券投资基金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6</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690007</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民生加银景气行业混合型证券投资基金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7</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690008</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民生加银中证内地资源主题指数型证券投资基金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8</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A类：690006</w:t>
            </w:r>
          </w:p>
        </w:tc>
        <w:tc>
          <w:tcPr>
            <w:tcW w:w="4111" w:type="dxa"/>
            <w:vMerge w:val="restart"/>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民生加银信用双利债券型证券投资基金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C类：690206</w:t>
            </w:r>
          </w:p>
        </w:tc>
        <w:tc>
          <w:tcPr>
            <w:tcW w:w="4111"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9</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690009</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民生加银红利回报灵活配置混合型证券投资基金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10</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A类：690010</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民生加银现金增利货币市场基金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B类：690210</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11</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690011</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民生加银积极成长混合型发起式证券投资基金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12</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690012</w:t>
            </w:r>
          </w:p>
        </w:tc>
        <w:tc>
          <w:tcPr>
            <w:tcW w:w="4111"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民生加银丰鑫债券型证券投资基金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13</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A类：000067</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民生加银转债优选债券型证券投资基金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C类：000068</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w:t>
            </w:r>
            <w:r w:rsidRPr="009A6552">
              <w:rPr>
                <w:rFonts w:asciiTheme="minorEastAsia" w:hAnsiTheme="minorEastAsia" w:cs="宋体"/>
                <w:kern w:val="0"/>
                <w:sz w:val="24"/>
                <w:szCs w:val="24"/>
              </w:rPr>
              <w:t>4</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000136</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民生加银策略精选灵活配置混合型证券投资基金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lastRenderedPageBreak/>
              <w:t>1</w:t>
            </w:r>
            <w:r w:rsidRPr="009A6552">
              <w:rPr>
                <w:rFonts w:asciiTheme="minorEastAsia" w:hAnsiTheme="minorEastAsia" w:cs="宋体"/>
                <w:kern w:val="0"/>
                <w:sz w:val="24"/>
                <w:szCs w:val="24"/>
              </w:rPr>
              <w:t>5</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 xml:space="preserve">A类：000137  </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民生加银岁岁增利定期开放债券型证券投资基金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否</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C类：000138</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否</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w:t>
            </w:r>
            <w:r w:rsidRPr="009A6552">
              <w:rPr>
                <w:rFonts w:asciiTheme="minorEastAsia" w:hAnsiTheme="minorEastAsia" w:cs="宋体"/>
                <w:kern w:val="0"/>
                <w:sz w:val="24"/>
                <w:szCs w:val="24"/>
              </w:rPr>
              <w:t>6</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000408</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民生加银城镇化灵活配置混合型证券投资基金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1</w:t>
            </w:r>
            <w:r w:rsidRPr="009A6552">
              <w:rPr>
                <w:rFonts w:asciiTheme="minorEastAsia" w:hAnsiTheme="minorEastAsia" w:cs="宋体"/>
                <w:kern w:val="0"/>
                <w:sz w:val="24"/>
                <w:szCs w:val="24"/>
              </w:rPr>
              <w:t>7</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000884</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民生加银优选股票型证券投资基金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18</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002547</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民生加银养老服务灵活配置混合型证券投资基金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19</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002683</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民生加银前沿科技灵活配置混合型证券投资基金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2</w:t>
            </w:r>
            <w:r w:rsidRPr="009A6552">
              <w:rPr>
                <w:rFonts w:asciiTheme="minorEastAsia" w:hAnsiTheme="minorEastAsia" w:cs="宋体"/>
                <w:kern w:val="0"/>
                <w:sz w:val="24"/>
                <w:szCs w:val="24"/>
              </w:rPr>
              <w:t>0</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006058</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民生加银新兴成长混合型证券投资基金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2</w:t>
            </w:r>
            <w:r w:rsidRPr="009A6552">
              <w:rPr>
                <w:rFonts w:asciiTheme="minorEastAsia" w:hAnsiTheme="minorEastAsia" w:cs="宋体"/>
                <w:kern w:val="0"/>
                <w:sz w:val="24"/>
                <w:szCs w:val="24"/>
              </w:rPr>
              <w:t>1</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006072</w:t>
            </w:r>
          </w:p>
        </w:tc>
        <w:tc>
          <w:tcPr>
            <w:tcW w:w="4111" w:type="dxa"/>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民生加银创新成长混合型证券投资基金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540"/>
        </w:trPr>
        <w:tc>
          <w:tcPr>
            <w:tcW w:w="704" w:type="dxa"/>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2</w:t>
            </w:r>
            <w:r w:rsidRPr="009A6552">
              <w:rPr>
                <w:rFonts w:asciiTheme="minorEastAsia" w:hAnsiTheme="minorEastAsia" w:cs="宋体"/>
                <w:kern w:val="0"/>
                <w:sz w:val="24"/>
                <w:szCs w:val="24"/>
              </w:rPr>
              <w:t>2</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006991</w:t>
            </w:r>
          </w:p>
        </w:tc>
        <w:tc>
          <w:tcPr>
            <w:tcW w:w="4111" w:type="dxa"/>
            <w:shd w:val="clear" w:color="auto" w:fill="auto"/>
            <w:noWrap/>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民生加银康宁稳健养老目标一年持有期混合型基金中基金（FOF）</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r>
      <w:tr w:rsidR="00B80E0E" w:rsidRPr="009A6552" w:rsidTr="00012DA8">
        <w:trPr>
          <w:trHeight w:val="270"/>
        </w:trPr>
        <w:tc>
          <w:tcPr>
            <w:tcW w:w="704" w:type="dxa"/>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2</w:t>
            </w:r>
            <w:r w:rsidRPr="009A6552">
              <w:rPr>
                <w:rFonts w:asciiTheme="minorEastAsia" w:hAnsiTheme="minorEastAsia" w:cs="宋体"/>
                <w:kern w:val="0"/>
                <w:sz w:val="24"/>
                <w:szCs w:val="24"/>
              </w:rPr>
              <w:t>3</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001220</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民生加银研究精选灵活配置混合型证券投资基金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2</w:t>
            </w:r>
            <w:r w:rsidRPr="009A6552">
              <w:rPr>
                <w:rFonts w:asciiTheme="minorEastAsia" w:hAnsiTheme="minorEastAsia" w:cs="宋体"/>
                <w:kern w:val="0"/>
                <w:sz w:val="24"/>
                <w:szCs w:val="24"/>
              </w:rPr>
              <w:t>4</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001273</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民生加银新动力灵活配置混合型证券投资基金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2</w:t>
            </w:r>
            <w:r w:rsidRPr="009A6552">
              <w:rPr>
                <w:rFonts w:asciiTheme="minorEastAsia" w:hAnsiTheme="minorEastAsia" w:cs="宋体"/>
                <w:kern w:val="0"/>
                <w:sz w:val="24"/>
                <w:szCs w:val="24"/>
              </w:rPr>
              <w:t>5</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002449</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民生加银量化中国灵活配置混合型证券投资基金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26</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A类：002518</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民生加银鑫福灵活配置混合型证券投资基金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C类：007072</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27</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002649</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民生加银智造2025灵活配置混合型证券投资基金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28</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A类：003382</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民生加银鑫享债券型证券投资基金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C类：003383</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29</w:t>
            </w:r>
          </w:p>
        </w:tc>
        <w:tc>
          <w:tcPr>
            <w:tcW w:w="1742" w:type="dxa"/>
            <w:shd w:val="clear" w:color="auto" w:fill="auto"/>
            <w:noWrap/>
            <w:vAlign w:val="center"/>
            <w:hideMark/>
          </w:tcPr>
          <w:p w:rsidR="00B80E0E" w:rsidRPr="009A6552" w:rsidRDefault="00B748E7" w:rsidP="00B80E0E">
            <w:pPr>
              <w:widowControl/>
              <w:jc w:val="left"/>
              <w:rPr>
                <w:rFonts w:asciiTheme="minorEastAsia" w:hAnsiTheme="minorEastAsia" w:cs="宋体"/>
                <w:kern w:val="0"/>
                <w:sz w:val="24"/>
                <w:szCs w:val="24"/>
              </w:rPr>
            </w:pPr>
            <w:r w:rsidRPr="009A6552">
              <w:rPr>
                <w:rFonts w:asciiTheme="minorEastAsia" w:hAnsiTheme="minorEastAsia" w:cs="宋体" w:hint="eastAsia"/>
                <w:color w:val="000000"/>
                <w:kern w:val="0"/>
                <w:sz w:val="24"/>
                <w:szCs w:val="24"/>
              </w:rPr>
              <w:t>C类：</w:t>
            </w:r>
            <w:r w:rsidR="00B80E0E" w:rsidRPr="009A6552">
              <w:rPr>
                <w:rFonts w:asciiTheme="minorEastAsia" w:hAnsiTheme="minorEastAsia" w:cs="宋体" w:hint="eastAsia"/>
                <w:kern w:val="0"/>
                <w:sz w:val="24"/>
                <w:szCs w:val="24"/>
              </w:rPr>
              <w:t>003792</w:t>
            </w:r>
          </w:p>
        </w:tc>
        <w:tc>
          <w:tcPr>
            <w:tcW w:w="4111" w:type="dxa"/>
            <w:shd w:val="clear" w:color="auto" w:fill="auto"/>
            <w:noWrap/>
            <w:vAlign w:val="bottom"/>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民生加银现金宝货币市场基金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3</w:t>
            </w:r>
            <w:r w:rsidRPr="009A6552">
              <w:rPr>
                <w:rFonts w:asciiTheme="minorEastAsia" w:hAnsiTheme="minorEastAsia" w:cs="宋体"/>
                <w:kern w:val="0"/>
                <w:sz w:val="24"/>
                <w:szCs w:val="24"/>
              </w:rPr>
              <w:t>0</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 xml:space="preserve">A类：004254 </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民生加银汇鑫一年定期开放债券型证券投资基金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否</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C类：004255</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否</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vMerge w:val="restart"/>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3</w:t>
            </w:r>
            <w:r w:rsidRPr="009A6552">
              <w:rPr>
                <w:rFonts w:asciiTheme="minorEastAsia" w:hAnsiTheme="minorEastAsia" w:cs="宋体"/>
                <w:kern w:val="0"/>
                <w:sz w:val="24"/>
                <w:szCs w:val="24"/>
              </w:rPr>
              <w:t>1</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 xml:space="preserve">A类：004532  </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民生加银中证港股通高股息精选指数型证券投资基金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否</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C类：004533</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否</w:t>
            </w:r>
          </w:p>
        </w:tc>
      </w:tr>
      <w:tr w:rsidR="000C44D0" w:rsidRPr="009A6552" w:rsidTr="00D022B9">
        <w:trPr>
          <w:trHeight w:val="270"/>
        </w:trPr>
        <w:tc>
          <w:tcPr>
            <w:tcW w:w="704" w:type="dxa"/>
            <w:vMerge w:val="restart"/>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3</w:t>
            </w:r>
            <w:r w:rsidRPr="009A6552">
              <w:rPr>
                <w:rFonts w:asciiTheme="minorEastAsia" w:hAnsiTheme="minorEastAsia" w:cs="宋体"/>
                <w:kern w:val="0"/>
                <w:sz w:val="24"/>
                <w:szCs w:val="24"/>
              </w:rPr>
              <w:t>2</w:t>
            </w:r>
          </w:p>
        </w:tc>
        <w:tc>
          <w:tcPr>
            <w:tcW w:w="1742" w:type="dxa"/>
            <w:shd w:val="clear" w:color="auto" w:fill="auto"/>
            <w:vAlign w:val="center"/>
            <w:hideMark/>
          </w:tcPr>
          <w:p w:rsidR="000C44D0" w:rsidRPr="009A6552" w:rsidRDefault="000C44D0"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A类：007731</w:t>
            </w:r>
          </w:p>
        </w:tc>
        <w:tc>
          <w:tcPr>
            <w:tcW w:w="4111" w:type="dxa"/>
            <w:vMerge w:val="restart"/>
            <w:shd w:val="clear" w:color="auto" w:fill="auto"/>
            <w:vAlign w:val="center"/>
            <w:hideMark/>
          </w:tcPr>
          <w:p w:rsidR="000C44D0" w:rsidRPr="009A6552" w:rsidRDefault="000C44D0" w:rsidP="00B80E0E">
            <w:pPr>
              <w:widowControl/>
              <w:rPr>
                <w:rFonts w:asciiTheme="minorEastAsia" w:hAnsiTheme="minorEastAsia" w:cs="宋体"/>
                <w:kern w:val="0"/>
                <w:sz w:val="24"/>
                <w:szCs w:val="24"/>
              </w:rPr>
            </w:pPr>
            <w:r w:rsidRPr="009A6552">
              <w:rPr>
                <w:rFonts w:asciiTheme="minorEastAsia" w:hAnsiTheme="minorEastAsia" w:cs="宋体" w:hint="eastAsia"/>
                <w:kern w:val="0"/>
                <w:sz w:val="24"/>
                <w:szCs w:val="24"/>
              </w:rPr>
              <w:t>民生加银持续成长混合型证券投资基金</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0C44D0" w:rsidRPr="009A6552" w:rsidTr="00D022B9">
        <w:trPr>
          <w:trHeight w:val="270"/>
        </w:trPr>
        <w:tc>
          <w:tcPr>
            <w:tcW w:w="704" w:type="dxa"/>
            <w:vMerge/>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p>
        </w:tc>
        <w:tc>
          <w:tcPr>
            <w:tcW w:w="1742" w:type="dxa"/>
            <w:shd w:val="clear" w:color="auto" w:fill="auto"/>
            <w:vAlign w:val="center"/>
            <w:hideMark/>
          </w:tcPr>
          <w:p w:rsidR="000C44D0" w:rsidRPr="009A6552" w:rsidRDefault="000C44D0"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C类：007732</w:t>
            </w:r>
          </w:p>
        </w:tc>
        <w:tc>
          <w:tcPr>
            <w:tcW w:w="4111" w:type="dxa"/>
            <w:vMerge/>
            <w:vAlign w:val="center"/>
            <w:hideMark/>
          </w:tcPr>
          <w:p w:rsidR="000C44D0" w:rsidRPr="009A6552" w:rsidRDefault="000C44D0" w:rsidP="00B80E0E">
            <w:pPr>
              <w:widowControl/>
              <w:jc w:val="left"/>
              <w:rPr>
                <w:rFonts w:asciiTheme="minorEastAsia" w:hAnsiTheme="minorEastAsia" w:cs="宋体"/>
                <w:kern w:val="0"/>
                <w:sz w:val="24"/>
                <w:szCs w:val="24"/>
              </w:rPr>
            </w:pP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0C44D0" w:rsidRPr="009A6552" w:rsidTr="00673EF5">
        <w:trPr>
          <w:trHeight w:val="270"/>
        </w:trPr>
        <w:tc>
          <w:tcPr>
            <w:tcW w:w="704" w:type="dxa"/>
            <w:vMerge w:val="restart"/>
            <w:shd w:val="clear" w:color="auto" w:fill="auto"/>
            <w:noWrap/>
            <w:vAlign w:val="center"/>
            <w:hideMark/>
          </w:tcPr>
          <w:p w:rsidR="000C44D0" w:rsidRPr="009A6552" w:rsidRDefault="000C44D0" w:rsidP="000C44D0">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3</w:t>
            </w:r>
            <w:r w:rsidRPr="009A6552">
              <w:rPr>
                <w:rFonts w:asciiTheme="minorEastAsia" w:hAnsiTheme="minorEastAsia" w:cs="宋体"/>
                <w:kern w:val="0"/>
                <w:sz w:val="24"/>
                <w:szCs w:val="24"/>
              </w:rPr>
              <w:t>3</w:t>
            </w:r>
          </w:p>
        </w:tc>
        <w:tc>
          <w:tcPr>
            <w:tcW w:w="1742" w:type="dxa"/>
            <w:shd w:val="clear" w:color="auto" w:fill="auto"/>
            <w:noWrap/>
            <w:vAlign w:val="center"/>
            <w:hideMark/>
          </w:tcPr>
          <w:p w:rsidR="000C44D0" w:rsidRPr="009A6552" w:rsidRDefault="000C44D0" w:rsidP="00B80E0E">
            <w:pPr>
              <w:widowControl/>
              <w:jc w:val="left"/>
              <w:rPr>
                <w:rFonts w:asciiTheme="minorEastAsia" w:hAnsiTheme="minorEastAsia" w:cs="宋体"/>
                <w:kern w:val="0"/>
                <w:sz w:val="24"/>
                <w:szCs w:val="24"/>
              </w:rPr>
            </w:pPr>
            <w:r w:rsidRPr="009A6552">
              <w:rPr>
                <w:rFonts w:asciiTheme="minorEastAsia" w:hAnsiTheme="minorEastAsia" w:cs="宋体" w:hint="eastAsia"/>
                <w:color w:val="000000"/>
                <w:kern w:val="0"/>
                <w:sz w:val="24"/>
                <w:szCs w:val="24"/>
              </w:rPr>
              <w:t>A类：</w:t>
            </w:r>
            <w:r w:rsidRPr="009A6552">
              <w:rPr>
                <w:rFonts w:asciiTheme="minorEastAsia" w:hAnsiTheme="minorEastAsia" w:cs="宋体" w:hint="eastAsia"/>
                <w:kern w:val="0"/>
                <w:sz w:val="24"/>
                <w:szCs w:val="24"/>
              </w:rPr>
              <w:t>008291</w:t>
            </w:r>
          </w:p>
        </w:tc>
        <w:tc>
          <w:tcPr>
            <w:tcW w:w="4111" w:type="dxa"/>
            <w:vMerge w:val="restart"/>
            <w:shd w:val="clear" w:color="auto" w:fill="auto"/>
            <w:noWrap/>
            <w:vAlign w:val="center"/>
            <w:hideMark/>
          </w:tcPr>
          <w:p w:rsidR="000C44D0" w:rsidRPr="009A6552" w:rsidRDefault="000C44D0"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民生加银沪深300交易型开放式指数证券投资基金联接基金</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0C44D0" w:rsidRPr="009A6552" w:rsidTr="00673EF5">
        <w:trPr>
          <w:trHeight w:val="270"/>
        </w:trPr>
        <w:tc>
          <w:tcPr>
            <w:tcW w:w="704" w:type="dxa"/>
            <w:vMerge/>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p>
        </w:tc>
        <w:tc>
          <w:tcPr>
            <w:tcW w:w="1742" w:type="dxa"/>
            <w:shd w:val="clear" w:color="auto" w:fill="auto"/>
            <w:noWrap/>
            <w:vAlign w:val="center"/>
            <w:hideMark/>
          </w:tcPr>
          <w:p w:rsidR="000C44D0" w:rsidRPr="009A6552" w:rsidRDefault="000C44D0" w:rsidP="00B80E0E">
            <w:pPr>
              <w:widowControl/>
              <w:jc w:val="left"/>
              <w:rPr>
                <w:rFonts w:asciiTheme="minorEastAsia" w:hAnsiTheme="minorEastAsia" w:cs="宋体"/>
                <w:kern w:val="0"/>
                <w:sz w:val="24"/>
                <w:szCs w:val="24"/>
              </w:rPr>
            </w:pPr>
            <w:r w:rsidRPr="009A6552">
              <w:rPr>
                <w:rFonts w:asciiTheme="minorEastAsia" w:hAnsiTheme="minorEastAsia" w:cs="宋体" w:hint="eastAsia"/>
                <w:color w:val="000000"/>
                <w:kern w:val="0"/>
                <w:sz w:val="24"/>
                <w:szCs w:val="24"/>
              </w:rPr>
              <w:t>C类：</w:t>
            </w:r>
            <w:r w:rsidRPr="009A6552">
              <w:rPr>
                <w:rFonts w:asciiTheme="minorEastAsia" w:hAnsiTheme="minorEastAsia" w:cs="宋体" w:hint="eastAsia"/>
                <w:kern w:val="0"/>
                <w:sz w:val="24"/>
                <w:szCs w:val="24"/>
              </w:rPr>
              <w:t>008292</w:t>
            </w:r>
          </w:p>
        </w:tc>
        <w:tc>
          <w:tcPr>
            <w:tcW w:w="4111" w:type="dxa"/>
            <w:vMerge/>
            <w:vAlign w:val="center"/>
            <w:hideMark/>
          </w:tcPr>
          <w:p w:rsidR="000C44D0" w:rsidRPr="009A6552" w:rsidRDefault="000C44D0" w:rsidP="00B80E0E">
            <w:pPr>
              <w:widowControl/>
              <w:jc w:val="left"/>
              <w:rPr>
                <w:rFonts w:asciiTheme="minorEastAsia" w:hAnsiTheme="minorEastAsia" w:cs="宋体"/>
                <w:kern w:val="0"/>
                <w:sz w:val="24"/>
                <w:szCs w:val="24"/>
              </w:rPr>
            </w:pP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B80E0E" w:rsidRPr="009A6552" w:rsidTr="00012DA8">
        <w:trPr>
          <w:trHeight w:val="270"/>
        </w:trPr>
        <w:tc>
          <w:tcPr>
            <w:tcW w:w="704" w:type="dxa"/>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34</w:t>
            </w:r>
          </w:p>
        </w:tc>
        <w:tc>
          <w:tcPr>
            <w:tcW w:w="1742"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008860</w:t>
            </w:r>
          </w:p>
        </w:tc>
        <w:tc>
          <w:tcPr>
            <w:tcW w:w="4111" w:type="dxa"/>
            <w:shd w:val="clear" w:color="auto" w:fill="auto"/>
            <w:noWrap/>
            <w:vAlign w:val="center"/>
            <w:hideMark/>
          </w:tcPr>
          <w:p w:rsidR="00B80E0E" w:rsidRPr="009A6552" w:rsidRDefault="00B80E0E"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民生加银龙头优选股票型证券投资基金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0C44D0" w:rsidRPr="009A6552" w:rsidTr="00EC5203">
        <w:trPr>
          <w:trHeight w:val="270"/>
        </w:trPr>
        <w:tc>
          <w:tcPr>
            <w:tcW w:w="704" w:type="dxa"/>
            <w:vMerge w:val="restart"/>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35</w:t>
            </w:r>
          </w:p>
        </w:tc>
        <w:tc>
          <w:tcPr>
            <w:tcW w:w="1742" w:type="dxa"/>
            <w:shd w:val="clear" w:color="auto" w:fill="auto"/>
            <w:noWrap/>
            <w:vAlign w:val="center"/>
            <w:hideMark/>
          </w:tcPr>
          <w:p w:rsidR="000C44D0" w:rsidRPr="009A6552" w:rsidRDefault="000C44D0" w:rsidP="00B80E0E">
            <w:pPr>
              <w:widowControl/>
              <w:jc w:val="left"/>
              <w:rPr>
                <w:rFonts w:asciiTheme="minorEastAsia" w:hAnsiTheme="minorEastAsia" w:cs="宋体"/>
                <w:kern w:val="0"/>
                <w:sz w:val="24"/>
                <w:szCs w:val="24"/>
              </w:rPr>
            </w:pPr>
            <w:r w:rsidRPr="009A6552">
              <w:rPr>
                <w:rFonts w:asciiTheme="minorEastAsia" w:hAnsiTheme="minorEastAsia" w:cs="宋体" w:hint="eastAsia"/>
                <w:color w:val="000000"/>
                <w:kern w:val="0"/>
                <w:sz w:val="24"/>
                <w:szCs w:val="24"/>
              </w:rPr>
              <w:t>A类：</w:t>
            </w:r>
            <w:r w:rsidRPr="009A6552">
              <w:rPr>
                <w:rFonts w:asciiTheme="minorEastAsia" w:hAnsiTheme="minorEastAsia" w:cs="宋体" w:hint="eastAsia"/>
                <w:kern w:val="0"/>
                <w:sz w:val="24"/>
                <w:szCs w:val="24"/>
              </w:rPr>
              <w:t>007965</w:t>
            </w:r>
          </w:p>
        </w:tc>
        <w:tc>
          <w:tcPr>
            <w:tcW w:w="4111" w:type="dxa"/>
            <w:vMerge w:val="restart"/>
            <w:shd w:val="clear" w:color="auto" w:fill="auto"/>
            <w:noWrap/>
            <w:vAlign w:val="center"/>
            <w:hideMark/>
          </w:tcPr>
          <w:p w:rsidR="000C44D0" w:rsidRPr="009A6552" w:rsidRDefault="000C44D0" w:rsidP="00B80E0E">
            <w:pPr>
              <w:widowControl/>
              <w:jc w:val="left"/>
              <w:rPr>
                <w:rFonts w:asciiTheme="minorEastAsia" w:hAnsiTheme="minorEastAsia" w:cs="宋体"/>
                <w:kern w:val="0"/>
                <w:sz w:val="24"/>
                <w:szCs w:val="24"/>
              </w:rPr>
            </w:pPr>
            <w:r w:rsidRPr="009A6552">
              <w:rPr>
                <w:rFonts w:asciiTheme="minorEastAsia" w:hAnsiTheme="minorEastAsia" w:cs="宋体" w:hint="eastAsia"/>
                <w:kern w:val="0"/>
                <w:sz w:val="24"/>
                <w:szCs w:val="24"/>
              </w:rPr>
              <w:t>民生加银品质消费股票型证券投资基金</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0C44D0" w:rsidRPr="009A6552" w:rsidTr="00EC5203">
        <w:trPr>
          <w:trHeight w:val="270"/>
        </w:trPr>
        <w:tc>
          <w:tcPr>
            <w:tcW w:w="704" w:type="dxa"/>
            <w:vMerge/>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p>
        </w:tc>
        <w:tc>
          <w:tcPr>
            <w:tcW w:w="1742" w:type="dxa"/>
            <w:shd w:val="clear" w:color="auto" w:fill="auto"/>
            <w:noWrap/>
            <w:vAlign w:val="center"/>
            <w:hideMark/>
          </w:tcPr>
          <w:p w:rsidR="000C44D0" w:rsidRPr="009A6552" w:rsidRDefault="000C44D0" w:rsidP="00B80E0E">
            <w:pPr>
              <w:widowControl/>
              <w:jc w:val="left"/>
              <w:rPr>
                <w:rFonts w:asciiTheme="minorEastAsia" w:hAnsiTheme="minorEastAsia" w:cs="宋体"/>
                <w:kern w:val="0"/>
                <w:sz w:val="24"/>
                <w:szCs w:val="24"/>
              </w:rPr>
            </w:pPr>
            <w:r w:rsidRPr="009A6552">
              <w:rPr>
                <w:rFonts w:asciiTheme="minorEastAsia" w:hAnsiTheme="minorEastAsia" w:cs="宋体" w:hint="eastAsia"/>
                <w:color w:val="000000"/>
                <w:kern w:val="0"/>
                <w:sz w:val="24"/>
                <w:szCs w:val="24"/>
              </w:rPr>
              <w:t>C类：</w:t>
            </w:r>
            <w:r w:rsidRPr="009A6552">
              <w:rPr>
                <w:rFonts w:asciiTheme="minorEastAsia" w:hAnsiTheme="minorEastAsia" w:cs="宋体" w:hint="eastAsia"/>
                <w:kern w:val="0"/>
                <w:sz w:val="24"/>
                <w:szCs w:val="24"/>
              </w:rPr>
              <w:t>007966</w:t>
            </w:r>
          </w:p>
        </w:tc>
        <w:tc>
          <w:tcPr>
            <w:tcW w:w="4111" w:type="dxa"/>
            <w:vMerge/>
            <w:vAlign w:val="center"/>
            <w:hideMark/>
          </w:tcPr>
          <w:p w:rsidR="000C44D0" w:rsidRPr="009A6552" w:rsidRDefault="000C44D0" w:rsidP="00B80E0E">
            <w:pPr>
              <w:widowControl/>
              <w:jc w:val="left"/>
              <w:rPr>
                <w:rFonts w:asciiTheme="minorEastAsia" w:hAnsiTheme="minorEastAsia" w:cs="宋体"/>
                <w:kern w:val="0"/>
                <w:sz w:val="24"/>
                <w:szCs w:val="24"/>
              </w:rPr>
            </w:pP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hint="eastAsia"/>
                <w:kern w:val="0"/>
                <w:sz w:val="24"/>
                <w:szCs w:val="24"/>
              </w:rPr>
              <w:t>是</w:t>
            </w:r>
          </w:p>
        </w:tc>
      </w:tr>
      <w:tr w:rsidR="000C44D0" w:rsidRPr="009A6552" w:rsidTr="00EA6882">
        <w:trPr>
          <w:trHeight w:val="270"/>
        </w:trPr>
        <w:tc>
          <w:tcPr>
            <w:tcW w:w="704" w:type="dxa"/>
            <w:vMerge w:val="restart"/>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36</w:t>
            </w:r>
          </w:p>
        </w:tc>
        <w:tc>
          <w:tcPr>
            <w:tcW w:w="1742" w:type="dxa"/>
            <w:shd w:val="clear" w:color="000000" w:fill="FFFFFF"/>
            <w:noWrap/>
            <w:vAlign w:val="center"/>
            <w:hideMark/>
          </w:tcPr>
          <w:p w:rsidR="000C44D0" w:rsidRPr="009A6552" w:rsidRDefault="000C44D0"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A类：166902</w:t>
            </w:r>
          </w:p>
        </w:tc>
        <w:tc>
          <w:tcPr>
            <w:tcW w:w="4111" w:type="dxa"/>
            <w:vMerge w:val="restart"/>
            <w:shd w:val="clear" w:color="auto" w:fill="auto"/>
            <w:noWrap/>
            <w:vAlign w:val="bottom"/>
            <w:hideMark/>
          </w:tcPr>
          <w:p w:rsidR="000C44D0" w:rsidRPr="009A6552" w:rsidRDefault="000C44D0"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民生加银平稳增利定期开放债券型证券投资基金</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r>
      <w:tr w:rsidR="000C44D0" w:rsidRPr="009A6552" w:rsidTr="00EA6882">
        <w:trPr>
          <w:trHeight w:val="270"/>
        </w:trPr>
        <w:tc>
          <w:tcPr>
            <w:tcW w:w="704" w:type="dxa"/>
            <w:vMerge/>
            <w:shd w:val="clear" w:color="auto" w:fill="auto"/>
            <w:noWrap/>
            <w:vAlign w:val="center"/>
            <w:hideMark/>
          </w:tcPr>
          <w:p w:rsidR="000C44D0" w:rsidRPr="009A6552" w:rsidRDefault="000C44D0" w:rsidP="00B80E0E">
            <w:pPr>
              <w:widowControl/>
              <w:jc w:val="center"/>
              <w:rPr>
                <w:rFonts w:asciiTheme="minorEastAsia" w:hAnsiTheme="minorEastAsia" w:cs="宋体"/>
                <w:kern w:val="0"/>
                <w:sz w:val="24"/>
                <w:szCs w:val="24"/>
              </w:rPr>
            </w:pPr>
          </w:p>
        </w:tc>
        <w:tc>
          <w:tcPr>
            <w:tcW w:w="1742" w:type="dxa"/>
            <w:shd w:val="clear" w:color="000000" w:fill="FFFFFF"/>
            <w:noWrap/>
            <w:vAlign w:val="center"/>
            <w:hideMark/>
          </w:tcPr>
          <w:p w:rsidR="000C44D0" w:rsidRPr="009A6552" w:rsidRDefault="000C44D0"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C类：166903</w:t>
            </w:r>
          </w:p>
        </w:tc>
        <w:tc>
          <w:tcPr>
            <w:tcW w:w="4111" w:type="dxa"/>
            <w:vMerge/>
            <w:vAlign w:val="center"/>
            <w:hideMark/>
          </w:tcPr>
          <w:p w:rsidR="000C44D0" w:rsidRPr="009A6552" w:rsidRDefault="000C44D0"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c>
          <w:tcPr>
            <w:tcW w:w="1134" w:type="dxa"/>
            <w:shd w:val="clear" w:color="auto" w:fill="auto"/>
            <w:noWrap/>
            <w:vAlign w:val="center"/>
            <w:hideMark/>
          </w:tcPr>
          <w:p w:rsidR="000C44D0" w:rsidRPr="009A6552" w:rsidRDefault="000C44D0"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r>
      <w:tr w:rsidR="00B80E0E" w:rsidRPr="009A6552" w:rsidTr="00012DA8">
        <w:trPr>
          <w:trHeight w:val="270"/>
        </w:trPr>
        <w:tc>
          <w:tcPr>
            <w:tcW w:w="704" w:type="dxa"/>
            <w:vMerge w:val="restart"/>
            <w:shd w:val="clear" w:color="auto" w:fill="auto"/>
            <w:noWrap/>
            <w:vAlign w:val="center"/>
            <w:hideMark/>
          </w:tcPr>
          <w:p w:rsidR="00B80E0E" w:rsidRPr="009A6552" w:rsidRDefault="000C44D0" w:rsidP="00B80E0E">
            <w:pPr>
              <w:widowControl/>
              <w:jc w:val="center"/>
              <w:rPr>
                <w:rFonts w:asciiTheme="minorEastAsia" w:hAnsiTheme="minorEastAsia" w:cs="宋体"/>
                <w:kern w:val="0"/>
                <w:sz w:val="24"/>
                <w:szCs w:val="24"/>
              </w:rPr>
            </w:pPr>
            <w:r w:rsidRPr="009A6552">
              <w:rPr>
                <w:rFonts w:asciiTheme="minorEastAsia" w:hAnsiTheme="minorEastAsia" w:cs="宋体"/>
                <w:kern w:val="0"/>
                <w:sz w:val="24"/>
                <w:szCs w:val="24"/>
              </w:rPr>
              <w:t>37</w:t>
            </w: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A类：166904</w:t>
            </w:r>
          </w:p>
        </w:tc>
        <w:tc>
          <w:tcPr>
            <w:tcW w:w="4111" w:type="dxa"/>
            <w:vMerge w:val="restart"/>
            <w:shd w:val="clear" w:color="auto" w:fill="auto"/>
            <w:vAlign w:val="center"/>
            <w:hideMark/>
          </w:tcPr>
          <w:p w:rsidR="00B80E0E" w:rsidRPr="009A6552" w:rsidRDefault="00B80E0E" w:rsidP="00B80E0E">
            <w:pPr>
              <w:widowControl/>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民生加银平稳添利定期开放债券型证</w:t>
            </w:r>
            <w:r w:rsidRPr="009A6552">
              <w:rPr>
                <w:rFonts w:asciiTheme="minorEastAsia" w:hAnsiTheme="minorEastAsia" w:cs="宋体" w:hint="eastAsia"/>
                <w:color w:val="000000"/>
                <w:kern w:val="0"/>
                <w:sz w:val="24"/>
                <w:szCs w:val="24"/>
              </w:rPr>
              <w:lastRenderedPageBreak/>
              <w:t>券投资基金</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lastRenderedPageBreak/>
              <w:t>否</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r>
      <w:tr w:rsidR="00B80E0E" w:rsidRPr="009A6552" w:rsidTr="00012DA8">
        <w:trPr>
          <w:trHeight w:val="270"/>
        </w:trPr>
        <w:tc>
          <w:tcPr>
            <w:tcW w:w="704" w:type="dxa"/>
            <w:vMerge/>
            <w:vAlign w:val="center"/>
            <w:hideMark/>
          </w:tcPr>
          <w:p w:rsidR="00B80E0E" w:rsidRPr="009A6552" w:rsidRDefault="00B80E0E" w:rsidP="00B80E0E">
            <w:pPr>
              <w:widowControl/>
              <w:jc w:val="left"/>
              <w:rPr>
                <w:rFonts w:asciiTheme="minorEastAsia" w:hAnsiTheme="minorEastAsia" w:cs="宋体"/>
                <w:kern w:val="0"/>
                <w:sz w:val="24"/>
                <w:szCs w:val="24"/>
              </w:rPr>
            </w:pPr>
          </w:p>
        </w:tc>
        <w:tc>
          <w:tcPr>
            <w:tcW w:w="1742" w:type="dxa"/>
            <w:shd w:val="clear" w:color="auto" w:fill="auto"/>
            <w:vAlign w:val="center"/>
            <w:hideMark/>
          </w:tcPr>
          <w:p w:rsidR="00B80E0E" w:rsidRPr="009A6552" w:rsidRDefault="00B80E0E" w:rsidP="00B80E0E">
            <w:pPr>
              <w:widowControl/>
              <w:jc w:val="left"/>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C类：166905</w:t>
            </w:r>
          </w:p>
        </w:tc>
        <w:tc>
          <w:tcPr>
            <w:tcW w:w="4111" w:type="dxa"/>
            <w:vMerge/>
            <w:vAlign w:val="center"/>
            <w:hideMark/>
          </w:tcPr>
          <w:p w:rsidR="00B80E0E" w:rsidRPr="009A6552" w:rsidRDefault="00B80E0E" w:rsidP="00B80E0E">
            <w:pPr>
              <w:widowControl/>
              <w:jc w:val="left"/>
              <w:rPr>
                <w:rFonts w:asciiTheme="minorEastAsia" w:hAnsiTheme="minorEastAsia" w:cs="宋体"/>
                <w:color w:val="000000"/>
                <w:kern w:val="0"/>
                <w:sz w:val="24"/>
                <w:szCs w:val="24"/>
              </w:rPr>
            </w:pP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c>
          <w:tcPr>
            <w:tcW w:w="1134" w:type="dxa"/>
            <w:shd w:val="clear" w:color="auto" w:fill="auto"/>
            <w:noWrap/>
            <w:vAlign w:val="center"/>
            <w:hideMark/>
          </w:tcPr>
          <w:p w:rsidR="00B80E0E" w:rsidRPr="009A6552" w:rsidRDefault="00B80E0E" w:rsidP="00B80E0E">
            <w:pPr>
              <w:widowControl/>
              <w:jc w:val="center"/>
              <w:rPr>
                <w:rFonts w:asciiTheme="minorEastAsia" w:hAnsiTheme="minorEastAsia" w:cs="宋体"/>
                <w:color w:val="000000"/>
                <w:kern w:val="0"/>
                <w:sz w:val="24"/>
                <w:szCs w:val="24"/>
              </w:rPr>
            </w:pPr>
            <w:r w:rsidRPr="009A6552">
              <w:rPr>
                <w:rFonts w:asciiTheme="minorEastAsia" w:hAnsiTheme="minorEastAsia" w:cs="宋体" w:hint="eastAsia"/>
                <w:color w:val="000000"/>
                <w:kern w:val="0"/>
                <w:sz w:val="24"/>
                <w:szCs w:val="24"/>
              </w:rPr>
              <w:t>否</w:t>
            </w:r>
          </w:p>
        </w:tc>
      </w:tr>
    </w:tbl>
    <w:p w:rsidR="0020730A" w:rsidRPr="009A6552" w:rsidRDefault="0020730A" w:rsidP="0020730A">
      <w:pPr>
        <w:autoSpaceDE w:val="0"/>
        <w:autoSpaceDN w:val="0"/>
        <w:adjustRightInd w:val="0"/>
        <w:spacing w:line="360" w:lineRule="auto"/>
        <w:ind w:firstLine="420"/>
        <w:jc w:val="left"/>
        <w:rPr>
          <w:rFonts w:asciiTheme="minorEastAsia" w:hAnsiTheme="minorEastAsia" w:cs="Times New Roman"/>
          <w:color w:val="000000"/>
          <w:kern w:val="0"/>
          <w:sz w:val="24"/>
          <w:szCs w:val="24"/>
        </w:rPr>
      </w:pPr>
    </w:p>
    <w:p w:rsidR="0020730A" w:rsidRPr="009A6552" w:rsidRDefault="00DF4C8C" w:rsidP="00012DA8">
      <w:pPr>
        <w:autoSpaceDE w:val="0"/>
        <w:autoSpaceDN w:val="0"/>
        <w:adjustRightInd w:val="0"/>
        <w:spacing w:line="360" w:lineRule="auto"/>
        <w:ind w:firstLine="420"/>
        <w:rPr>
          <w:rFonts w:asciiTheme="minorEastAsia" w:hAnsiTheme="minorEastAsia" w:cs="Times New Roman"/>
          <w:color w:val="000000"/>
          <w:kern w:val="0"/>
          <w:sz w:val="24"/>
          <w:szCs w:val="24"/>
        </w:rPr>
      </w:pP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cr/>
        <w:t>00799</w:t>
      </w:r>
      <w:r w:rsidR="00747F02" w:rsidRPr="009A6552">
        <w:rPr>
          <w:rFonts w:asciiTheme="minorEastAsia" w:hAnsiTheme="minorEastAsia" w:cs="Times New Roman" w:hint="eastAsia"/>
          <w:vanish/>
          <w:color w:val="000000"/>
          <w:kern w:val="0"/>
          <w:sz w:val="24"/>
          <w:szCs w:val="24"/>
        </w:rPr>
        <w:cr/>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747F02" w:rsidRPr="009A6552">
        <w:rPr>
          <w:rFonts w:asciiTheme="minorEastAsia" w:hAnsiTheme="minorEastAsia" w:cs="Times New Roman" w:hint="eastAsia"/>
          <w:vanish/>
          <w:color w:val="000000"/>
          <w:kern w:val="0"/>
          <w:sz w:val="24"/>
          <w:szCs w:val="24"/>
        </w:rPr>
        <w:pgNum/>
      </w:r>
      <w:r w:rsidR="00B051B1" w:rsidRPr="009A6552">
        <w:rPr>
          <w:rFonts w:asciiTheme="minorEastAsia" w:hAnsiTheme="minorEastAsia" w:cs="Times New Roman"/>
          <w:color w:val="000000"/>
          <w:kern w:val="0"/>
          <w:sz w:val="24"/>
          <w:szCs w:val="24"/>
        </w:rPr>
        <w:t>从</w:t>
      </w:r>
      <w:r w:rsidR="00E70835" w:rsidRPr="009A6552">
        <w:rPr>
          <w:rFonts w:asciiTheme="minorEastAsia" w:hAnsiTheme="minorEastAsia" w:cs="Times New Roman"/>
          <w:kern w:val="0"/>
          <w:sz w:val="24"/>
          <w:szCs w:val="24"/>
        </w:rPr>
        <w:t>2020年5</w:t>
      </w:r>
      <w:r w:rsidR="00473B7E" w:rsidRPr="009A6552">
        <w:rPr>
          <w:rFonts w:asciiTheme="minorEastAsia" w:hAnsiTheme="minorEastAsia" w:cs="Times New Roman"/>
          <w:kern w:val="0"/>
          <w:sz w:val="24"/>
          <w:szCs w:val="24"/>
        </w:rPr>
        <w:t>月</w:t>
      </w:r>
      <w:r w:rsidR="00E70835" w:rsidRPr="009A6552">
        <w:rPr>
          <w:rFonts w:asciiTheme="minorEastAsia" w:hAnsiTheme="minorEastAsia" w:cs="Times New Roman"/>
          <w:kern w:val="0"/>
          <w:sz w:val="24"/>
          <w:szCs w:val="24"/>
        </w:rPr>
        <w:t>6</w:t>
      </w:r>
      <w:r w:rsidR="00930D4B" w:rsidRPr="009A6552">
        <w:rPr>
          <w:rFonts w:asciiTheme="minorEastAsia" w:hAnsiTheme="minorEastAsia" w:cs="Times New Roman"/>
          <w:kern w:val="0"/>
          <w:sz w:val="24"/>
          <w:szCs w:val="24"/>
        </w:rPr>
        <w:t>日</w:t>
      </w:r>
      <w:r w:rsidR="00B051B1" w:rsidRPr="009A6552">
        <w:rPr>
          <w:rFonts w:asciiTheme="minorEastAsia" w:hAnsiTheme="minorEastAsia" w:cs="Times New Roman"/>
          <w:color w:val="000000"/>
          <w:kern w:val="0"/>
          <w:sz w:val="24"/>
          <w:szCs w:val="24"/>
        </w:rPr>
        <w:t>起，</w:t>
      </w:r>
      <w:r w:rsidR="005972FF" w:rsidRPr="009A6552">
        <w:rPr>
          <w:rFonts w:asciiTheme="minorEastAsia" w:hAnsiTheme="minorEastAsia" w:cs="Times New Roman"/>
          <w:color w:val="000000"/>
          <w:kern w:val="0"/>
          <w:sz w:val="24"/>
          <w:szCs w:val="24"/>
        </w:rPr>
        <w:t>投资者</w:t>
      </w:r>
      <w:r w:rsidR="00B051B1" w:rsidRPr="009A6552">
        <w:rPr>
          <w:rFonts w:asciiTheme="minorEastAsia" w:hAnsiTheme="minorEastAsia" w:cs="Times New Roman"/>
          <w:color w:val="000000"/>
          <w:kern w:val="0"/>
          <w:sz w:val="24"/>
          <w:szCs w:val="24"/>
        </w:rPr>
        <w:t>可通过</w:t>
      </w:r>
      <w:r w:rsidR="00E70835" w:rsidRPr="009A6552">
        <w:rPr>
          <w:rFonts w:asciiTheme="minorEastAsia" w:hAnsiTheme="minorEastAsia" w:cs="Times New Roman" w:hint="eastAsia"/>
          <w:color w:val="000000"/>
          <w:kern w:val="0"/>
          <w:sz w:val="24"/>
          <w:szCs w:val="24"/>
        </w:rPr>
        <w:t>中信证券华南</w:t>
      </w:r>
      <w:r w:rsidR="00FA6FDF" w:rsidRPr="009A6552">
        <w:rPr>
          <w:rFonts w:asciiTheme="minorEastAsia" w:hAnsiTheme="minorEastAsia" w:cs="Times New Roman" w:hint="eastAsia"/>
          <w:color w:val="000000"/>
          <w:kern w:val="0"/>
          <w:sz w:val="24"/>
          <w:szCs w:val="24"/>
        </w:rPr>
        <w:t>公司</w:t>
      </w:r>
      <w:r w:rsidR="00B051B1" w:rsidRPr="009A6552">
        <w:rPr>
          <w:rFonts w:asciiTheme="minorEastAsia" w:hAnsiTheme="minorEastAsia" w:cs="Times New Roman"/>
          <w:color w:val="000000"/>
          <w:kern w:val="0"/>
          <w:sz w:val="24"/>
          <w:szCs w:val="24"/>
        </w:rPr>
        <w:t>办理上述列表中对应基金的开户、申购、赎回</w:t>
      </w:r>
      <w:r w:rsidR="00E70835" w:rsidRPr="009A6552">
        <w:rPr>
          <w:rFonts w:asciiTheme="minorEastAsia" w:hAnsiTheme="minorEastAsia" w:cs="Times New Roman" w:hint="eastAsia"/>
          <w:color w:val="000000"/>
          <w:kern w:val="0"/>
          <w:sz w:val="24"/>
          <w:szCs w:val="24"/>
        </w:rPr>
        <w:t>、</w:t>
      </w:r>
      <w:r w:rsidR="00E70835" w:rsidRPr="009A6552">
        <w:rPr>
          <w:rFonts w:asciiTheme="minorEastAsia" w:hAnsiTheme="minorEastAsia" w:cs="Times New Roman"/>
          <w:color w:val="000000"/>
          <w:kern w:val="0"/>
          <w:sz w:val="24"/>
          <w:szCs w:val="24"/>
        </w:rPr>
        <w:t>定投</w:t>
      </w:r>
      <w:r w:rsidR="00E40F96" w:rsidRPr="009A6552">
        <w:rPr>
          <w:rFonts w:asciiTheme="minorEastAsia" w:hAnsiTheme="minorEastAsia" w:cs="Times New Roman" w:hint="eastAsia"/>
          <w:color w:val="000000"/>
          <w:kern w:val="0"/>
          <w:sz w:val="24"/>
          <w:szCs w:val="24"/>
        </w:rPr>
        <w:t>申购</w:t>
      </w:r>
      <w:r w:rsidR="00E70835" w:rsidRPr="009A6552">
        <w:rPr>
          <w:rFonts w:asciiTheme="minorEastAsia" w:hAnsiTheme="minorEastAsia" w:cs="Times New Roman"/>
          <w:color w:val="000000"/>
          <w:kern w:val="0"/>
          <w:sz w:val="24"/>
          <w:szCs w:val="24"/>
        </w:rPr>
        <w:t>、转换</w:t>
      </w:r>
      <w:r w:rsidR="00B051B1" w:rsidRPr="009A6552">
        <w:rPr>
          <w:rFonts w:asciiTheme="minorEastAsia" w:hAnsiTheme="minorEastAsia" w:cs="Times New Roman"/>
          <w:color w:val="000000"/>
          <w:kern w:val="0"/>
          <w:sz w:val="24"/>
          <w:szCs w:val="24"/>
        </w:rPr>
        <w:t>等业务，具体的业务流程、办理时间和办理方式以</w:t>
      </w:r>
      <w:r w:rsidR="00E70835" w:rsidRPr="009A6552">
        <w:rPr>
          <w:rFonts w:asciiTheme="minorEastAsia" w:hAnsiTheme="minorEastAsia" w:cs="Times New Roman" w:hint="eastAsia"/>
          <w:color w:val="000000"/>
          <w:kern w:val="0"/>
          <w:sz w:val="24"/>
          <w:szCs w:val="24"/>
        </w:rPr>
        <w:t>中信证券华南</w:t>
      </w:r>
      <w:r w:rsidR="00FA6FDF" w:rsidRPr="009A6552">
        <w:rPr>
          <w:rFonts w:asciiTheme="minorEastAsia" w:hAnsiTheme="minorEastAsia" w:cs="Times New Roman" w:hint="eastAsia"/>
          <w:color w:val="000000"/>
          <w:kern w:val="0"/>
          <w:sz w:val="24"/>
          <w:szCs w:val="24"/>
        </w:rPr>
        <w:t>公司</w:t>
      </w:r>
      <w:r w:rsidR="00B051B1" w:rsidRPr="009A6552">
        <w:rPr>
          <w:rFonts w:asciiTheme="minorEastAsia" w:hAnsiTheme="minorEastAsia" w:cs="Times New Roman"/>
          <w:color w:val="000000"/>
          <w:kern w:val="0"/>
          <w:sz w:val="24"/>
          <w:szCs w:val="24"/>
        </w:rPr>
        <w:t xml:space="preserve">的规定为准。 </w:t>
      </w:r>
    </w:p>
    <w:p w:rsidR="00B051B1" w:rsidRPr="009A6552" w:rsidRDefault="00B051B1" w:rsidP="00B051B1">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 xml:space="preserve">二、重要提示 </w:t>
      </w:r>
    </w:p>
    <w:p w:rsidR="00B051B1" w:rsidRPr="009A6552" w:rsidRDefault="00B051B1" w:rsidP="00F15C3C">
      <w:pPr>
        <w:autoSpaceDE w:val="0"/>
        <w:autoSpaceDN w:val="0"/>
        <w:adjustRightInd w:val="0"/>
        <w:spacing w:line="360" w:lineRule="auto"/>
        <w:ind w:firstLineChars="200" w:firstLine="480"/>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 xml:space="preserve">1、上述申购赎回业务仅适用于处于正常申购期及处于特定开放日和开放时间的基金。基金封闭期等特殊期间的有关规定详见对应基金的《基金合同》和《招募说明书》等相关法律文件及本公司发布的最新业务公告。 </w:t>
      </w:r>
    </w:p>
    <w:p w:rsidR="00E70835" w:rsidRPr="009A6552" w:rsidRDefault="00E70835" w:rsidP="00E70835">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2</w:t>
      </w:r>
      <w:r w:rsidRPr="009A6552">
        <w:rPr>
          <w:rFonts w:asciiTheme="minorEastAsia" w:hAnsiTheme="minorEastAsia" w:cs="Times New Roman" w:hint="eastAsia"/>
          <w:color w:val="000000"/>
          <w:kern w:val="0"/>
          <w:sz w:val="24"/>
          <w:szCs w:val="24"/>
        </w:rPr>
        <w:t>、</w:t>
      </w:r>
      <w:r w:rsidRPr="009A6552">
        <w:rPr>
          <w:rFonts w:asciiTheme="minorEastAsia" w:hAnsiTheme="minorEastAsia" w:cs="Times New Roman"/>
          <w:color w:val="000000"/>
          <w:kern w:val="0"/>
          <w:sz w:val="24"/>
          <w:szCs w:val="24"/>
        </w:rPr>
        <w:t xml:space="preserve">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投资者定期定额申购上述开放式基金的单次申购金额最低限额为人民币100元，具体以销售机构的业务规则为准。 </w:t>
      </w:r>
    </w:p>
    <w:p w:rsidR="00E70835" w:rsidRPr="009A6552" w:rsidRDefault="00E70835" w:rsidP="00E70835">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3</w:t>
      </w:r>
      <w:r w:rsidRPr="009A6552">
        <w:rPr>
          <w:rFonts w:asciiTheme="minorEastAsia" w:hAnsiTheme="minorEastAsia" w:cs="Times New Roman" w:hint="eastAsia"/>
          <w:color w:val="000000"/>
          <w:kern w:val="0"/>
          <w:sz w:val="24"/>
          <w:szCs w:val="24"/>
        </w:rPr>
        <w:t>、</w:t>
      </w:r>
      <w:r w:rsidRPr="009A6552">
        <w:rPr>
          <w:rFonts w:asciiTheme="minorEastAsia" w:hAnsiTheme="minorEastAsia" w:cs="Times New Roman"/>
          <w:color w:val="000000"/>
          <w:kern w:val="0"/>
          <w:sz w:val="24"/>
          <w:szCs w:val="24"/>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sidRPr="009A6552">
        <w:rPr>
          <w:rFonts w:asciiTheme="minorEastAsia" w:hAnsiTheme="minorEastAsia" w:cs="Times New Roman" w:hint="eastAsia"/>
          <w:color w:val="000000"/>
          <w:kern w:val="0"/>
          <w:sz w:val="24"/>
          <w:szCs w:val="24"/>
        </w:rPr>
        <w:t>中信证券华南</w:t>
      </w:r>
      <w:r w:rsidR="00FA6FDF" w:rsidRPr="009A6552">
        <w:rPr>
          <w:rFonts w:asciiTheme="minorEastAsia" w:hAnsiTheme="minorEastAsia" w:cs="Times New Roman" w:hint="eastAsia"/>
          <w:color w:val="000000"/>
          <w:kern w:val="0"/>
          <w:sz w:val="24"/>
          <w:szCs w:val="24"/>
        </w:rPr>
        <w:t>公司</w:t>
      </w:r>
      <w:r w:rsidRPr="009A6552">
        <w:rPr>
          <w:rFonts w:asciiTheme="minorEastAsia" w:hAnsiTheme="minorEastAsia" w:cs="Times New Roman"/>
          <w:color w:val="000000"/>
          <w:kern w:val="0"/>
          <w:sz w:val="24"/>
          <w:szCs w:val="24"/>
        </w:rPr>
        <w:t>开展基金转换业务。转换业务规则请参照本公司官网中发布的《民生加银基金管理有限公司旗下基金转换业务规则》。</w:t>
      </w:r>
    </w:p>
    <w:p w:rsidR="0020730A" w:rsidRPr="009A6552" w:rsidRDefault="0020730A"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B051B1" w:rsidRPr="009A6552" w:rsidRDefault="00E41657"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三、投资者可通过以下途径咨询有关详情：</w:t>
      </w:r>
    </w:p>
    <w:p w:rsidR="00DC1A2B" w:rsidRPr="009A6552" w:rsidRDefault="00B11F04" w:rsidP="00DC1A2B">
      <w:pPr>
        <w:autoSpaceDE w:val="0"/>
        <w:autoSpaceDN w:val="0"/>
        <w:adjustRightInd w:val="0"/>
        <w:spacing w:line="360" w:lineRule="auto"/>
        <w:ind w:firstLine="420"/>
        <w:jc w:val="left"/>
        <w:rPr>
          <w:rFonts w:asciiTheme="minorEastAsia" w:hAnsiTheme="minorEastAsia"/>
          <w:sz w:val="24"/>
          <w:szCs w:val="24"/>
        </w:rPr>
      </w:pPr>
      <w:r w:rsidRPr="009A6552">
        <w:rPr>
          <w:rFonts w:asciiTheme="minorEastAsia" w:hAnsiTheme="minorEastAsia" w:cs="Times New Roman"/>
          <w:color w:val="000000"/>
          <w:kern w:val="0"/>
          <w:sz w:val="24"/>
          <w:szCs w:val="24"/>
        </w:rPr>
        <w:t>1</w:t>
      </w:r>
      <w:r w:rsidR="00DC1A2B" w:rsidRPr="009A6552">
        <w:rPr>
          <w:rFonts w:asciiTheme="minorEastAsia" w:hAnsiTheme="minorEastAsia" w:cs="Times New Roman"/>
          <w:color w:val="000000"/>
          <w:kern w:val="0"/>
          <w:sz w:val="24"/>
          <w:szCs w:val="24"/>
        </w:rPr>
        <w:t>、</w:t>
      </w:r>
      <w:r w:rsidR="00B313F8" w:rsidRPr="009A6552">
        <w:rPr>
          <w:rFonts w:asciiTheme="minorEastAsia" w:hAnsiTheme="minorEastAsia" w:cs="Times New Roman" w:hint="eastAsia"/>
          <w:color w:val="000000"/>
          <w:kern w:val="0"/>
          <w:sz w:val="24"/>
          <w:szCs w:val="24"/>
        </w:rPr>
        <w:t>中信证券华南股份有限公司</w:t>
      </w:r>
    </w:p>
    <w:p w:rsidR="00DC1A2B" w:rsidRPr="009A6552" w:rsidRDefault="00DC1A2B" w:rsidP="00DC1A2B">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客服</w:t>
      </w:r>
      <w:r w:rsidRPr="009A6552">
        <w:rPr>
          <w:rFonts w:asciiTheme="minorEastAsia" w:hAnsiTheme="minorEastAsia" w:cs="Times New Roman" w:hint="eastAsia"/>
          <w:color w:val="000000"/>
          <w:kern w:val="0"/>
          <w:sz w:val="24"/>
          <w:szCs w:val="24"/>
        </w:rPr>
        <w:t>热线：</w:t>
      </w:r>
      <w:r w:rsidR="00B313F8" w:rsidRPr="009A6552">
        <w:rPr>
          <w:rFonts w:asciiTheme="minorEastAsia" w:hAnsiTheme="minorEastAsia" w:cs="Times New Roman"/>
          <w:color w:val="000000"/>
          <w:kern w:val="0"/>
          <w:sz w:val="24"/>
          <w:szCs w:val="24"/>
        </w:rPr>
        <w:t>95396</w:t>
      </w:r>
    </w:p>
    <w:p w:rsidR="00DC1A2B" w:rsidRPr="009A6552" w:rsidRDefault="00DC1A2B" w:rsidP="00DC1A2B">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hint="eastAsia"/>
          <w:color w:val="000000"/>
          <w:kern w:val="0"/>
          <w:sz w:val="24"/>
          <w:szCs w:val="24"/>
        </w:rPr>
        <w:t>公司网址：</w:t>
      </w:r>
      <w:r w:rsidR="00B313F8" w:rsidRPr="009A6552">
        <w:rPr>
          <w:rFonts w:asciiTheme="minorEastAsia" w:hAnsiTheme="minorEastAsia"/>
          <w:sz w:val="24"/>
          <w:szCs w:val="24"/>
        </w:rPr>
        <w:t>www.gzs.com.cn</w:t>
      </w:r>
    </w:p>
    <w:p w:rsidR="00DC1A2B" w:rsidRPr="009A6552" w:rsidRDefault="00DC1A2B" w:rsidP="00DC1A2B">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hint="eastAsia"/>
          <w:color w:val="000000"/>
          <w:kern w:val="0"/>
          <w:sz w:val="24"/>
          <w:szCs w:val="24"/>
        </w:rPr>
        <w:t>公司地址：</w:t>
      </w:r>
      <w:r w:rsidR="00B313F8" w:rsidRPr="009A6552">
        <w:rPr>
          <w:rFonts w:asciiTheme="minorEastAsia" w:hAnsiTheme="minorEastAsia" w:hint="eastAsia"/>
          <w:sz w:val="24"/>
          <w:szCs w:val="24"/>
        </w:rPr>
        <w:t>广州市天河区珠江西路5号广州国际金融中心</w:t>
      </w:r>
    </w:p>
    <w:p w:rsidR="00FE2D06" w:rsidRPr="009A6552" w:rsidRDefault="00B11F04"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2</w:t>
      </w:r>
      <w:r w:rsidR="00FE2D06" w:rsidRPr="009A6552">
        <w:rPr>
          <w:rFonts w:asciiTheme="minorEastAsia" w:hAnsiTheme="minorEastAsia" w:cs="Times New Roman"/>
          <w:color w:val="000000"/>
          <w:kern w:val="0"/>
          <w:sz w:val="24"/>
          <w:szCs w:val="24"/>
        </w:rPr>
        <w:t>、民生加银基金管理有限公司</w:t>
      </w:r>
    </w:p>
    <w:p w:rsidR="00FE2D06" w:rsidRPr="009A6552"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客服热线：400-8888-388（免长话费）</w:t>
      </w:r>
    </w:p>
    <w:p w:rsidR="00FE2D06" w:rsidRPr="009A6552"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公司网址：</w:t>
      </w:r>
      <w:hyperlink r:id="rId7" w:history="1">
        <w:r w:rsidRPr="009A6552">
          <w:rPr>
            <w:rFonts w:asciiTheme="minorEastAsia" w:hAnsiTheme="minorEastAsia" w:cs="Times New Roman"/>
            <w:color w:val="000000"/>
            <w:kern w:val="0"/>
            <w:sz w:val="24"/>
            <w:szCs w:val="24"/>
          </w:rPr>
          <w:t>www.msjyfund.com.cn</w:t>
        </w:r>
      </w:hyperlink>
    </w:p>
    <w:p w:rsidR="00FE2D06" w:rsidRPr="009A6552"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公司地址：</w:t>
      </w:r>
      <w:r w:rsidR="00F85561" w:rsidRPr="009A6552">
        <w:rPr>
          <w:rFonts w:asciiTheme="minorEastAsia" w:hAnsiTheme="minorEastAsia" w:cs="Times New Roman"/>
          <w:color w:val="000000"/>
          <w:kern w:val="0"/>
          <w:sz w:val="24"/>
          <w:szCs w:val="24"/>
        </w:rPr>
        <w:t>深圳市福田区莲花街道福中三路2005号民生金融大厦13楼13A</w:t>
      </w:r>
    </w:p>
    <w:p w:rsidR="00FE2D06" w:rsidRPr="009A6552"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邮编：</w:t>
      </w:r>
      <w:r w:rsidR="00A9773D" w:rsidRPr="009A6552">
        <w:rPr>
          <w:rFonts w:asciiTheme="minorEastAsia" w:hAnsiTheme="minorEastAsia" w:cs="Times New Roman"/>
          <w:color w:val="000000"/>
          <w:kern w:val="0"/>
          <w:sz w:val="24"/>
          <w:szCs w:val="24"/>
        </w:rPr>
        <w:t>5180</w:t>
      </w:r>
      <w:r w:rsidR="00A9773D" w:rsidRPr="009A6552">
        <w:rPr>
          <w:rFonts w:asciiTheme="minorEastAsia" w:hAnsiTheme="minorEastAsia" w:cs="Times New Roman" w:hint="eastAsia"/>
          <w:color w:val="000000"/>
          <w:kern w:val="0"/>
          <w:sz w:val="24"/>
          <w:szCs w:val="24"/>
        </w:rPr>
        <w:t>38</w:t>
      </w:r>
    </w:p>
    <w:p w:rsidR="00E41657" w:rsidRPr="009A6552" w:rsidRDefault="00E41657"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投资者欲了解本公司旗下基金详细情况，请仔细阅读基金合同、招募说明书等相关文件也可以致电本公司客户服务电话或登录本公司网站www.msjyfund.com.cn查询。 欢迎广大投资者到</w:t>
      </w:r>
      <w:r w:rsidR="00996AD4" w:rsidRPr="009A6552">
        <w:rPr>
          <w:rFonts w:asciiTheme="minorEastAsia" w:hAnsiTheme="minorEastAsia" w:cs="Times New Roman" w:hint="eastAsia"/>
          <w:color w:val="000000"/>
          <w:kern w:val="0"/>
          <w:sz w:val="24"/>
          <w:szCs w:val="24"/>
        </w:rPr>
        <w:t>中信</w:t>
      </w:r>
      <w:r w:rsidR="00FA6FDF" w:rsidRPr="009A6552">
        <w:rPr>
          <w:rFonts w:asciiTheme="minorEastAsia" w:hAnsiTheme="minorEastAsia" w:cs="Times New Roman" w:hint="eastAsia"/>
          <w:color w:val="000000"/>
          <w:kern w:val="0"/>
          <w:sz w:val="24"/>
          <w:szCs w:val="24"/>
        </w:rPr>
        <w:t>证券华南公司</w:t>
      </w:r>
      <w:r w:rsidRPr="009A6552">
        <w:rPr>
          <w:rFonts w:asciiTheme="minorEastAsia" w:hAnsiTheme="minorEastAsia" w:cs="Times New Roman"/>
          <w:color w:val="000000"/>
          <w:kern w:val="0"/>
          <w:sz w:val="24"/>
          <w:szCs w:val="24"/>
        </w:rPr>
        <w:t xml:space="preserve">咨询以及办理开户、认购、申购等相关基金业务。 </w:t>
      </w:r>
    </w:p>
    <w:p w:rsidR="0020730A" w:rsidRPr="009A6552" w:rsidRDefault="0020730A"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E70835" w:rsidRPr="009A6552" w:rsidRDefault="00E70835" w:rsidP="00E70835">
      <w:pPr>
        <w:autoSpaceDE w:val="0"/>
        <w:autoSpaceDN w:val="0"/>
        <w:adjustRightInd w:val="0"/>
        <w:spacing w:line="360" w:lineRule="auto"/>
        <w:ind w:firstLineChars="200" w:firstLine="482"/>
        <w:jc w:val="left"/>
        <w:rPr>
          <w:rFonts w:asciiTheme="minorEastAsia" w:hAnsiTheme="minorEastAsia" w:cs="Times New Roman"/>
          <w:b/>
          <w:color w:val="000000"/>
          <w:kern w:val="0"/>
          <w:sz w:val="24"/>
          <w:szCs w:val="24"/>
        </w:rPr>
      </w:pPr>
      <w:r w:rsidRPr="009A6552">
        <w:rPr>
          <w:rFonts w:asciiTheme="minorEastAsia" w:hAnsiTheme="minorEastAsia" w:cs="Times New Roman"/>
          <w:b/>
          <w:color w:val="000000"/>
          <w:kern w:val="0"/>
          <w:sz w:val="24"/>
          <w:szCs w:val="24"/>
        </w:rPr>
        <w:t>风险提示：</w:t>
      </w:r>
      <w:r w:rsidRPr="009A6552">
        <w:rPr>
          <w:rFonts w:asciiTheme="minorEastAsia" w:hAnsiTheme="minorEastAsia" w:cs="Times New Roman" w:hint="eastAsia"/>
          <w:b/>
          <w:color w:val="000000"/>
          <w:kern w:val="0"/>
          <w:sz w:val="24"/>
          <w:szCs w:val="24"/>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养老目标基金名称中包含“养老”字样，但并不代表收益保障或者其他任何形式的收益承诺。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Pr="009A6552" w:rsidRDefault="00E41657"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 xml:space="preserve">本公司保留对本公告的解释权和修改权。 </w:t>
      </w:r>
    </w:p>
    <w:p w:rsidR="0020730A" w:rsidRPr="009A6552" w:rsidRDefault="0020730A"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942B3F" w:rsidRPr="009A6552" w:rsidRDefault="00E41657" w:rsidP="004270B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A6552">
        <w:rPr>
          <w:rFonts w:asciiTheme="minorEastAsia" w:hAnsiTheme="minorEastAsia" w:cs="Times New Roman"/>
          <w:color w:val="000000"/>
          <w:kern w:val="0"/>
          <w:sz w:val="24"/>
          <w:szCs w:val="24"/>
        </w:rPr>
        <w:t>特此公告。</w:t>
      </w:r>
    </w:p>
    <w:p w:rsidR="00595EA0" w:rsidRPr="009A6552" w:rsidRDefault="00595EA0" w:rsidP="00012DA8">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FE2D06" w:rsidRPr="009A6552" w:rsidRDefault="00FE2D06" w:rsidP="0020730A">
      <w:pPr>
        <w:autoSpaceDE w:val="0"/>
        <w:autoSpaceDN w:val="0"/>
        <w:adjustRightInd w:val="0"/>
        <w:spacing w:line="360" w:lineRule="auto"/>
        <w:jc w:val="right"/>
        <w:rPr>
          <w:rFonts w:asciiTheme="minorEastAsia" w:hAnsiTheme="minorEastAsia" w:cs="Times New Roman"/>
          <w:kern w:val="0"/>
          <w:sz w:val="24"/>
          <w:szCs w:val="24"/>
        </w:rPr>
      </w:pPr>
      <w:r w:rsidRPr="009A6552">
        <w:rPr>
          <w:rFonts w:asciiTheme="minorEastAsia" w:hAnsiTheme="minorEastAsia" w:cs="Times New Roman" w:hint="eastAsia"/>
          <w:color w:val="000000"/>
          <w:kern w:val="0"/>
          <w:sz w:val="24"/>
          <w:szCs w:val="24"/>
        </w:rPr>
        <w:t>民生加银基金管理有限公司</w:t>
      </w:r>
    </w:p>
    <w:p w:rsidR="00B272AB" w:rsidRPr="009A6552" w:rsidRDefault="0020730A" w:rsidP="0020730A">
      <w:pPr>
        <w:autoSpaceDE w:val="0"/>
        <w:autoSpaceDN w:val="0"/>
        <w:adjustRightInd w:val="0"/>
        <w:spacing w:line="360" w:lineRule="auto"/>
        <w:jc w:val="right"/>
        <w:rPr>
          <w:rFonts w:asciiTheme="minorEastAsia" w:hAnsiTheme="minorEastAsia" w:cs="Times New Roman"/>
          <w:sz w:val="24"/>
          <w:szCs w:val="24"/>
        </w:rPr>
      </w:pPr>
      <w:r w:rsidRPr="009A6552">
        <w:rPr>
          <w:rFonts w:asciiTheme="minorEastAsia" w:hAnsiTheme="minorEastAsia" w:cs="Times New Roman" w:hint="eastAsia"/>
          <w:kern w:val="0"/>
          <w:sz w:val="24"/>
          <w:szCs w:val="24"/>
        </w:rPr>
        <w:t>二〇</w:t>
      </w:r>
      <w:r w:rsidR="00B11F04" w:rsidRPr="009A6552">
        <w:rPr>
          <w:rFonts w:asciiTheme="minorEastAsia" w:hAnsiTheme="minorEastAsia" w:cs="Times New Roman" w:hint="eastAsia"/>
          <w:kern w:val="0"/>
          <w:sz w:val="24"/>
          <w:szCs w:val="24"/>
        </w:rPr>
        <w:t>二〇</w:t>
      </w:r>
      <w:r w:rsidRPr="009A6552">
        <w:rPr>
          <w:rFonts w:asciiTheme="minorEastAsia" w:hAnsiTheme="minorEastAsia" w:cs="Times New Roman" w:hint="eastAsia"/>
          <w:kern w:val="0"/>
          <w:sz w:val="24"/>
          <w:szCs w:val="24"/>
        </w:rPr>
        <w:t>年</w:t>
      </w:r>
      <w:r w:rsidR="00743C98" w:rsidRPr="009A6552">
        <w:rPr>
          <w:rFonts w:asciiTheme="minorEastAsia" w:hAnsiTheme="minorEastAsia" w:cs="Times New Roman" w:hint="eastAsia"/>
          <w:kern w:val="0"/>
          <w:sz w:val="24"/>
          <w:szCs w:val="24"/>
        </w:rPr>
        <w:t>四</w:t>
      </w:r>
      <w:r w:rsidRPr="009A6552">
        <w:rPr>
          <w:rFonts w:asciiTheme="minorEastAsia" w:hAnsiTheme="minorEastAsia" w:cs="Times New Roman" w:hint="eastAsia"/>
          <w:kern w:val="0"/>
          <w:sz w:val="24"/>
          <w:szCs w:val="24"/>
        </w:rPr>
        <w:t>月</w:t>
      </w:r>
      <w:r w:rsidR="00743C98" w:rsidRPr="009A6552">
        <w:rPr>
          <w:rFonts w:asciiTheme="minorEastAsia" w:hAnsiTheme="minorEastAsia" w:cs="Times New Roman" w:hint="eastAsia"/>
          <w:kern w:val="0"/>
          <w:sz w:val="24"/>
          <w:szCs w:val="24"/>
        </w:rPr>
        <w:t>三十</w:t>
      </w:r>
      <w:r w:rsidRPr="009A6552">
        <w:rPr>
          <w:rFonts w:asciiTheme="minorEastAsia" w:hAnsiTheme="minorEastAsia" w:cs="Times New Roman" w:hint="eastAsia"/>
          <w:kern w:val="0"/>
          <w:sz w:val="24"/>
          <w:szCs w:val="24"/>
        </w:rPr>
        <w:t>日</w:t>
      </w:r>
    </w:p>
    <w:sectPr w:rsidR="00B272AB" w:rsidRPr="009A6552"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56" w:rsidRDefault="00F33556" w:rsidP="00CD0674">
      <w:r>
        <w:separator/>
      </w:r>
    </w:p>
  </w:endnote>
  <w:endnote w:type="continuationSeparator" w:id="1">
    <w:p w:rsidR="00F33556" w:rsidRDefault="00F33556"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56" w:rsidRDefault="00F33556" w:rsidP="00CD0674">
      <w:r>
        <w:separator/>
      </w:r>
    </w:p>
  </w:footnote>
  <w:footnote w:type="continuationSeparator" w:id="1">
    <w:p w:rsidR="00F33556" w:rsidRDefault="00F33556"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674"/>
    <w:rsid w:val="00012DA8"/>
    <w:rsid w:val="00014876"/>
    <w:rsid w:val="0001705A"/>
    <w:rsid w:val="000218D2"/>
    <w:rsid w:val="00023C93"/>
    <w:rsid w:val="000278F4"/>
    <w:rsid w:val="00034672"/>
    <w:rsid w:val="00042A89"/>
    <w:rsid w:val="00044EC8"/>
    <w:rsid w:val="00047640"/>
    <w:rsid w:val="00052895"/>
    <w:rsid w:val="00060BB1"/>
    <w:rsid w:val="00066ECE"/>
    <w:rsid w:val="000700E5"/>
    <w:rsid w:val="00070965"/>
    <w:rsid w:val="000807D4"/>
    <w:rsid w:val="000830B6"/>
    <w:rsid w:val="000930D5"/>
    <w:rsid w:val="00093107"/>
    <w:rsid w:val="0009776D"/>
    <w:rsid w:val="000977E0"/>
    <w:rsid w:val="000A0CFD"/>
    <w:rsid w:val="000A2DA5"/>
    <w:rsid w:val="000A7D8F"/>
    <w:rsid w:val="000B51FD"/>
    <w:rsid w:val="000B7A6D"/>
    <w:rsid w:val="000C44D0"/>
    <w:rsid w:val="000C58B4"/>
    <w:rsid w:val="000C6712"/>
    <w:rsid w:val="000E6D4F"/>
    <w:rsid w:val="000E7AF4"/>
    <w:rsid w:val="000F2972"/>
    <w:rsid w:val="000F6892"/>
    <w:rsid w:val="00100F4E"/>
    <w:rsid w:val="00117CE0"/>
    <w:rsid w:val="0013023F"/>
    <w:rsid w:val="00133F06"/>
    <w:rsid w:val="00145974"/>
    <w:rsid w:val="0015540C"/>
    <w:rsid w:val="00164E70"/>
    <w:rsid w:val="00174559"/>
    <w:rsid w:val="0018470E"/>
    <w:rsid w:val="001A284C"/>
    <w:rsid w:val="001A4AD5"/>
    <w:rsid w:val="001A7FA1"/>
    <w:rsid w:val="001B0EA3"/>
    <w:rsid w:val="001B2F36"/>
    <w:rsid w:val="001B3728"/>
    <w:rsid w:val="001B3CC1"/>
    <w:rsid w:val="001B5E82"/>
    <w:rsid w:val="001B7754"/>
    <w:rsid w:val="001C057B"/>
    <w:rsid w:val="001C4BCF"/>
    <w:rsid w:val="001C531C"/>
    <w:rsid w:val="001C6A4C"/>
    <w:rsid w:val="001C7D78"/>
    <w:rsid w:val="001D1DE4"/>
    <w:rsid w:val="001D789D"/>
    <w:rsid w:val="001E15D4"/>
    <w:rsid w:val="001E5759"/>
    <w:rsid w:val="001F1B87"/>
    <w:rsid w:val="001F4DD2"/>
    <w:rsid w:val="0020730A"/>
    <w:rsid w:val="00211999"/>
    <w:rsid w:val="002149D1"/>
    <w:rsid w:val="00215A9B"/>
    <w:rsid w:val="002164AA"/>
    <w:rsid w:val="0022198B"/>
    <w:rsid w:val="002264DC"/>
    <w:rsid w:val="0023101C"/>
    <w:rsid w:val="00231686"/>
    <w:rsid w:val="002347C5"/>
    <w:rsid w:val="00246411"/>
    <w:rsid w:val="00256F96"/>
    <w:rsid w:val="00260AA6"/>
    <w:rsid w:val="002611E7"/>
    <w:rsid w:val="002620F4"/>
    <w:rsid w:val="00270336"/>
    <w:rsid w:val="00273934"/>
    <w:rsid w:val="002754BA"/>
    <w:rsid w:val="00277455"/>
    <w:rsid w:val="00280F8B"/>
    <w:rsid w:val="00287170"/>
    <w:rsid w:val="00291F41"/>
    <w:rsid w:val="002C0C59"/>
    <w:rsid w:val="002C342A"/>
    <w:rsid w:val="002D44ED"/>
    <w:rsid w:val="002E0BB3"/>
    <w:rsid w:val="002F21EB"/>
    <w:rsid w:val="002F370A"/>
    <w:rsid w:val="00343082"/>
    <w:rsid w:val="00364EE8"/>
    <w:rsid w:val="00392A98"/>
    <w:rsid w:val="003A3C9D"/>
    <w:rsid w:val="003A7C25"/>
    <w:rsid w:val="003B6ED2"/>
    <w:rsid w:val="003B78AC"/>
    <w:rsid w:val="003C4B8A"/>
    <w:rsid w:val="003C5CCB"/>
    <w:rsid w:val="003E5FF9"/>
    <w:rsid w:val="003F0B1B"/>
    <w:rsid w:val="003F5FF2"/>
    <w:rsid w:val="0040664F"/>
    <w:rsid w:val="0042363F"/>
    <w:rsid w:val="004270B0"/>
    <w:rsid w:val="004307CB"/>
    <w:rsid w:val="00431421"/>
    <w:rsid w:val="00436474"/>
    <w:rsid w:val="004371E4"/>
    <w:rsid w:val="00446CBE"/>
    <w:rsid w:val="0045778E"/>
    <w:rsid w:val="00462279"/>
    <w:rsid w:val="004722A3"/>
    <w:rsid w:val="00473484"/>
    <w:rsid w:val="00473B7E"/>
    <w:rsid w:val="00474DA6"/>
    <w:rsid w:val="00475FBF"/>
    <w:rsid w:val="00486BDD"/>
    <w:rsid w:val="004878E8"/>
    <w:rsid w:val="004B4D0F"/>
    <w:rsid w:val="004C50CD"/>
    <w:rsid w:val="004D6683"/>
    <w:rsid w:val="004F05CD"/>
    <w:rsid w:val="00505D97"/>
    <w:rsid w:val="005146B8"/>
    <w:rsid w:val="00524C0E"/>
    <w:rsid w:val="00527999"/>
    <w:rsid w:val="00530766"/>
    <w:rsid w:val="005365D6"/>
    <w:rsid w:val="00543000"/>
    <w:rsid w:val="00546990"/>
    <w:rsid w:val="00555DE4"/>
    <w:rsid w:val="00565211"/>
    <w:rsid w:val="0056725B"/>
    <w:rsid w:val="00576465"/>
    <w:rsid w:val="00595EA0"/>
    <w:rsid w:val="005972FF"/>
    <w:rsid w:val="005B23CB"/>
    <w:rsid w:val="005C0A6C"/>
    <w:rsid w:val="005C4FE3"/>
    <w:rsid w:val="005D1105"/>
    <w:rsid w:val="005F0F54"/>
    <w:rsid w:val="005F1A61"/>
    <w:rsid w:val="005F404B"/>
    <w:rsid w:val="005F641A"/>
    <w:rsid w:val="006016D4"/>
    <w:rsid w:val="006047CA"/>
    <w:rsid w:val="00607287"/>
    <w:rsid w:val="006107F2"/>
    <w:rsid w:val="00615218"/>
    <w:rsid w:val="00626104"/>
    <w:rsid w:val="0063344D"/>
    <w:rsid w:val="006366E7"/>
    <w:rsid w:val="00651AD6"/>
    <w:rsid w:val="00664FFD"/>
    <w:rsid w:val="00667C38"/>
    <w:rsid w:val="0069719C"/>
    <w:rsid w:val="006A5362"/>
    <w:rsid w:val="006A6571"/>
    <w:rsid w:val="006A744C"/>
    <w:rsid w:val="006A7D85"/>
    <w:rsid w:val="006B2A66"/>
    <w:rsid w:val="006C04A9"/>
    <w:rsid w:val="006E3E6D"/>
    <w:rsid w:val="006E599C"/>
    <w:rsid w:val="006E703E"/>
    <w:rsid w:val="006F5445"/>
    <w:rsid w:val="007023CC"/>
    <w:rsid w:val="00711108"/>
    <w:rsid w:val="00713D22"/>
    <w:rsid w:val="00717B45"/>
    <w:rsid w:val="00724543"/>
    <w:rsid w:val="00727AAD"/>
    <w:rsid w:val="007413BD"/>
    <w:rsid w:val="00743C98"/>
    <w:rsid w:val="00747F02"/>
    <w:rsid w:val="00760031"/>
    <w:rsid w:val="007609FE"/>
    <w:rsid w:val="00762DBE"/>
    <w:rsid w:val="00765D18"/>
    <w:rsid w:val="007707CA"/>
    <w:rsid w:val="00774224"/>
    <w:rsid w:val="00775D49"/>
    <w:rsid w:val="0078295F"/>
    <w:rsid w:val="007A470A"/>
    <w:rsid w:val="007C15F2"/>
    <w:rsid w:val="007C2045"/>
    <w:rsid w:val="007C4306"/>
    <w:rsid w:val="007F618B"/>
    <w:rsid w:val="00801BDA"/>
    <w:rsid w:val="008063D6"/>
    <w:rsid w:val="00812C25"/>
    <w:rsid w:val="00820BFB"/>
    <w:rsid w:val="00833133"/>
    <w:rsid w:val="0083710F"/>
    <w:rsid w:val="00844203"/>
    <w:rsid w:val="008513F4"/>
    <w:rsid w:val="00853419"/>
    <w:rsid w:val="00863CF9"/>
    <w:rsid w:val="008860DC"/>
    <w:rsid w:val="008917EC"/>
    <w:rsid w:val="00891B83"/>
    <w:rsid w:val="008A47A4"/>
    <w:rsid w:val="008D2DEC"/>
    <w:rsid w:val="008D7C50"/>
    <w:rsid w:val="009140A3"/>
    <w:rsid w:val="00930D4B"/>
    <w:rsid w:val="0093152B"/>
    <w:rsid w:val="00931C86"/>
    <w:rsid w:val="00932535"/>
    <w:rsid w:val="0093485E"/>
    <w:rsid w:val="00935FC6"/>
    <w:rsid w:val="00942B3F"/>
    <w:rsid w:val="00942F4F"/>
    <w:rsid w:val="00956C87"/>
    <w:rsid w:val="00964048"/>
    <w:rsid w:val="009705BE"/>
    <w:rsid w:val="0098151E"/>
    <w:rsid w:val="00984F9D"/>
    <w:rsid w:val="009855E5"/>
    <w:rsid w:val="00990C39"/>
    <w:rsid w:val="009918A0"/>
    <w:rsid w:val="00991BF2"/>
    <w:rsid w:val="00993684"/>
    <w:rsid w:val="00996AD4"/>
    <w:rsid w:val="009A6552"/>
    <w:rsid w:val="009B7CC8"/>
    <w:rsid w:val="009C0DB5"/>
    <w:rsid w:val="009D178F"/>
    <w:rsid w:val="009D65B5"/>
    <w:rsid w:val="009D7EA0"/>
    <w:rsid w:val="009F7687"/>
    <w:rsid w:val="00A01B73"/>
    <w:rsid w:val="00A029C7"/>
    <w:rsid w:val="00A049FF"/>
    <w:rsid w:val="00A11798"/>
    <w:rsid w:val="00A43A87"/>
    <w:rsid w:val="00A6080E"/>
    <w:rsid w:val="00A67865"/>
    <w:rsid w:val="00A67973"/>
    <w:rsid w:val="00A82F32"/>
    <w:rsid w:val="00A90B81"/>
    <w:rsid w:val="00A93933"/>
    <w:rsid w:val="00A94C22"/>
    <w:rsid w:val="00A9773D"/>
    <w:rsid w:val="00AA601A"/>
    <w:rsid w:val="00AB2BEB"/>
    <w:rsid w:val="00AB5F79"/>
    <w:rsid w:val="00AC1CF0"/>
    <w:rsid w:val="00AD4999"/>
    <w:rsid w:val="00AD770F"/>
    <w:rsid w:val="00AF7265"/>
    <w:rsid w:val="00B051B1"/>
    <w:rsid w:val="00B07D85"/>
    <w:rsid w:val="00B11F04"/>
    <w:rsid w:val="00B13D20"/>
    <w:rsid w:val="00B14A08"/>
    <w:rsid w:val="00B15B29"/>
    <w:rsid w:val="00B218F5"/>
    <w:rsid w:val="00B257CC"/>
    <w:rsid w:val="00B272AB"/>
    <w:rsid w:val="00B313F8"/>
    <w:rsid w:val="00B356E7"/>
    <w:rsid w:val="00B42395"/>
    <w:rsid w:val="00B424BB"/>
    <w:rsid w:val="00B62356"/>
    <w:rsid w:val="00B748E7"/>
    <w:rsid w:val="00B764B2"/>
    <w:rsid w:val="00B77CE7"/>
    <w:rsid w:val="00B80E0E"/>
    <w:rsid w:val="00B87148"/>
    <w:rsid w:val="00B91882"/>
    <w:rsid w:val="00B933EB"/>
    <w:rsid w:val="00B951C7"/>
    <w:rsid w:val="00B95743"/>
    <w:rsid w:val="00B965B5"/>
    <w:rsid w:val="00BB7013"/>
    <w:rsid w:val="00BC7C05"/>
    <w:rsid w:val="00BD3887"/>
    <w:rsid w:val="00BD710C"/>
    <w:rsid w:val="00BE315B"/>
    <w:rsid w:val="00BE39FA"/>
    <w:rsid w:val="00BE738E"/>
    <w:rsid w:val="00BF16BB"/>
    <w:rsid w:val="00BF3627"/>
    <w:rsid w:val="00BF5185"/>
    <w:rsid w:val="00BF52C1"/>
    <w:rsid w:val="00BF62BB"/>
    <w:rsid w:val="00C034A6"/>
    <w:rsid w:val="00C03A61"/>
    <w:rsid w:val="00C15313"/>
    <w:rsid w:val="00C3181E"/>
    <w:rsid w:val="00C37A4A"/>
    <w:rsid w:val="00C41CEE"/>
    <w:rsid w:val="00C425D0"/>
    <w:rsid w:val="00C43871"/>
    <w:rsid w:val="00C46A2F"/>
    <w:rsid w:val="00C50F60"/>
    <w:rsid w:val="00C64C4B"/>
    <w:rsid w:val="00C7297B"/>
    <w:rsid w:val="00C76D96"/>
    <w:rsid w:val="00C835EE"/>
    <w:rsid w:val="00C83E25"/>
    <w:rsid w:val="00C84058"/>
    <w:rsid w:val="00C84226"/>
    <w:rsid w:val="00C86CF4"/>
    <w:rsid w:val="00C877B1"/>
    <w:rsid w:val="00C9064D"/>
    <w:rsid w:val="00C93E77"/>
    <w:rsid w:val="00C95C33"/>
    <w:rsid w:val="00CC0776"/>
    <w:rsid w:val="00CD0674"/>
    <w:rsid w:val="00CD460D"/>
    <w:rsid w:val="00CD4F13"/>
    <w:rsid w:val="00CF4148"/>
    <w:rsid w:val="00D0785C"/>
    <w:rsid w:val="00D07FF2"/>
    <w:rsid w:val="00D1005C"/>
    <w:rsid w:val="00D14F6D"/>
    <w:rsid w:val="00D26FB4"/>
    <w:rsid w:val="00D308E3"/>
    <w:rsid w:val="00D43A7D"/>
    <w:rsid w:val="00D47876"/>
    <w:rsid w:val="00D509BF"/>
    <w:rsid w:val="00D50D12"/>
    <w:rsid w:val="00D6367E"/>
    <w:rsid w:val="00D76A35"/>
    <w:rsid w:val="00DA4467"/>
    <w:rsid w:val="00DA60A9"/>
    <w:rsid w:val="00DB0662"/>
    <w:rsid w:val="00DC18F6"/>
    <w:rsid w:val="00DC1A2B"/>
    <w:rsid w:val="00DC1C83"/>
    <w:rsid w:val="00DC222B"/>
    <w:rsid w:val="00DC2324"/>
    <w:rsid w:val="00DC7351"/>
    <w:rsid w:val="00DD0166"/>
    <w:rsid w:val="00DE1B62"/>
    <w:rsid w:val="00DE1C87"/>
    <w:rsid w:val="00DE2572"/>
    <w:rsid w:val="00DE3C26"/>
    <w:rsid w:val="00DE407C"/>
    <w:rsid w:val="00DE71B2"/>
    <w:rsid w:val="00DF1439"/>
    <w:rsid w:val="00DF4C8C"/>
    <w:rsid w:val="00DF615A"/>
    <w:rsid w:val="00DF6C3D"/>
    <w:rsid w:val="00E0662F"/>
    <w:rsid w:val="00E0742E"/>
    <w:rsid w:val="00E13389"/>
    <w:rsid w:val="00E15CFB"/>
    <w:rsid w:val="00E20FB6"/>
    <w:rsid w:val="00E21896"/>
    <w:rsid w:val="00E30E97"/>
    <w:rsid w:val="00E40F96"/>
    <w:rsid w:val="00E41657"/>
    <w:rsid w:val="00E43196"/>
    <w:rsid w:val="00E4488B"/>
    <w:rsid w:val="00E455D6"/>
    <w:rsid w:val="00E53B86"/>
    <w:rsid w:val="00E573CF"/>
    <w:rsid w:val="00E70835"/>
    <w:rsid w:val="00E93572"/>
    <w:rsid w:val="00E95081"/>
    <w:rsid w:val="00E954A0"/>
    <w:rsid w:val="00EC3C55"/>
    <w:rsid w:val="00EC72A4"/>
    <w:rsid w:val="00EE0826"/>
    <w:rsid w:val="00EF14C4"/>
    <w:rsid w:val="00EF43A5"/>
    <w:rsid w:val="00F00F10"/>
    <w:rsid w:val="00F05559"/>
    <w:rsid w:val="00F06A66"/>
    <w:rsid w:val="00F15C3C"/>
    <w:rsid w:val="00F15F81"/>
    <w:rsid w:val="00F225C6"/>
    <w:rsid w:val="00F33556"/>
    <w:rsid w:val="00F44941"/>
    <w:rsid w:val="00F533A3"/>
    <w:rsid w:val="00F617B4"/>
    <w:rsid w:val="00F62548"/>
    <w:rsid w:val="00F656BB"/>
    <w:rsid w:val="00F718B7"/>
    <w:rsid w:val="00F724C1"/>
    <w:rsid w:val="00F85561"/>
    <w:rsid w:val="00FA1EE8"/>
    <w:rsid w:val="00FA4B27"/>
    <w:rsid w:val="00FA6FDF"/>
    <w:rsid w:val="00FA7D60"/>
    <w:rsid w:val="00FB0A2A"/>
    <w:rsid w:val="00FB4696"/>
    <w:rsid w:val="00FC2AD4"/>
    <w:rsid w:val="00FC7F8A"/>
    <w:rsid w:val="00FD7D12"/>
    <w:rsid w:val="00FE2D06"/>
    <w:rsid w:val="00FF4225"/>
    <w:rsid w:val="00FF49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95582905">
      <w:bodyDiv w:val="1"/>
      <w:marLeft w:val="0"/>
      <w:marRight w:val="0"/>
      <w:marTop w:val="0"/>
      <w:marBottom w:val="0"/>
      <w:divBdr>
        <w:top w:val="none" w:sz="0" w:space="0" w:color="auto"/>
        <w:left w:val="none" w:sz="0" w:space="0" w:color="auto"/>
        <w:bottom w:val="none" w:sz="0" w:space="0" w:color="auto"/>
        <w:right w:val="none" w:sz="0" w:space="0" w:color="auto"/>
      </w:divBdr>
    </w:div>
    <w:div w:id="372072297">
      <w:bodyDiv w:val="1"/>
      <w:marLeft w:val="0"/>
      <w:marRight w:val="0"/>
      <w:marTop w:val="0"/>
      <w:marBottom w:val="0"/>
      <w:divBdr>
        <w:top w:val="none" w:sz="0" w:space="0" w:color="auto"/>
        <w:left w:val="none" w:sz="0" w:space="0" w:color="auto"/>
        <w:bottom w:val="none" w:sz="0" w:space="0" w:color="auto"/>
        <w:right w:val="none" w:sz="0" w:space="0" w:color="auto"/>
      </w:divBdr>
    </w:div>
    <w:div w:id="406192473">
      <w:bodyDiv w:val="1"/>
      <w:marLeft w:val="0"/>
      <w:marRight w:val="0"/>
      <w:marTop w:val="0"/>
      <w:marBottom w:val="0"/>
      <w:divBdr>
        <w:top w:val="none" w:sz="0" w:space="0" w:color="auto"/>
        <w:left w:val="none" w:sz="0" w:space="0" w:color="auto"/>
        <w:bottom w:val="none" w:sz="0" w:space="0" w:color="auto"/>
        <w:right w:val="none" w:sz="0" w:space="0" w:color="auto"/>
      </w:divBdr>
    </w:div>
    <w:div w:id="599341609">
      <w:bodyDiv w:val="1"/>
      <w:marLeft w:val="0"/>
      <w:marRight w:val="0"/>
      <w:marTop w:val="0"/>
      <w:marBottom w:val="0"/>
      <w:divBdr>
        <w:top w:val="none" w:sz="0" w:space="0" w:color="auto"/>
        <w:left w:val="none" w:sz="0" w:space="0" w:color="auto"/>
        <w:bottom w:val="none" w:sz="0" w:space="0" w:color="auto"/>
        <w:right w:val="none" w:sz="0" w:space="0" w:color="auto"/>
      </w:divBdr>
    </w:div>
    <w:div w:id="721103174">
      <w:bodyDiv w:val="1"/>
      <w:marLeft w:val="0"/>
      <w:marRight w:val="0"/>
      <w:marTop w:val="0"/>
      <w:marBottom w:val="0"/>
      <w:divBdr>
        <w:top w:val="none" w:sz="0" w:space="0" w:color="auto"/>
        <w:left w:val="none" w:sz="0" w:space="0" w:color="auto"/>
        <w:bottom w:val="none" w:sz="0" w:space="0" w:color="auto"/>
        <w:right w:val="none" w:sz="0" w:space="0" w:color="auto"/>
      </w:divBdr>
    </w:div>
    <w:div w:id="981226406">
      <w:bodyDiv w:val="1"/>
      <w:marLeft w:val="0"/>
      <w:marRight w:val="0"/>
      <w:marTop w:val="0"/>
      <w:marBottom w:val="0"/>
      <w:divBdr>
        <w:top w:val="none" w:sz="0" w:space="0" w:color="auto"/>
        <w:left w:val="none" w:sz="0" w:space="0" w:color="auto"/>
        <w:bottom w:val="none" w:sz="0" w:space="0" w:color="auto"/>
        <w:right w:val="none" w:sz="0" w:space="0" w:color="auto"/>
      </w:divBdr>
    </w:div>
    <w:div w:id="1437095765">
      <w:bodyDiv w:val="1"/>
      <w:marLeft w:val="0"/>
      <w:marRight w:val="0"/>
      <w:marTop w:val="0"/>
      <w:marBottom w:val="0"/>
      <w:divBdr>
        <w:top w:val="none" w:sz="0" w:space="0" w:color="auto"/>
        <w:left w:val="none" w:sz="0" w:space="0" w:color="auto"/>
        <w:bottom w:val="none" w:sz="0" w:space="0" w:color="auto"/>
        <w:right w:val="none" w:sz="0" w:space="0" w:color="auto"/>
      </w:divBdr>
    </w:div>
    <w:div w:id="1863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2896</Characters>
  <Application>Microsoft Office Word</Application>
  <DocSecurity>4</DocSecurity>
  <Lines>24</Lines>
  <Paragraphs>6</Paragraphs>
  <ScaleCrop>false</ScaleCrop>
  <Company>Lenovo</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zhujieyou</dc:creator>
  <cp:lastModifiedBy>JonMMx 2000</cp:lastModifiedBy>
  <cp:revision>2</cp:revision>
  <dcterms:created xsi:type="dcterms:W3CDTF">2020-04-29T18:14:00Z</dcterms:created>
  <dcterms:modified xsi:type="dcterms:W3CDTF">2020-04-29T18:14:00Z</dcterms:modified>
</cp:coreProperties>
</file>