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07" w:rsidRPr="00A62112" w:rsidRDefault="008472DB" w:rsidP="00597161">
      <w:pPr>
        <w:spacing w:line="360" w:lineRule="auto"/>
        <w:jc w:val="center"/>
        <w:rPr>
          <w:rFonts w:ascii="宋体" w:eastAsia="宋体" w:hAnsi="宋体" w:hint="eastAsia"/>
          <w:b/>
          <w:sz w:val="24"/>
          <w:szCs w:val="28"/>
        </w:rPr>
      </w:pPr>
      <w:r w:rsidRPr="00A62112">
        <w:rPr>
          <w:rFonts w:ascii="宋体" w:eastAsia="宋体" w:hAnsi="宋体" w:hint="eastAsia"/>
          <w:b/>
          <w:sz w:val="24"/>
          <w:szCs w:val="28"/>
        </w:rPr>
        <w:t>广发基金管理有限公司</w:t>
      </w:r>
    </w:p>
    <w:p w:rsidR="008472DB" w:rsidRPr="00A62112" w:rsidRDefault="00583407" w:rsidP="00597161">
      <w:pPr>
        <w:spacing w:line="360" w:lineRule="auto"/>
        <w:jc w:val="center"/>
        <w:rPr>
          <w:rFonts w:ascii="宋体" w:eastAsia="宋体" w:hAnsi="宋体"/>
          <w:b/>
          <w:sz w:val="24"/>
          <w:szCs w:val="28"/>
        </w:rPr>
      </w:pPr>
      <w:r w:rsidRPr="00A62112">
        <w:rPr>
          <w:rFonts w:ascii="宋体" w:eastAsia="宋体" w:hAnsi="宋体" w:hint="eastAsia"/>
          <w:b/>
          <w:sz w:val="24"/>
          <w:szCs w:val="28"/>
        </w:rPr>
        <w:t>关于</w:t>
      </w:r>
      <w:r w:rsidR="00D3549A">
        <w:rPr>
          <w:rFonts w:ascii="宋体" w:eastAsia="宋体" w:hAnsi="宋体" w:hint="eastAsia"/>
          <w:b/>
          <w:sz w:val="24"/>
          <w:szCs w:val="28"/>
        </w:rPr>
        <w:t>广发双债添利债券型证券投资基金</w:t>
      </w:r>
      <w:r w:rsidR="008472DB" w:rsidRPr="00A62112">
        <w:rPr>
          <w:rFonts w:ascii="宋体" w:eastAsia="宋体" w:hAnsi="宋体" w:hint="eastAsia"/>
          <w:b/>
          <w:sz w:val="24"/>
          <w:szCs w:val="28"/>
        </w:rPr>
        <w:t>暂停</w:t>
      </w:r>
      <w:r w:rsidR="00D3549A">
        <w:rPr>
          <w:rFonts w:ascii="宋体" w:eastAsia="宋体" w:hAnsi="宋体" w:hint="eastAsia"/>
          <w:b/>
          <w:sz w:val="24"/>
          <w:szCs w:val="28"/>
        </w:rPr>
        <w:t>机构投资者</w:t>
      </w:r>
      <w:r w:rsidRPr="00A62112">
        <w:rPr>
          <w:rFonts w:ascii="宋体" w:eastAsia="宋体" w:hAnsi="宋体" w:hint="eastAsia"/>
          <w:b/>
          <w:sz w:val="24"/>
          <w:szCs w:val="28"/>
        </w:rPr>
        <w:t>申购</w:t>
      </w:r>
      <w:r w:rsidR="001251D1" w:rsidRPr="00A62112">
        <w:rPr>
          <w:rFonts w:ascii="宋体" w:eastAsia="宋体" w:hAnsi="宋体" w:hint="eastAsia"/>
          <w:b/>
          <w:sz w:val="24"/>
          <w:szCs w:val="28"/>
        </w:rPr>
        <w:t>业务</w:t>
      </w:r>
      <w:r w:rsidRPr="00A62112">
        <w:rPr>
          <w:rFonts w:ascii="宋体" w:eastAsia="宋体" w:hAnsi="宋体" w:hint="eastAsia"/>
          <w:b/>
          <w:sz w:val="24"/>
          <w:szCs w:val="28"/>
        </w:rPr>
        <w:t>的</w:t>
      </w:r>
      <w:r w:rsidR="008472DB" w:rsidRPr="00A62112">
        <w:rPr>
          <w:rFonts w:ascii="宋体" w:eastAsia="宋体" w:hAnsi="宋体" w:hint="eastAsia"/>
          <w:b/>
          <w:sz w:val="24"/>
          <w:szCs w:val="28"/>
        </w:rPr>
        <w:t>公告</w:t>
      </w:r>
    </w:p>
    <w:p w:rsidR="00D327FA" w:rsidRPr="00597161" w:rsidRDefault="008472DB" w:rsidP="00597161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597161">
        <w:rPr>
          <w:rFonts w:ascii="宋体" w:eastAsia="宋体" w:hAnsi="宋体"/>
          <w:sz w:val="24"/>
          <w:szCs w:val="24"/>
        </w:rPr>
        <w:t>公告送出日期：</w:t>
      </w:r>
      <w:r w:rsidR="00D3549A">
        <w:rPr>
          <w:rFonts w:ascii="宋体" w:eastAsia="宋体" w:hAnsi="宋体"/>
          <w:sz w:val="24"/>
          <w:szCs w:val="24"/>
        </w:rPr>
        <w:t>2020年4月30日</w:t>
      </w:r>
    </w:p>
    <w:p w:rsidR="00E830A4" w:rsidRPr="00815938" w:rsidRDefault="00E830A4" w:rsidP="0028431D">
      <w:pPr>
        <w:spacing w:line="360" w:lineRule="auto"/>
        <w:jc w:val="center"/>
        <w:rPr>
          <w:rFonts w:ascii="宋体" w:eastAsia="宋体" w:hAnsi="宋体"/>
          <w:color w:val="000000"/>
          <w:sz w:val="24"/>
          <w:szCs w:val="24"/>
        </w:rPr>
      </w:pPr>
    </w:p>
    <w:p w:rsidR="00D327FA" w:rsidRPr="00597161" w:rsidRDefault="00D327FA" w:rsidP="00597161">
      <w:pPr>
        <w:spacing w:line="480" w:lineRule="auto"/>
        <w:jc w:val="left"/>
        <w:rPr>
          <w:rFonts w:ascii="宋体" w:eastAsia="宋体" w:hAnsi="宋体"/>
          <w:b/>
          <w:sz w:val="24"/>
          <w:szCs w:val="24"/>
        </w:rPr>
      </w:pPr>
      <w:bookmarkStart w:id="0" w:name="_Toc275961405"/>
      <w:r w:rsidRPr="00597161">
        <w:rPr>
          <w:rFonts w:ascii="宋体" w:eastAsia="宋体" w:hAnsi="宋体"/>
          <w:b/>
          <w:sz w:val="24"/>
          <w:szCs w:val="24"/>
        </w:rPr>
        <w:t>1</w:t>
      </w:r>
      <w:r w:rsidR="00597161" w:rsidRPr="00597161">
        <w:rPr>
          <w:rFonts w:ascii="宋体" w:eastAsia="宋体" w:hAnsi="宋体" w:hint="eastAsia"/>
          <w:b/>
          <w:sz w:val="24"/>
          <w:szCs w:val="24"/>
        </w:rPr>
        <w:t>、</w:t>
      </w:r>
      <w:r w:rsidRPr="00597161">
        <w:rPr>
          <w:rFonts w:ascii="宋体" w:eastAsia="宋体" w:hAnsi="宋体"/>
          <w:b/>
          <w:sz w:val="24"/>
          <w:szCs w:val="24"/>
        </w:rPr>
        <w:t>公告基本信息</w:t>
      </w:r>
      <w:bookmarkEnd w:id="0"/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40"/>
        <w:gridCol w:w="2461"/>
        <w:gridCol w:w="1457"/>
        <w:gridCol w:w="1005"/>
        <w:gridCol w:w="2462"/>
      </w:tblGrid>
      <w:tr w:rsidR="00D327FA" w:rsidRPr="000D472C" w:rsidTr="006E5AF0">
        <w:trPr>
          <w:trHeight w:val="445"/>
          <w:jc w:val="center"/>
        </w:trPr>
        <w:tc>
          <w:tcPr>
            <w:tcW w:w="3440" w:type="dxa"/>
            <w:vAlign w:val="center"/>
          </w:tcPr>
          <w:p w:rsidR="00D327FA" w:rsidRPr="00EC7949" w:rsidRDefault="00D327FA" w:rsidP="00BF421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C7949">
              <w:rPr>
                <w:rFonts w:ascii="宋体" w:eastAsia="宋体" w:hAnsi="宋体"/>
                <w:sz w:val="24"/>
                <w:szCs w:val="24"/>
              </w:rPr>
              <w:t>基金名称</w:t>
            </w:r>
          </w:p>
        </w:tc>
        <w:tc>
          <w:tcPr>
            <w:tcW w:w="7385" w:type="dxa"/>
            <w:gridSpan w:val="4"/>
            <w:vAlign w:val="center"/>
          </w:tcPr>
          <w:p w:rsidR="00D327FA" w:rsidRPr="00815938" w:rsidRDefault="00D3549A" w:rsidP="00BF421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广发双债添利债券型证券投资基金</w:t>
            </w:r>
          </w:p>
        </w:tc>
      </w:tr>
      <w:tr w:rsidR="00D327FA" w:rsidRPr="000D472C" w:rsidTr="006E5AF0">
        <w:trPr>
          <w:trHeight w:val="445"/>
          <w:jc w:val="center"/>
        </w:trPr>
        <w:tc>
          <w:tcPr>
            <w:tcW w:w="3440" w:type="dxa"/>
            <w:vAlign w:val="center"/>
          </w:tcPr>
          <w:p w:rsidR="00D327FA" w:rsidRPr="00EC7949" w:rsidRDefault="00D327FA" w:rsidP="00BF421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C7949">
              <w:rPr>
                <w:rFonts w:ascii="宋体" w:eastAsia="宋体" w:hAnsi="宋体"/>
                <w:sz w:val="24"/>
                <w:szCs w:val="24"/>
              </w:rPr>
              <w:t>基金简称</w:t>
            </w:r>
          </w:p>
        </w:tc>
        <w:tc>
          <w:tcPr>
            <w:tcW w:w="7385" w:type="dxa"/>
            <w:gridSpan w:val="4"/>
            <w:vAlign w:val="center"/>
          </w:tcPr>
          <w:p w:rsidR="00D327FA" w:rsidRPr="00815938" w:rsidRDefault="00D3549A" w:rsidP="00BF4219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</w:t>
            </w:r>
          </w:p>
        </w:tc>
      </w:tr>
      <w:tr w:rsidR="00D327FA" w:rsidRPr="000D472C" w:rsidTr="006E5AF0">
        <w:trPr>
          <w:trHeight w:val="445"/>
          <w:jc w:val="center"/>
        </w:trPr>
        <w:tc>
          <w:tcPr>
            <w:tcW w:w="3440" w:type="dxa"/>
            <w:vAlign w:val="center"/>
          </w:tcPr>
          <w:p w:rsidR="00D327FA" w:rsidRPr="00EC7949" w:rsidRDefault="00D327FA" w:rsidP="00BF421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C7949">
              <w:rPr>
                <w:rFonts w:ascii="宋体" w:eastAsia="宋体" w:hAnsi="宋体"/>
                <w:sz w:val="24"/>
                <w:szCs w:val="24"/>
              </w:rPr>
              <w:t>基金主代码</w:t>
            </w:r>
          </w:p>
        </w:tc>
        <w:tc>
          <w:tcPr>
            <w:tcW w:w="7385" w:type="dxa"/>
            <w:gridSpan w:val="4"/>
            <w:vAlign w:val="center"/>
          </w:tcPr>
          <w:p w:rsidR="00D327FA" w:rsidRPr="00EC7949" w:rsidRDefault="00D3549A" w:rsidP="00AF2185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270044</w:t>
            </w:r>
          </w:p>
        </w:tc>
      </w:tr>
      <w:tr w:rsidR="008472DB" w:rsidRPr="000D472C" w:rsidTr="006E5AF0">
        <w:trPr>
          <w:trHeight w:val="445"/>
          <w:jc w:val="center"/>
        </w:trPr>
        <w:tc>
          <w:tcPr>
            <w:tcW w:w="3440" w:type="dxa"/>
            <w:vAlign w:val="center"/>
          </w:tcPr>
          <w:p w:rsidR="008472DB" w:rsidRPr="00EC7949" w:rsidRDefault="008472DB" w:rsidP="00BF421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C7949">
              <w:rPr>
                <w:rFonts w:ascii="宋体" w:eastAsia="宋体" w:hAnsi="宋体"/>
                <w:sz w:val="24"/>
                <w:szCs w:val="24"/>
              </w:rPr>
              <w:t>基金管理人名称</w:t>
            </w:r>
          </w:p>
        </w:tc>
        <w:tc>
          <w:tcPr>
            <w:tcW w:w="7385" w:type="dxa"/>
            <w:gridSpan w:val="4"/>
            <w:vAlign w:val="center"/>
          </w:tcPr>
          <w:p w:rsidR="008472DB" w:rsidRPr="00815938" w:rsidRDefault="008472DB" w:rsidP="00BF421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815938">
              <w:rPr>
                <w:rFonts w:ascii="宋体" w:eastAsia="宋体" w:hAnsi="宋体"/>
                <w:sz w:val="24"/>
                <w:szCs w:val="24"/>
              </w:rPr>
              <w:t>广发基金管理有限公司</w:t>
            </w:r>
          </w:p>
        </w:tc>
      </w:tr>
      <w:tr w:rsidR="008472DB" w:rsidRPr="000D472C" w:rsidTr="006E5AF0">
        <w:trPr>
          <w:trHeight w:val="891"/>
          <w:jc w:val="center"/>
        </w:trPr>
        <w:tc>
          <w:tcPr>
            <w:tcW w:w="3440" w:type="dxa"/>
            <w:vAlign w:val="center"/>
          </w:tcPr>
          <w:p w:rsidR="008472DB" w:rsidRPr="00EC7949" w:rsidRDefault="008472DB" w:rsidP="00BF421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C7949">
              <w:rPr>
                <w:rFonts w:ascii="宋体" w:eastAsia="宋体" w:hAnsi="宋体"/>
                <w:sz w:val="24"/>
                <w:szCs w:val="24"/>
              </w:rPr>
              <w:t>公告依据</w:t>
            </w:r>
          </w:p>
        </w:tc>
        <w:tc>
          <w:tcPr>
            <w:tcW w:w="7385" w:type="dxa"/>
            <w:gridSpan w:val="4"/>
            <w:vAlign w:val="center"/>
          </w:tcPr>
          <w:p w:rsidR="00EC7949" w:rsidRPr="00EC7949" w:rsidRDefault="00EC7949" w:rsidP="00BF4219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 w:rsidRPr="00EC7949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D3549A">
              <w:rPr>
                <w:rFonts w:ascii="宋体" w:eastAsia="宋体" w:hAnsi="宋体"/>
                <w:sz w:val="24"/>
                <w:szCs w:val="24"/>
              </w:rPr>
              <w:t>广发双债添利债券型证券投资基金</w:t>
            </w:r>
            <w:r w:rsidRPr="00EC7949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8472DB" w:rsidRPr="00815938" w:rsidRDefault="00EC7949" w:rsidP="00BF421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C7949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D3549A">
              <w:rPr>
                <w:rFonts w:ascii="宋体" w:eastAsia="宋体" w:hAnsi="宋体"/>
                <w:sz w:val="24"/>
                <w:szCs w:val="24"/>
              </w:rPr>
              <w:t>广发双债添利债券型证券投资基金</w:t>
            </w:r>
            <w:r w:rsidRPr="00EC7949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BF4219" w:rsidRPr="000D472C" w:rsidTr="006E5AF0">
        <w:trPr>
          <w:trHeight w:val="445"/>
          <w:jc w:val="center"/>
        </w:trPr>
        <w:tc>
          <w:tcPr>
            <w:tcW w:w="3440" w:type="dxa"/>
            <w:vMerge w:val="restart"/>
            <w:vAlign w:val="center"/>
          </w:tcPr>
          <w:p w:rsidR="00BF4219" w:rsidRPr="00EC7949" w:rsidRDefault="00BF4219" w:rsidP="00C56BD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C7949">
              <w:rPr>
                <w:rFonts w:ascii="宋体" w:eastAsia="宋体" w:hAnsi="宋体"/>
                <w:sz w:val="24"/>
                <w:szCs w:val="24"/>
              </w:rPr>
              <w:t>暂停相关业务的起始日及原因说明</w:t>
            </w: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219" w:rsidRPr="000C6E64" w:rsidRDefault="00BF4219" w:rsidP="00BF4219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0C6E64">
              <w:rPr>
                <w:rFonts w:ascii="宋体" w:eastAsia="宋体" w:hAnsi="宋体" w:hint="eastAsia"/>
                <w:sz w:val="24"/>
              </w:rPr>
              <w:t>暂停</w:t>
            </w:r>
            <w:r w:rsidR="00D3549A">
              <w:rPr>
                <w:rFonts w:ascii="宋体" w:eastAsia="宋体" w:hAnsi="宋体" w:hint="eastAsia"/>
                <w:sz w:val="24"/>
                <w:szCs w:val="28"/>
              </w:rPr>
              <w:t>机构投资者</w:t>
            </w:r>
            <w:r w:rsidRPr="000C6E64">
              <w:rPr>
                <w:rFonts w:ascii="宋体" w:eastAsia="宋体" w:hAnsi="宋体" w:hint="eastAsia"/>
                <w:sz w:val="24"/>
              </w:rPr>
              <w:t>申购起始日</w:t>
            </w:r>
          </w:p>
        </w:tc>
        <w:tc>
          <w:tcPr>
            <w:tcW w:w="3467" w:type="dxa"/>
            <w:gridSpan w:val="2"/>
            <w:vAlign w:val="center"/>
          </w:tcPr>
          <w:p w:rsidR="00BF4219" w:rsidRPr="00EC7949" w:rsidRDefault="00D3549A" w:rsidP="00E7179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2020年4月30日</w:t>
            </w:r>
          </w:p>
        </w:tc>
      </w:tr>
      <w:tr w:rsidR="00D3549A" w:rsidRPr="000D472C" w:rsidTr="006E5AF0">
        <w:trPr>
          <w:trHeight w:val="445"/>
          <w:jc w:val="center"/>
        </w:trPr>
        <w:tc>
          <w:tcPr>
            <w:tcW w:w="3440" w:type="dxa"/>
            <w:vMerge/>
            <w:vAlign w:val="center"/>
          </w:tcPr>
          <w:p w:rsidR="00D3549A" w:rsidRPr="00EC7949" w:rsidRDefault="00D3549A" w:rsidP="00BF421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49A" w:rsidRPr="000C6E64" w:rsidRDefault="00D3549A" w:rsidP="00BF4219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  <w:r w:rsidRPr="00B55EB9">
              <w:rPr>
                <w:rFonts w:ascii="宋体" w:eastAsia="宋体" w:hAnsi="宋体" w:hint="eastAsia"/>
                <w:sz w:val="24"/>
              </w:rPr>
              <w:t>暂停</w:t>
            </w:r>
            <w:r>
              <w:rPr>
                <w:rFonts w:ascii="宋体" w:eastAsia="宋体" w:hAnsi="宋体" w:hint="eastAsia"/>
                <w:sz w:val="24"/>
              </w:rPr>
              <w:t>机构投资者</w:t>
            </w:r>
            <w:r w:rsidRPr="00B55EB9">
              <w:rPr>
                <w:rFonts w:ascii="宋体" w:eastAsia="宋体" w:hAnsi="宋体" w:hint="eastAsia"/>
                <w:sz w:val="24"/>
              </w:rPr>
              <w:t>转换转入起始日</w:t>
            </w:r>
          </w:p>
        </w:tc>
        <w:tc>
          <w:tcPr>
            <w:tcW w:w="3467" w:type="dxa"/>
            <w:gridSpan w:val="2"/>
            <w:vAlign w:val="center"/>
          </w:tcPr>
          <w:p w:rsidR="00D3549A" w:rsidRDefault="00D3549A" w:rsidP="00E7179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2020年4月30日</w:t>
            </w:r>
          </w:p>
        </w:tc>
      </w:tr>
      <w:tr w:rsidR="00D3549A" w:rsidRPr="000D472C" w:rsidTr="006E5AF0">
        <w:trPr>
          <w:trHeight w:val="445"/>
          <w:jc w:val="center"/>
        </w:trPr>
        <w:tc>
          <w:tcPr>
            <w:tcW w:w="3440" w:type="dxa"/>
            <w:vMerge/>
            <w:vAlign w:val="center"/>
          </w:tcPr>
          <w:p w:rsidR="00D3549A" w:rsidRPr="00EC7949" w:rsidRDefault="00D3549A" w:rsidP="00BF4219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49A" w:rsidRPr="000C6E64" w:rsidRDefault="00D3549A" w:rsidP="00BF4219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  <w:r w:rsidRPr="00B55EB9">
              <w:rPr>
                <w:rFonts w:ascii="宋体" w:eastAsia="宋体" w:hAnsi="宋体" w:hint="eastAsia"/>
                <w:sz w:val="24"/>
              </w:rPr>
              <w:t>暂停</w:t>
            </w:r>
            <w:r>
              <w:rPr>
                <w:rFonts w:ascii="宋体" w:eastAsia="宋体" w:hAnsi="宋体" w:hint="eastAsia"/>
                <w:sz w:val="24"/>
              </w:rPr>
              <w:t>机构投资者</w:t>
            </w:r>
            <w:r w:rsidRPr="00D3549A">
              <w:rPr>
                <w:rFonts w:ascii="宋体" w:eastAsia="宋体" w:hAnsi="宋体" w:hint="eastAsia"/>
                <w:sz w:val="24"/>
              </w:rPr>
              <w:t>定期定额和不定额投资</w:t>
            </w:r>
            <w:r w:rsidRPr="00B55EB9">
              <w:rPr>
                <w:rFonts w:ascii="宋体" w:eastAsia="宋体" w:hAnsi="宋体" w:hint="eastAsia"/>
                <w:sz w:val="24"/>
              </w:rPr>
              <w:t>起始日</w:t>
            </w:r>
          </w:p>
        </w:tc>
        <w:tc>
          <w:tcPr>
            <w:tcW w:w="3467" w:type="dxa"/>
            <w:gridSpan w:val="2"/>
            <w:vAlign w:val="center"/>
          </w:tcPr>
          <w:p w:rsidR="00D3549A" w:rsidRDefault="00D3549A" w:rsidP="00E7179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2020年4月30日</w:t>
            </w:r>
          </w:p>
        </w:tc>
      </w:tr>
      <w:tr w:rsidR="00EC7949" w:rsidRPr="000D472C" w:rsidTr="00E7179A">
        <w:trPr>
          <w:trHeight w:val="510"/>
          <w:jc w:val="center"/>
        </w:trPr>
        <w:tc>
          <w:tcPr>
            <w:tcW w:w="3440" w:type="dxa"/>
            <w:vMerge/>
            <w:vAlign w:val="center"/>
          </w:tcPr>
          <w:p w:rsidR="00EC7949" w:rsidRPr="00EC7949" w:rsidRDefault="00EC7949" w:rsidP="00BF4219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918" w:type="dxa"/>
            <w:gridSpan w:val="2"/>
            <w:vAlign w:val="center"/>
          </w:tcPr>
          <w:p w:rsidR="00EC7949" w:rsidRPr="00EC7949" w:rsidRDefault="00BF4219" w:rsidP="00E7179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 w:rsidRPr="00B55EB9">
              <w:rPr>
                <w:rFonts w:ascii="宋体" w:eastAsia="宋体" w:hAnsi="宋体" w:hint="eastAsia"/>
                <w:sz w:val="24"/>
              </w:rPr>
              <w:t>暂停</w:t>
            </w:r>
            <w:r w:rsidR="00D3549A">
              <w:rPr>
                <w:rFonts w:ascii="宋体" w:eastAsia="宋体" w:hAnsi="宋体" w:hint="eastAsia"/>
                <w:sz w:val="24"/>
              </w:rPr>
              <w:t>机构投资者申购</w:t>
            </w:r>
            <w:r w:rsidR="00D3549A" w:rsidRPr="00D3549A">
              <w:rPr>
                <w:rFonts w:ascii="宋体" w:eastAsia="宋体" w:hAnsi="宋体" w:hint="eastAsia"/>
                <w:sz w:val="24"/>
              </w:rPr>
              <w:t>（</w:t>
            </w:r>
            <w:r w:rsidR="00D3549A">
              <w:rPr>
                <w:rFonts w:ascii="宋体" w:eastAsia="宋体" w:hAnsi="宋体" w:hint="eastAsia"/>
                <w:sz w:val="24"/>
              </w:rPr>
              <w:t>含</w:t>
            </w:r>
            <w:r w:rsidR="00D3549A" w:rsidRPr="00D3549A">
              <w:rPr>
                <w:rFonts w:ascii="宋体" w:eastAsia="宋体" w:hAnsi="宋体" w:hint="eastAsia"/>
                <w:sz w:val="24"/>
              </w:rPr>
              <w:t>转换转入、定期定额和不定额投资）</w:t>
            </w:r>
            <w:r w:rsidR="00EC7949" w:rsidRPr="00EC7949">
              <w:rPr>
                <w:rFonts w:ascii="宋体" w:eastAsia="宋体" w:hAnsi="宋体" w:hint="eastAsia"/>
                <w:sz w:val="24"/>
                <w:szCs w:val="24"/>
              </w:rPr>
              <w:t>的原因说明</w:t>
            </w:r>
          </w:p>
        </w:tc>
        <w:tc>
          <w:tcPr>
            <w:tcW w:w="3467" w:type="dxa"/>
            <w:gridSpan w:val="2"/>
            <w:vAlign w:val="center"/>
          </w:tcPr>
          <w:p w:rsidR="00EC7949" w:rsidRPr="00EC7949" w:rsidRDefault="00BF4219" w:rsidP="00783E7C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保护</w:t>
            </w:r>
            <w:r w:rsidR="00EC7949" w:rsidRPr="00EC7949">
              <w:rPr>
                <w:rFonts w:ascii="宋体" w:eastAsia="宋体" w:hAnsi="宋体"/>
                <w:sz w:val="24"/>
                <w:szCs w:val="24"/>
              </w:rPr>
              <w:t>基金份额持有人</w:t>
            </w:r>
            <w:r w:rsidR="00783E7C">
              <w:rPr>
                <w:rFonts w:ascii="宋体" w:eastAsia="宋体" w:hAnsi="宋体"/>
                <w:sz w:val="24"/>
                <w:szCs w:val="24"/>
              </w:rPr>
              <w:t>的</w:t>
            </w:r>
            <w:r w:rsidR="00EC7949" w:rsidRPr="00EC7949">
              <w:rPr>
                <w:rFonts w:ascii="宋体" w:eastAsia="宋体" w:hAnsi="宋体"/>
                <w:sz w:val="24"/>
                <w:szCs w:val="24"/>
              </w:rPr>
              <w:t>利益</w:t>
            </w:r>
          </w:p>
        </w:tc>
      </w:tr>
      <w:tr w:rsidR="00D148DE" w:rsidRPr="000D472C" w:rsidTr="00E3737D">
        <w:trPr>
          <w:trHeight w:val="454"/>
          <w:jc w:val="center"/>
        </w:trPr>
        <w:tc>
          <w:tcPr>
            <w:tcW w:w="3440" w:type="dxa"/>
          </w:tcPr>
          <w:p w:rsidR="00D148DE" w:rsidRPr="00E7179A" w:rsidRDefault="00D148DE" w:rsidP="00E7179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 w:rsidRPr="00E7179A">
              <w:rPr>
                <w:rFonts w:ascii="宋体" w:eastAsia="宋体" w:hAnsi="宋体" w:hint="eastAsia"/>
                <w:sz w:val="24"/>
                <w:szCs w:val="24"/>
              </w:rPr>
              <w:t xml:space="preserve">下属分级基金的基金简称 </w:t>
            </w:r>
          </w:p>
        </w:tc>
        <w:tc>
          <w:tcPr>
            <w:tcW w:w="2461" w:type="dxa"/>
          </w:tcPr>
          <w:p w:rsidR="00D148DE" w:rsidRPr="00E7179A" w:rsidRDefault="00D148DE" w:rsidP="00E7179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</w:t>
            </w:r>
            <w:r w:rsidRPr="00E7179A">
              <w:rPr>
                <w:rFonts w:ascii="宋体" w:eastAsia="宋体" w:hAnsi="宋体" w:hint="eastAsia"/>
                <w:sz w:val="24"/>
                <w:szCs w:val="24"/>
              </w:rPr>
              <w:t>A</w:t>
            </w:r>
          </w:p>
        </w:tc>
        <w:tc>
          <w:tcPr>
            <w:tcW w:w="2462" w:type="dxa"/>
            <w:gridSpan w:val="2"/>
          </w:tcPr>
          <w:p w:rsidR="00D148DE" w:rsidRPr="00E7179A" w:rsidRDefault="00D148DE" w:rsidP="00D3549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</w:t>
            </w:r>
            <w:r>
              <w:rPr>
                <w:rFonts w:ascii="宋体" w:eastAsia="宋体" w:hAnsi="宋体"/>
                <w:sz w:val="24"/>
                <w:szCs w:val="24"/>
              </w:rPr>
              <w:t>C</w:t>
            </w:r>
          </w:p>
        </w:tc>
        <w:tc>
          <w:tcPr>
            <w:tcW w:w="2462" w:type="dxa"/>
          </w:tcPr>
          <w:p w:rsidR="00D148DE" w:rsidRPr="00E7179A" w:rsidRDefault="00D148DE" w:rsidP="00D3549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广发双债添利债券E</w:t>
            </w:r>
          </w:p>
        </w:tc>
      </w:tr>
      <w:tr w:rsidR="00D148DE" w:rsidRPr="000D472C" w:rsidTr="00E3737D">
        <w:trPr>
          <w:trHeight w:val="454"/>
          <w:jc w:val="center"/>
        </w:trPr>
        <w:tc>
          <w:tcPr>
            <w:tcW w:w="3440" w:type="dxa"/>
          </w:tcPr>
          <w:p w:rsidR="00D148DE" w:rsidRPr="00E7179A" w:rsidRDefault="00D148DE" w:rsidP="00E7179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 w:rsidRPr="00E7179A">
              <w:rPr>
                <w:rFonts w:ascii="宋体" w:eastAsia="宋体" w:hAnsi="宋体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2461" w:type="dxa"/>
          </w:tcPr>
          <w:p w:rsidR="00D148DE" w:rsidRPr="00E7179A" w:rsidRDefault="00D148DE" w:rsidP="00E7179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270044</w:t>
            </w:r>
          </w:p>
        </w:tc>
        <w:tc>
          <w:tcPr>
            <w:tcW w:w="2462" w:type="dxa"/>
            <w:gridSpan w:val="2"/>
          </w:tcPr>
          <w:p w:rsidR="00D148DE" w:rsidRPr="00E7179A" w:rsidRDefault="00D148DE" w:rsidP="00E7179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 w:rsidRPr="00D3549A">
              <w:rPr>
                <w:rFonts w:ascii="宋体" w:eastAsia="宋体" w:hAnsi="宋体"/>
                <w:sz w:val="24"/>
                <w:szCs w:val="24"/>
              </w:rPr>
              <w:t>270045</w:t>
            </w:r>
          </w:p>
        </w:tc>
        <w:tc>
          <w:tcPr>
            <w:tcW w:w="2462" w:type="dxa"/>
          </w:tcPr>
          <w:p w:rsidR="00D148DE" w:rsidRPr="00E7179A" w:rsidRDefault="00D148DE" w:rsidP="00E7179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09267</w:t>
            </w:r>
          </w:p>
        </w:tc>
      </w:tr>
      <w:tr w:rsidR="00D148DE" w:rsidRPr="000D472C" w:rsidTr="00E3737D">
        <w:trPr>
          <w:trHeight w:val="454"/>
          <w:jc w:val="center"/>
        </w:trPr>
        <w:tc>
          <w:tcPr>
            <w:tcW w:w="3440" w:type="dxa"/>
          </w:tcPr>
          <w:p w:rsidR="00D148DE" w:rsidRPr="00E7179A" w:rsidRDefault="00D148DE" w:rsidP="00E7179A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 w:rsidRPr="00E7179A">
              <w:rPr>
                <w:rFonts w:ascii="宋体" w:eastAsia="宋体" w:hAnsi="宋体" w:hint="eastAsia"/>
                <w:sz w:val="24"/>
                <w:szCs w:val="24"/>
              </w:rPr>
              <w:t>该分级基金是否暂停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机构投资者</w:t>
            </w:r>
            <w:r>
              <w:rPr>
                <w:rFonts w:ascii="宋体" w:eastAsia="宋体" w:hAnsi="宋体" w:hint="eastAsia"/>
                <w:sz w:val="24"/>
              </w:rPr>
              <w:t>申购</w:t>
            </w:r>
            <w:r w:rsidRPr="00D3549A">
              <w:rPr>
                <w:rFonts w:ascii="宋体" w:eastAsia="宋体" w:hAnsi="宋体" w:hint="eastAsia"/>
                <w:sz w:val="24"/>
              </w:rPr>
              <w:t>（</w:t>
            </w:r>
            <w:r>
              <w:rPr>
                <w:rFonts w:ascii="宋体" w:eastAsia="宋体" w:hAnsi="宋体" w:hint="eastAsia"/>
                <w:sz w:val="24"/>
              </w:rPr>
              <w:t>含</w:t>
            </w:r>
            <w:r w:rsidRPr="00D3549A">
              <w:rPr>
                <w:rFonts w:ascii="宋体" w:eastAsia="宋体" w:hAnsi="宋体" w:hint="eastAsia"/>
                <w:sz w:val="24"/>
              </w:rPr>
              <w:t>转换转入、定期定额和不定额投资）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业务</w:t>
            </w:r>
          </w:p>
        </w:tc>
        <w:tc>
          <w:tcPr>
            <w:tcW w:w="2461" w:type="dxa"/>
          </w:tcPr>
          <w:p w:rsidR="00D148DE" w:rsidRPr="00E7179A" w:rsidRDefault="00D148DE" w:rsidP="00E7179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7179A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2462" w:type="dxa"/>
            <w:gridSpan w:val="2"/>
          </w:tcPr>
          <w:p w:rsidR="00D148DE" w:rsidRPr="00E7179A" w:rsidRDefault="00D148DE" w:rsidP="00E7179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7179A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2462" w:type="dxa"/>
          </w:tcPr>
          <w:p w:rsidR="00D148DE" w:rsidRPr="00E7179A" w:rsidRDefault="00D148DE" w:rsidP="00E7179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是</w:t>
            </w:r>
          </w:p>
        </w:tc>
      </w:tr>
    </w:tbl>
    <w:p w:rsidR="005B3230" w:rsidRDefault="005B3230" w:rsidP="00E22E03">
      <w:pPr>
        <w:spacing w:line="360" w:lineRule="auto"/>
        <w:jc w:val="left"/>
        <w:rPr>
          <w:rFonts w:ascii="宋体" w:eastAsia="宋体" w:hAnsi="宋体" w:hint="eastAsia"/>
          <w:b/>
          <w:sz w:val="24"/>
          <w:szCs w:val="24"/>
        </w:rPr>
      </w:pPr>
      <w:bookmarkStart w:id="1" w:name="_Toc275961406"/>
    </w:p>
    <w:p w:rsidR="00D327FA" w:rsidRPr="00597161" w:rsidRDefault="00D327FA" w:rsidP="00597161">
      <w:pPr>
        <w:spacing w:line="480" w:lineRule="auto"/>
        <w:jc w:val="left"/>
        <w:rPr>
          <w:rFonts w:ascii="宋体" w:eastAsia="宋体" w:hAnsi="宋体"/>
          <w:b/>
          <w:sz w:val="24"/>
          <w:szCs w:val="24"/>
        </w:rPr>
      </w:pPr>
      <w:r w:rsidRPr="00597161">
        <w:rPr>
          <w:rFonts w:ascii="宋体" w:eastAsia="宋体" w:hAnsi="宋体"/>
          <w:b/>
          <w:sz w:val="24"/>
          <w:szCs w:val="24"/>
        </w:rPr>
        <w:t>2</w:t>
      </w:r>
      <w:r w:rsidR="00597161">
        <w:rPr>
          <w:rFonts w:ascii="宋体" w:eastAsia="宋体" w:hAnsi="宋体" w:hint="eastAsia"/>
          <w:b/>
          <w:sz w:val="24"/>
          <w:szCs w:val="24"/>
        </w:rPr>
        <w:t>、</w:t>
      </w:r>
      <w:r w:rsidRPr="00597161">
        <w:rPr>
          <w:rFonts w:ascii="宋体" w:eastAsia="宋体" w:hAnsi="宋体"/>
          <w:b/>
          <w:sz w:val="24"/>
          <w:szCs w:val="24"/>
        </w:rPr>
        <w:t>其他需要提示的事项</w:t>
      </w:r>
      <w:bookmarkEnd w:id="1"/>
    </w:p>
    <w:p w:rsidR="00E22E03" w:rsidRDefault="00783E7C" w:rsidP="00E7179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</w:t>
      </w:r>
      <w:r w:rsidRPr="00783E7C">
        <w:rPr>
          <w:rFonts w:ascii="宋体" w:eastAsia="宋体" w:hAnsi="宋体" w:hint="eastAsia"/>
          <w:sz w:val="24"/>
          <w:szCs w:val="24"/>
        </w:rPr>
        <w:t>保护基金份额持有人</w:t>
      </w:r>
      <w:r>
        <w:rPr>
          <w:rFonts w:ascii="宋体" w:eastAsia="宋体" w:hAnsi="宋体" w:hint="eastAsia"/>
          <w:sz w:val="24"/>
          <w:szCs w:val="24"/>
        </w:rPr>
        <w:t>的</w:t>
      </w:r>
      <w:r w:rsidRPr="00783E7C">
        <w:rPr>
          <w:rFonts w:ascii="宋体" w:eastAsia="宋体" w:hAnsi="宋体" w:hint="eastAsia"/>
          <w:sz w:val="24"/>
          <w:szCs w:val="24"/>
        </w:rPr>
        <w:t>利益</w:t>
      </w:r>
      <w:r w:rsidR="005D2BCA">
        <w:rPr>
          <w:rFonts w:ascii="宋体" w:eastAsia="宋体" w:hAnsi="宋体" w:hint="eastAsia"/>
          <w:sz w:val="24"/>
          <w:szCs w:val="24"/>
        </w:rPr>
        <w:t>，</w:t>
      </w:r>
      <w:r w:rsidR="00EC7949" w:rsidRPr="00EC7949">
        <w:rPr>
          <w:rFonts w:ascii="宋体" w:eastAsia="宋体" w:hAnsi="宋体" w:hint="eastAsia"/>
          <w:sz w:val="24"/>
          <w:szCs w:val="24"/>
        </w:rPr>
        <w:t>我司决定</w:t>
      </w:r>
      <w:r w:rsidR="00D3549A">
        <w:rPr>
          <w:rFonts w:ascii="宋体" w:eastAsia="宋体" w:hAnsi="宋体" w:hint="eastAsia"/>
          <w:sz w:val="24"/>
          <w:szCs w:val="24"/>
        </w:rPr>
        <w:t>2020年4月30日</w:t>
      </w:r>
      <w:r w:rsidR="00EC7949" w:rsidRPr="00EC7949">
        <w:rPr>
          <w:rFonts w:ascii="宋体" w:eastAsia="宋体" w:hAnsi="宋体" w:hint="eastAsia"/>
          <w:sz w:val="24"/>
          <w:szCs w:val="24"/>
        </w:rPr>
        <w:t>暂停</w:t>
      </w:r>
      <w:r w:rsidR="00D3549A">
        <w:rPr>
          <w:rFonts w:ascii="宋体" w:eastAsia="宋体" w:hAnsi="宋体"/>
          <w:sz w:val="24"/>
          <w:szCs w:val="24"/>
        </w:rPr>
        <w:t>广发双债添利债券型证券投资基金</w:t>
      </w:r>
      <w:r w:rsidR="00A62112">
        <w:rPr>
          <w:rFonts w:ascii="宋体" w:eastAsia="宋体" w:hAnsi="宋体" w:hint="eastAsia"/>
          <w:sz w:val="24"/>
          <w:szCs w:val="24"/>
        </w:rPr>
        <w:t>（以下简称“本基金”）</w:t>
      </w:r>
      <w:r w:rsidR="00D3549A">
        <w:rPr>
          <w:rFonts w:ascii="宋体" w:eastAsia="宋体" w:hAnsi="宋体" w:hint="eastAsia"/>
          <w:sz w:val="24"/>
          <w:szCs w:val="24"/>
        </w:rPr>
        <w:t>机构投资者</w:t>
      </w:r>
      <w:r w:rsidR="00A62112">
        <w:rPr>
          <w:rFonts w:ascii="宋体" w:eastAsia="宋体" w:hAnsi="宋体" w:hint="eastAsia"/>
          <w:sz w:val="24"/>
          <w:szCs w:val="24"/>
        </w:rPr>
        <w:t>的</w:t>
      </w:r>
      <w:r w:rsidR="00EC7949" w:rsidRPr="00EC7949">
        <w:rPr>
          <w:rFonts w:ascii="宋体" w:eastAsia="宋体" w:hAnsi="宋体" w:hint="eastAsia"/>
          <w:sz w:val="24"/>
          <w:szCs w:val="24"/>
        </w:rPr>
        <w:t>申购</w:t>
      </w:r>
      <w:r w:rsidR="00D3549A" w:rsidRPr="00D3549A">
        <w:rPr>
          <w:rFonts w:ascii="宋体" w:eastAsia="宋体" w:hAnsi="宋体" w:hint="eastAsia"/>
          <w:sz w:val="24"/>
        </w:rPr>
        <w:t>（</w:t>
      </w:r>
      <w:r w:rsidR="00D3549A">
        <w:rPr>
          <w:rFonts w:ascii="宋体" w:eastAsia="宋体" w:hAnsi="宋体" w:hint="eastAsia"/>
          <w:sz w:val="24"/>
        </w:rPr>
        <w:t>含</w:t>
      </w:r>
      <w:r w:rsidR="00D3549A" w:rsidRPr="00D3549A">
        <w:rPr>
          <w:rFonts w:ascii="宋体" w:eastAsia="宋体" w:hAnsi="宋体" w:hint="eastAsia"/>
          <w:sz w:val="24"/>
        </w:rPr>
        <w:t>转换转入、定期定额和不定额投资）</w:t>
      </w:r>
      <w:r w:rsidR="00EC7949" w:rsidRPr="00EC7949">
        <w:rPr>
          <w:rFonts w:ascii="宋体" w:eastAsia="宋体" w:hAnsi="宋体" w:hint="eastAsia"/>
          <w:sz w:val="24"/>
          <w:szCs w:val="24"/>
        </w:rPr>
        <w:t>业务，具体措施如下：</w:t>
      </w:r>
      <w:r w:rsidR="00D3549A">
        <w:rPr>
          <w:rFonts w:ascii="宋体" w:eastAsia="宋体" w:hAnsi="宋体" w:hint="eastAsia"/>
          <w:sz w:val="24"/>
          <w:szCs w:val="24"/>
        </w:rPr>
        <w:t xml:space="preserve"> 2020年4月30日</w:t>
      </w:r>
      <w:r w:rsidR="00EC7949" w:rsidRPr="00EC7949">
        <w:rPr>
          <w:rFonts w:ascii="宋体" w:eastAsia="宋体" w:hAnsi="宋体" w:hint="eastAsia"/>
          <w:sz w:val="24"/>
          <w:szCs w:val="24"/>
        </w:rPr>
        <w:t>，</w:t>
      </w:r>
      <w:r w:rsidR="00A62112">
        <w:rPr>
          <w:rFonts w:ascii="宋体" w:eastAsia="宋体" w:hAnsi="宋体" w:hint="eastAsia"/>
          <w:sz w:val="24"/>
          <w:szCs w:val="24"/>
        </w:rPr>
        <w:t>本</w:t>
      </w:r>
      <w:r w:rsidR="00AC3D06">
        <w:rPr>
          <w:rFonts w:ascii="宋体" w:eastAsia="宋体" w:hAnsi="宋体" w:hint="eastAsia"/>
          <w:sz w:val="24"/>
          <w:szCs w:val="24"/>
        </w:rPr>
        <w:t>基金</w:t>
      </w:r>
      <w:r w:rsidR="00EC7949" w:rsidRPr="00EC7949">
        <w:rPr>
          <w:rFonts w:ascii="宋体" w:eastAsia="宋体" w:hAnsi="宋体" w:hint="eastAsia"/>
          <w:sz w:val="24"/>
          <w:szCs w:val="24"/>
        </w:rPr>
        <w:t>暂停</w:t>
      </w:r>
      <w:r w:rsidR="00D3549A">
        <w:rPr>
          <w:rFonts w:ascii="宋体" w:eastAsia="宋体" w:hAnsi="宋体" w:hint="eastAsia"/>
          <w:sz w:val="24"/>
          <w:szCs w:val="24"/>
        </w:rPr>
        <w:t>机构投资者</w:t>
      </w:r>
      <w:r w:rsidR="000C6E64">
        <w:rPr>
          <w:rFonts w:ascii="宋体" w:eastAsia="宋体" w:hAnsi="宋体"/>
          <w:sz w:val="24"/>
          <w:szCs w:val="24"/>
        </w:rPr>
        <w:t>的</w:t>
      </w:r>
      <w:r w:rsidR="00EC7949" w:rsidRPr="00EC7949">
        <w:rPr>
          <w:rFonts w:ascii="宋体" w:eastAsia="宋体" w:hAnsi="宋体" w:hint="eastAsia"/>
          <w:sz w:val="24"/>
          <w:szCs w:val="24"/>
        </w:rPr>
        <w:t>申购</w:t>
      </w:r>
      <w:r w:rsidR="00D3549A" w:rsidRPr="00D3549A">
        <w:rPr>
          <w:rFonts w:ascii="宋体" w:eastAsia="宋体" w:hAnsi="宋体" w:hint="eastAsia"/>
          <w:sz w:val="24"/>
        </w:rPr>
        <w:t>（</w:t>
      </w:r>
      <w:r w:rsidR="00D3549A">
        <w:rPr>
          <w:rFonts w:ascii="宋体" w:eastAsia="宋体" w:hAnsi="宋体" w:hint="eastAsia"/>
          <w:sz w:val="24"/>
        </w:rPr>
        <w:t>含</w:t>
      </w:r>
      <w:r w:rsidR="00D3549A" w:rsidRPr="00D3549A">
        <w:rPr>
          <w:rFonts w:ascii="宋体" w:eastAsia="宋体" w:hAnsi="宋体" w:hint="eastAsia"/>
          <w:sz w:val="24"/>
        </w:rPr>
        <w:t>转换转入、定期定额和不定额投资）</w:t>
      </w:r>
      <w:r w:rsidR="00EC7949" w:rsidRPr="00EC7949">
        <w:rPr>
          <w:rFonts w:ascii="宋体" w:eastAsia="宋体" w:hAnsi="宋体" w:hint="eastAsia"/>
          <w:sz w:val="24"/>
          <w:szCs w:val="24"/>
        </w:rPr>
        <w:t>业务。在本基金暂</w:t>
      </w:r>
      <w:r w:rsidR="00EC7949" w:rsidRPr="00EC7949">
        <w:rPr>
          <w:rFonts w:ascii="宋体" w:eastAsia="宋体" w:hAnsi="宋体" w:hint="eastAsia"/>
          <w:sz w:val="24"/>
          <w:szCs w:val="24"/>
        </w:rPr>
        <w:lastRenderedPageBreak/>
        <w:t>停</w:t>
      </w:r>
      <w:r w:rsidR="00D3549A">
        <w:rPr>
          <w:rFonts w:ascii="宋体" w:eastAsia="宋体" w:hAnsi="宋体" w:hint="eastAsia"/>
          <w:sz w:val="24"/>
          <w:szCs w:val="24"/>
        </w:rPr>
        <w:t>机构投资者</w:t>
      </w:r>
      <w:r w:rsidR="00D3549A" w:rsidRPr="00EC7949">
        <w:rPr>
          <w:rFonts w:ascii="宋体" w:eastAsia="宋体" w:hAnsi="宋体" w:hint="eastAsia"/>
          <w:sz w:val="24"/>
          <w:szCs w:val="24"/>
        </w:rPr>
        <w:t>申购</w:t>
      </w:r>
      <w:r w:rsidR="00D3549A" w:rsidRPr="00D3549A">
        <w:rPr>
          <w:rFonts w:ascii="宋体" w:eastAsia="宋体" w:hAnsi="宋体" w:hint="eastAsia"/>
          <w:sz w:val="24"/>
        </w:rPr>
        <w:t>（</w:t>
      </w:r>
      <w:r w:rsidR="00D3549A">
        <w:rPr>
          <w:rFonts w:ascii="宋体" w:eastAsia="宋体" w:hAnsi="宋体" w:hint="eastAsia"/>
          <w:sz w:val="24"/>
        </w:rPr>
        <w:t>含</w:t>
      </w:r>
      <w:r w:rsidR="00D3549A" w:rsidRPr="00D3549A">
        <w:rPr>
          <w:rFonts w:ascii="宋体" w:eastAsia="宋体" w:hAnsi="宋体" w:hint="eastAsia"/>
          <w:sz w:val="24"/>
        </w:rPr>
        <w:t>转换转入、定期定额和不定额投资）</w:t>
      </w:r>
      <w:r w:rsidR="00E7179A">
        <w:rPr>
          <w:rFonts w:ascii="宋体" w:eastAsia="宋体" w:hAnsi="宋体" w:hint="eastAsia"/>
          <w:sz w:val="24"/>
          <w:szCs w:val="24"/>
        </w:rPr>
        <w:t>业务</w:t>
      </w:r>
      <w:r w:rsidR="00EC7949" w:rsidRPr="00EC7949">
        <w:rPr>
          <w:rFonts w:ascii="宋体" w:eastAsia="宋体" w:hAnsi="宋体" w:hint="eastAsia"/>
          <w:sz w:val="24"/>
          <w:szCs w:val="24"/>
        </w:rPr>
        <w:t>期间，其它业务正常办理。</w:t>
      </w:r>
    </w:p>
    <w:p w:rsidR="00D3549A" w:rsidRDefault="00D3549A" w:rsidP="00E22E0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3549A">
        <w:rPr>
          <w:rFonts w:ascii="宋体" w:eastAsia="宋体" w:hAnsi="宋体" w:hint="eastAsia"/>
          <w:sz w:val="24"/>
          <w:szCs w:val="24"/>
        </w:rPr>
        <w:t>本基金将从2020年</w:t>
      </w:r>
      <w:r>
        <w:rPr>
          <w:rFonts w:ascii="宋体" w:eastAsia="宋体" w:hAnsi="宋体"/>
          <w:sz w:val="24"/>
          <w:szCs w:val="24"/>
        </w:rPr>
        <w:t>5</w:t>
      </w:r>
      <w:r w:rsidRPr="00D3549A"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/>
          <w:sz w:val="24"/>
          <w:szCs w:val="24"/>
        </w:rPr>
        <w:t>6</w:t>
      </w:r>
      <w:r w:rsidRPr="00D3549A">
        <w:rPr>
          <w:rFonts w:ascii="宋体" w:eastAsia="宋体" w:hAnsi="宋体" w:hint="eastAsia"/>
          <w:sz w:val="24"/>
          <w:szCs w:val="24"/>
        </w:rPr>
        <w:t>日起恢复</w:t>
      </w:r>
      <w:r>
        <w:rPr>
          <w:rFonts w:ascii="宋体" w:eastAsia="宋体" w:hAnsi="宋体" w:hint="eastAsia"/>
          <w:sz w:val="24"/>
          <w:szCs w:val="24"/>
        </w:rPr>
        <w:t>机构投资者的</w:t>
      </w:r>
      <w:r w:rsidRPr="00EC7949">
        <w:rPr>
          <w:rFonts w:ascii="宋体" w:eastAsia="宋体" w:hAnsi="宋体" w:hint="eastAsia"/>
          <w:sz w:val="24"/>
          <w:szCs w:val="24"/>
        </w:rPr>
        <w:t>申购</w:t>
      </w:r>
      <w:r w:rsidRPr="00D3549A">
        <w:rPr>
          <w:rFonts w:ascii="宋体" w:eastAsia="宋体" w:hAnsi="宋体" w:hint="eastAsia"/>
          <w:sz w:val="24"/>
        </w:rPr>
        <w:t>（</w:t>
      </w:r>
      <w:r>
        <w:rPr>
          <w:rFonts w:ascii="宋体" w:eastAsia="宋体" w:hAnsi="宋体" w:hint="eastAsia"/>
          <w:sz w:val="24"/>
        </w:rPr>
        <w:t>含</w:t>
      </w:r>
      <w:r w:rsidRPr="00D3549A">
        <w:rPr>
          <w:rFonts w:ascii="宋体" w:eastAsia="宋体" w:hAnsi="宋体" w:hint="eastAsia"/>
          <w:sz w:val="24"/>
        </w:rPr>
        <w:t>转换转入、定期定额和不定额投资）</w:t>
      </w:r>
      <w:r w:rsidRPr="00D3549A">
        <w:rPr>
          <w:rFonts w:ascii="宋体" w:eastAsia="宋体" w:hAnsi="宋体" w:hint="eastAsia"/>
          <w:sz w:val="24"/>
          <w:szCs w:val="24"/>
        </w:rPr>
        <w:t>业务，</w:t>
      </w:r>
      <w:r w:rsidR="00FE5888">
        <w:rPr>
          <w:rFonts w:ascii="宋体" w:eastAsia="宋体" w:hAnsi="宋体" w:hint="eastAsia"/>
          <w:sz w:val="24"/>
          <w:szCs w:val="24"/>
        </w:rPr>
        <w:t>并维持原</w:t>
      </w:r>
      <w:r w:rsidR="00FE5888" w:rsidRPr="00FE5888">
        <w:rPr>
          <w:rFonts w:ascii="宋体" w:eastAsia="宋体" w:hAnsi="宋体" w:hint="eastAsia"/>
          <w:sz w:val="24"/>
          <w:szCs w:val="24"/>
        </w:rPr>
        <w:t>3,000,000元</w:t>
      </w:r>
      <w:r w:rsidR="00FE5888">
        <w:rPr>
          <w:rFonts w:ascii="宋体" w:eastAsia="宋体" w:hAnsi="宋体" w:hint="eastAsia"/>
          <w:sz w:val="24"/>
          <w:szCs w:val="24"/>
        </w:rPr>
        <w:t>的申购限额，具体如下：</w:t>
      </w:r>
      <w:r w:rsidR="00FE5888" w:rsidRPr="00FE5888">
        <w:rPr>
          <w:rFonts w:ascii="宋体" w:eastAsia="宋体" w:hAnsi="宋体" w:hint="eastAsia"/>
          <w:sz w:val="24"/>
          <w:szCs w:val="24"/>
        </w:rPr>
        <w:t>机构投资者单日单个基金账户申购（含定期定额和不定额投资）及转换转入本基金的申请金额大于3,000,000元，则3,000,000元确认申购成功，超过3,000,000元（不含）金额的部分将有权确认失败；如机构投资者单日单个基金账户多笔累计申购本基金的金额大于3,000,000元，按申请金额从大到小排序，本公司将逐笔累加至3,000,000元的申请确认成功，其余超出部分的申请金额本公司有权确认失败。</w:t>
      </w:r>
      <w:r w:rsidR="00FE5888">
        <w:rPr>
          <w:rFonts w:ascii="宋体" w:eastAsia="宋体" w:hAnsi="宋体" w:hint="eastAsia"/>
          <w:sz w:val="24"/>
          <w:szCs w:val="24"/>
        </w:rPr>
        <w:t>机构</w:t>
      </w:r>
      <w:r w:rsidR="00FE5888" w:rsidRPr="00FE5888">
        <w:rPr>
          <w:rFonts w:ascii="宋体" w:eastAsia="宋体" w:hAnsi="宋体" w:hint="eastAsia"/>
          <w:sz w:val="24"/>
          <w:szCs w:val="24"/>
        </w:rPr>
        <w:t>投资者通过多家销售渠道的多笔申购（含定期定额和不定额投资业务）及转换转入申请将累计计算，不同份额的申请将单独计算限额，并按上述规则进行确认。</w:t>
      </w:r>
      <w:r w:rsidRPr="00D3549A">
        <w:rPr>
          <w:rFonts w:ascii="宋体" w:eastAsia="宋体" w:hAnsi="宋体" w:hint="eastAsia"/>
          <w:sz w:val="24"/>
          <w:szCs w:val="24"/>
        </w:rPr>
        <w:t>届时将不再另行公告。</w:t>
      </w:r>
    </w:p>
    <w:p w:rsidR="00AF29A4" w:rsidRDefault="00EC7949" w:rsidP="00E22E03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EC7949">
        <w:rPr>
          <w:rFonts w:ascii="宋体" w:eastAsia="宋体" w:hAnsi="宋体" w:hint="eastAsia"/>
          <w:sz w:val="24"/>
          <w:szCs w:val="24"/>
        </w:rPr>
        <w:t>如有疑问，请拨打本公司客户服务热线：95105828（免长途费）</w:t>
      </w:r>
      <w:r w:rsidR="00AE2C0B" w:rsidRPr="00AE2C0B">
        <w:rPr>
          <w:rFonts w:ascii="宋体" w:eastAsia="宋体" w:hAnsi="宋体" w:hint="eastAsia"/>
          <w:sz w:val="24"/>
          <w:szCs w:val="24"/>
        </w:rPr>
        <w:t>或020-83936999</w:t>
      </w:r>
      <w:r w:rsidRPr="00EC7949">
        <w:rPr>
          <w:rFonts w:ascii="宋体" w:eastAsia="宋体" w:hAnsi="宋体" w:hint="eastAsia"/>
          <w:sz w:val="24"/>
          <w:szCs w:val="24"/>
        </w:rPr>
        <w:t>，或登</w:t>
      </w:r>
      <w:r w:rsidR="00AE2C0B">
        <w:rPr>
          <w:rFonts w:ascii="宋体" w:eastAsia="宋体" w:hAnsi="宋体" w:hint="eastAsia"/>
          <w:sz w:val="24"/>
          <w:szCs w:val="24"/>
        </w:rPr>
        <w:t>录</w:t>
      </w:r>
      <w:r w:rsidRPr="00EC7949">
        <w:rPr>
          <w:rFonts w:ascii="宋体" w:eastAsia="宋体" w:hAnsi="宋体" w:hint="eastAsia"/>
          <w:sz w:val="24"/>
          <w:szCs w:val="24"/>
        </w:rPr>
        <w:t>本公司网站www.gffunds.com.cn获取相关信息。</w:t>
      </w:r>
    </w:p>
    <w:p w:rsidR="00AF29A4" w:rsidRPr="00A67CD1" w:rsidRDefault="00AF29A4" w:rsidP="00A67CD1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特此公告</w:t>
      </w:r>
      <w:r w:rsidR="003F64EB">
        <w:rPr>
          <w:rFonts w:ascii="宋体" w:eastAsia="宋体" w:hAnsi="宋体" w:hint="eastAsia"/>
          <w:sz w:val="24"/>
          <w:szCs w:val="24"/>
        </w:rPr>
        <w:t>。</w:t>
      </w:r>
    </w:p>
    <w:p w:rsidR="00EC7949" w:rsidRPr="00EC7949" w:rsidRDefault="00EC7949" w:rsidP="008D7C21">
      <w:pPr>
        <w:spacing w:line="360" w:lineRule="auto"/>
        <w:ind w:firstLineChars="200" w:firstLine="480"/>
        <w:jc w:val="right"/>
        <w:rPr>
          <w:rFonts w:ascii="宋体" w:eastAsia="宋体" w:hAnsi="宋体" w:hint="eastAsia"/>
          <w:sz w:val="24"/>
          <w:szCs w:val="24"/>
        </w:rPr>
      </w:pPr>
      <w:r w:rsidRPr="00EC7949">
        <w:rPr>
          <w:rFonts w:ascii="宋体" w:eastAsia="宋体" w:hAnsi="宋体" w:hint="eastAsia"/>
          <w:sz w:val="24"/>
          <w:szCs w:val="24"/>
        </w:rPr>
        <w:t>广发基金管理有限公司</w:t>
      </w:r>
    </w:p>
    <w:p w:rsidR="00EC7949" w:rsidRPr="00EC7949" w:rsidRDefault="00D3549A" w:rsidP="007A3D56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2020年4月30日</w:t>
      </w:r>
    </w:p>
    <w:sectPr w:rsidR="00EC7949" w:rsidRPr="00EC7949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37D" w:rsidRDefault="00E3737D" w:rsidP="00D327FA">
      <w:r>
        <w:separator/>
      </w:r>
    </w:p>
  </w:endnote>
  <w:endnote w:type="continuationSeparator" w:id="1">
    <w:p w:rsidR="00E3737D" w:rsidRDefault="00E3737D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37D" w:rsidRDefault="00E3737D" w:rsidP="00D327FA">
      <w:r>
        <w:separator/>
      </w:r>
    </w:p>
  </w:footnote>
  <w:footnote w:type="continuationSeparator" w:id="1">
    <w:p w:rsidR="00E3737D" w:rsidRDefault="00E3737D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7FA"/>
    <w:rsid w:val="00041353"/>
    <w:rsid w:val="00047657"/>
    <w:rsid w:val="0005054F"/>
    <w:rsid w:val="000A4901"/>
    <w:rsid w:val="000C6E64"/>
    <w:rsid w:val="000D2E06"/>
    <w:rsid w:val="000D472C"/>
    <w:rsid w:val="000E4CBF"/>
    <w:rsid w:val="000F55E1"/>
    <w:rsid w:val="000F6C65"/>
    <w:rsid w:val="001016D6"/>
    <w:rsid w:val="001235E1"/>
    <w:rsid w:val="001251D1"/>
    <w:rsid w:val="0013025A"/>
    <w:rsid w:val="001305D0"/>
    <w:rsid w:val="00180DA3"/>
    <w:rsid w:val="00181602"/>
    <w:rsid w:val="001946EA"/>
    <w:rsid w:val="001B4F9F"/>
    <w:rsid w:val="001D3B58"/>
    <w:rsid w:val="001E314F"/>
    <w:rsid w:val="00200D07"/>
    <w:rsid w:val="00211F1F"/>
    <w:rsid w:val="00225981"/>
    <w:rsid w:val="00245724"/>
    <w:rsid w:val="00250537"/>
    <w:rsid w:val="002547DA"/>
    <w:rsid w:val="00273ED9"/>
    <w:rsid w:val="0028431D"/>
    <w:rsid w:val="00285347"/>
    <w:rsid w:val="002935EF"/>
    <w:rsid w:val="00297148"/>
    <w:rsid w:val="002A6277"/>
    <w:rsid w:val="002F7241"/>
    <w:rsid w:val="0030516A"/>
    <w:rsid w:val="00327DA7"/>
    <w:rsid w:val="0033476C"/>
    <w:rsid w:val="003502B7"/>
    <w:rsid w:val="003522D8"/>
    <w:rsid w:val="00367619"/>
    <w:rsid w:val="0036784E"/>
    <w:rsid w:val="00390C0C"/>
    <w:rsid w:val="003A2B6F"/>
    <w:rsid w:val="003C7A0B"/>
    <w:rsid w:val="003D0DCF"/>
    <w:rsid w:val="003D3818"/>
    <w:rsid w:val="003E20D1"/>
    <w:rsid w:val="003F64EB"/>
    <w:rsid w:val="00406452"/>
    <w:rsid w:val="004114FB"/>
    <w:rsid w:val="00430EA9"/>
    <w:rsid w:val="00445925"/>
    <w:rsid w:val="004966BA"/>
    <w:rsid w:val="004979C2"/>
    <w:rsid w:val="004B1D96"/>
    <w:rsid w:val="004D6346"/>
    <w:rsid w:val="004E1296"/>
    <w:rsid w:val="004E6200"/>
    <w:rsid w:val="004E62CF"/>
    <w:rsid w:val="004F0521"/>
    <w:rsid w:val="004F51E8"/>
    <w:rsid w:val="005016A3"/>
    <w:rsid w:val="0051196C"/>
    <w:rsid w:val="005150FD"/>
    <w:rsid w:val="00517DC3"/>
    <w:rsid w:val="00520B8C"/>
    <w:rsid w:val="005279C1"/>
    <w:rsid w:val="00536E8E"/>
    <w:rsid w:val="0055497B"/>
    <w:rsid w:val="00565B0A"/>
    <w:rsid w:val="00583407"/>
    <w:rsid w:val="0059372C"/>
    <w:rsid w:val="00594AE1"/>
    <w:rsid w:val="00597161"/>
    <w:rsid w:val="005B2AB1"/>
    <w:rsid w:val="005B3230"/>
    <w:rsid w:val="005D1676"/>
    <w:rsid w:val="005D2BCA"/>
    <w:rsid w:val="005F2DBE"/>
    <w:rsid w:val="00603A93"/>
    <w:rsid w:val="00633C51"/>
    <w:rsid w:val="00646522"/>
    <w:rsid w:val="00663031"/>
    <w:rsid w:val="006667BD"/>
    <w:rsid w:val="00670689"/>
    <w:rsid w:val="006A0A5E"/>
    <w:rsid w:val="006E3683"/>
    <w:rsid w:val="006E5AF0"/>
    <w:rsid w:val="006F6FF5"/>
    <w:rsid w:val="0071631B"/>
    <w:rsid w:val="00717E30"/>
    <w:rsid w:val="0072142A"/>
    <w:rsid w:val="0073228C"/>
    <w:rsid w:val="00753E39"/>
    <w:rsid w:val="00762FED"/>
    <w:rsid w:val="00767C0D"/>
    <w:rsid w:val="00770DB7"/>
    <w:rsid w:val="00772753"/>
    <w:rsid w:val="00783E7C"/>
    <w:rsid w:val="00795DA6"/>
    <w:rsid w:val="007A3D56"/>
    <w:rsid w:val="007B0250"/>
    <w:rsid w:val="007B1D31"/>
    <w:rsid w:val="00815938"/>
    <w:rsid w:val="008226F0"/>
    <w:rsid w:val="008472DB"/>
    <w:rsid w:val="008712F5"/>
    <w:rsid w:val="008D6773"/>
    <w:rsid w:val="008D7C21"/>
    <w:rsid w:val="008E4901"/>
    <w:rsid w:val="008F21FF"/>
    <w:rsid w:val="009205EE"/>
    <w:rsid w:val="00956B0F"/>
    <w:rsid w:val="0098495D"/>
    <w:rsid w:val="00997026"/>
    <w:rsid w:val="009A7415"/>
    <w:rsid w:val="009B4299"/>
    <w:rsid w:val="009B647E"/>
    <w:rsid w:val="009C5858"/>
    <w:rsid w:val="009D15B6"/>
    <w:rsid w:val="00A13AF0"/>
    <w:rsid w:val="00A16A76"/>
    <w:rsid w:val="00A2638C"/>
    <w:rsid w:val="00A428CE"/>
    <w:rsid w:val="00A5181D"/>
    <w:rsid w:val="00A519D9"/>
    <w:rsid w:val="00A53D22"/>
    <w:rsid w:val="00A5414E"/>
    <w:rsid w:val="00A62112"/>
    <w:rsid w:val="00A65171"/>
    <w:rsid w:val="00A67CD1"/>
    <w:rsid w:val="00AC3D06"/>
    <w:rsid w:val="00AD7BDD"/>
    <w:rsid w:val="00AE2C0B"/>
    <w:rsid w:val="00AF024E"/>
    <w:rsid w:val="00AF2185"/>
    <w:rsid w:val="00AF29A4"/>
    <w:rsid w:val="00B055C7"/>
    <w:rsid w:val="00B101F7"/>
    <w:rsid w:val="00B215E6"/>
    <w:rsid w:val="00B40191"/>
    <w:rsid w:val="00B872E5"/>
    <w:rsid w:val="00BA3CC8"/>
    <w:rsid w:val="00BD0934"/>
    <w:rsid w:val="00BD545A"/>
    <w:rsid w:val="00BD601B"/>
    <w:rsid w:val="00BE6CE9"/>
    <w:rsid w:val="00BF4219"/>
    <w:rsid w:val="00C05A0A"/>
    <w:rsid w:val="00C23CD7"/>
    <w:rsid w:val="00C55D82"/>
    <w:rsid w:val="00C56BD9"/>
    <w:rsid w:val="00C612E6"/>
    <w:rsid w:val="00C70EDA"/>
    <w:rsid w:val="00CA7A6F"/>
    <w:rsid w:val="00D114B7"/>
    <w:rsid w:val="00D1480F"/>
    <w:rsid w:val="00D148DE"/>
    <w:rsid w:val="00D20E9C"/>
    <w:rsid w:val="00D327FA"/>
    <w:rsid w:val="00D3549A"/>
    <w:rsid w:val="00D37134"/>
    <w:rsid w:val="00D55EB1"/>
    <w:rsid w:val="00DC3DA1"/>
    <w:rsid w:val="00DC5D12"/>
    <w:rsid w:val="00DD22A8"/>
    <w:rsid w:val="00DF474C"/>
    <w:rsid w:val="00E02A12"/>
    <w:rsid w:val="00E02D07"/>
    <w:rsid w:val="00E22E03"/>
    <w:rsid w:val="00E27E59"/>
    <w:rsid w:val="00E3737D"/>
    <w:rsid w:val="00E42A76"/>
    <w:rsid w:val="00E4637C"/>
    <w:rsid w:val="00E669B6"/>
    <w:rsid w:val="00E7179A"/>
    <w:rsid w:val="00E830A4"/>
    <w:rsid w:val="00EC7949"/>
    <w:rsid w:val="00EE1823"/>
    <w:rsid w:val="00F033BC"/>
    <w:rsid w:val="00F03D4C"/>
    <w:rsid w:val="00F116EB"/>
    <w:rsid w:val="00F15B17"/>
    <w:rsid w:val="00F262A6"/>
    <w:rsid w:val="00F37A94"/>
    <w:rsid w:val="00F64447"/>
    <w:rsid w:val="00F67088"/>
    <w:rsid w:val="00FC4F66"/>
    <w:rsid w:val="00FC5D2F"/>
    <w:rsid w:val="00FE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/>
      <w:kern w:val="2"/>
      <w:sz w:val="32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kern w:val="0"/>
      <w:sz w:val="18"/>
      <w:lang/>
    </w:rPr>
  </w:style>
  <w:style w:type="character" w:customStyle="1" w:styleId="Char">
    <w:name w:val="脚注文本 Char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kern w:val="0"/>
      <w:sz w:val="18"/>
      <w:szCs w:val="18"/>
      <w:lang/>
    </w:rPr>
  </w:style>
  <w:style w:type="character" w:customStyle="1" w:styleId="Char0">
    <w:name w:val="批注框文本 Char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1">
    <w:name w:val="页眉 Char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2">
    <w:name w:val="页脚 Char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4</DocSecurity>
  <Lines>7</Lines>
  <Paragraphs>2</Paragraphs>
  <ScaleCrop>false</ScaleCrop>
  <Company>微软中国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JonMMx 2000</cp:lastModifiedBy>
  <cp:revision>2</cp:revision>
  <dcterms:created xsi:type="dcterms:W3CDTF">2020-04-29T18:16:00Z</dcterms:created>
  <dcterms:modified xsi:type="dcterms:W3CDTF">2020-04-29T18:16:00Z</dcterms:modified>
</cp:coreProperties>
</file>