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FB7" w:rsidRDefault="006D4FB7">
      <w:pPr>
        <w:spacing w:line="360" w:lineRule="auto"/>
        <w:jc w:val="center"/>
        <w:rPr>
          <w:rFonts w:ascii="宋体" w:hAnsi="宋体"/>
          <w:b/>
          <w:color w:val="000000"/>
          <w:sz w:val="28"/>
          <w:szCs w:val="28"/>
        </w:rPr>
      </w:pPr>
      <w:r>
        <w:rPr>
          <w:rFonts w:ascii="宋体" w:hAnsi="宋体" w:hint="eastAsia"/>
          <w:b/>
          <w:color w:val="000000"/>
          <w:sz w:val="28"/>
          <w:szCs w:val="28"/>
        </w:rPr>
        <w:t>易方达基金管理有限公司旗下部分开放式基金增加</w:t>
      </w:r>
      <w:r w:rsidR="002552D4">
        <w:rPr>
          <w:rFonts w:ascii="宋体" w:hAnsi="宋体" w:hint="eastAsia"/>
          <w:b/>
          <w:color w:val="000000"/>
          <w:sz w:val="28"/>
          <w:szCs w:val="28"/>
        </w:rPr>
        <w:t>东莞农村商业银行</w:t>
      </w:r>
      <w:r>
        <w:rPr>
          <w:rFonts w:ascii="宋体" w:hAnsi="宋体" w:hint="eastAsia"/>
          <w:b/>
          <w:color w:val="000000"/>
          <w:sz w:val="28"/>
          <w:szCs w:val="28"/>
        </w:rPr>
        <w:t>为销售机构的公告</w:t>
      </w:r>
    </w:p>
    <w:p w:rsidR="006D4FB7" w:rsidRPr="00E457C4" w:rsidRDefault="006D4FB7">
      <w:pPr>
        <w:spacing w:line="360" w:lineRule="auto"/>
        <w:ind w:firstLineChars="200" w:firstLine="420"/>
        <w:jc w:val="left"/>
        <w:rPr>
          <w:rStyle w:val="HTML2"/>
          <w:rFonts w:cs="Arial Unicode MS"/>
          <w:sz w:val="21"/>
          <w:szCs w:val="21"/>
        </w:rPr>
      </w:pPr>
      <w:r w:rsidRPr="00E457C4">
        <w:rPr>
          <w:rStyle w:val="HTML2"/>
          <w:rFonts w:cs="Arial Unicode MS"/>
          <w:sz w:val="21"/>
          <w:szCs w:val="21"/>
        </w:rPr>
        <w:t>根据易方达基金管理有限公司（以下简称“本公司”）与</w:t>
      </w:r>
      <w:r w:rsidR="002552D4" w:rsidRPr="00E457C4">
        <w:rPr>
          <w:rStyle w:val="HTML2"/>
          <w:rFonts w:cs="Arial Unicode MS" w:hint="eastAsia"/>
          <w:sz w:val="21"/>
          <w:szCs w:val="21"/>
        </w:rPr>
        <w:t>东莞农村商业银行股份有限公司</w:t>
      </w:r>
      <w:r w:rsidRPr="00E457C4">
        <w:rPr>
          <w:rFonts w:ascii="宋体" w:hAnsi="宋体" w:hint="eastAsia"/>
          <w:szCs w:val="21"/>
        </w:rPr>
        <w:t>（</w:t>
      </w:r>
      <w:r w:rsidRPr="00E457C4">
        <w:rPr>
          <w:rStyle w:val="HTML2"/>
          <w:rFonts w:cs="Arial Unicode MS" w:hint="eastAsia"/>
          <w:sz w:val="21"/>
          <w:szCs w:val="21"/>
        </w:rPr>
        <w:t>以下简称“</w:t>
      </w:r>
      <w:r w:rsidR="002552D4" w:rsidRPr="00E457C4">
        <w:rPr>
          <w:rStyle w:val="HTML2"/>
          <w:rFonts w:cs="Arial Unicode MS" w:hint="eastAsia"/>
          <w:sz w:val="21"/>
          <w:szCs w:val="21"/>
        </w:rPr>
        <w:t>东莞农村商业银行</w:t>
      </w:r>
      <w:r w:rsidRPr="00E457C4">
        <w:rPr>
          <w:rStyle w:val="HTML2"/>
          <w:rFonts w:cs="Arial Unicode MS" w:hint="eastAsia"/>
          <w:sz w:val="21"/>
          <w:szCs w:val="21"/>
        </w:rPr>
        <w:t>”）</w:t>
      </w:r>
      <w:r w:rsidRPr="00E457C4">
        <w:rPr>
          <w:rStyle w:val="HTML2"/>
          <w:rFonts w:cs="Arial Unicode MS"/>
          <w:sz w:val="21"/>
          <w:szCs w:val="21"/>
        </w:rPr>
        <w:t>签署的</w:t>
      </w:r>
      <w:r w:rsidRPr="00E457C4">
        <w:rPr>
          <w:rStyle w:val="HTML2"/>
          <w:rFonts w:cs="Arial Unicode MS" w:hint="eastAsia"/>
          <w:sz w:val="21"/>
          <w:szCs w:val="21"/>
        </w:rPr>
        <w:t>基金销售服务</w:t>
      </w:r>
      <w:r w:rsidRPr="00E457C4">
        <w:rPr>
          <w:rStyle w:val="HTML2"/>
          <w:rFonts w:cs="Arial Unicode MS"/>
          <w:sz w:val="21"/>
          <w:szCs w:val="21"/>
        </w:rPr>
        <w:t>协议，自2020年</w:t>
      </w:r>
      <w:r w:rsidR="0043422D">
        <w:rPr>
          <w:rStyle w:val="HTML2"/>
          <w:rFonts w:cs="Arial Unicode MS"/>
          <w:sz w:val="21"/>
          <w:szCs w:val="21"/>
        </w:rPr>
        <w:t>4</w:t>
      </w:r>
      <w:r w:rsidRPr="00E457C4">
        <w:rPr>
          <w:rStyle w:val="HTML2"/>
          <w:rFonts w:cs="Arial Unicode MS"/>
          <w:sz w:val="21"/>
          <w:szCs w:val="21"/>
        </w:rPr>
        <w:t>月</w:t>
      </w:r>
      <w:r w:rsidR="0043422D">
        <w:rPr>
          <w:rStyle w:val="HTML2"/>
          <w:rFonts w:cs="Arial Unicode MS"/>
          <w:sz w:val="21"/>
          <w:szCs w:val="21"/>
        </w:rPr>
        <w:t>29</w:t>
      </w:r>
      <w:r w:rsidRPr="00E457C4">
        <w:rPr>
          <w:rStyle w:val="HTML2"/>
          <w:rFonts w:cs="Arial Unicode MS"/>
          <w:sz w:val="21"/>
          <w:szCs w:val="21"/>
        </w:rPr>
        <w:t>日起，本公司增加</w:t>
      </w:r>
      <w:r w:rsidR="002552D4" w:rsidRPr="00E457C4">
        <w:rPr>
          <w:rFonts w:ascii="宋体" w:hAnsi="宋体" w:hint="eastAsia"/>
          <w:szCs w:val="21"/>
        </w:rPr>
        <w:t>东莞农村商业银行</w:t>
      </w:r>
      <w:r w:rsidRPr="00E457C4">
        <w:rPr>
          <w:rStyle w:val="HTML2"/>
          <w:rFonts w:cs="Arial Unicode MS" w:hint="eastAsia"/>
          <w:sz w:val="21"/>
          <w:szCs w:val="21"/>
        </w:rPr>
        <w:t>为旗下部分开放式基金销售机构并开通相关业务。</w:t>
      </w:r>
    </w:p>
    <w:p w:rsidR="006D4FB7" w:rsidRPr="00E457C4" w:rsidRDefault="006D4FB7">
      <w:pPr>
        <w:spacing w:line="360" w:lineRule="auto"/>
        <w:ind w:firstLineChars="200" w:firstLine="420"/>
        <w:jc w:val="left"/>
        <w:rPr>
          <w:rStyle w:val="HTML2"/>
          <w:rFonts w:cs="Arial Unicode MS"/>
          <w:sz w:val="21"/>
          <w:szCs w:val="21"/>
        </w:rPr>
      </w:pPr>
      <w:r w:rsidRPr="00E457C4">
        <w:rPr>
          <w:rStyle w:val="HTML2"/>
          <w:rFonts w:cs="Arial Unicode MS"/>
          <w:sz w:val="21"/>
          <w:szCs w:val="21"/>
        </w:rPr>
        <w:t>现将有关事项公告如下：</w:t>
      </w:r>
    </w:p>
    <w:p w:rsidR="006D4FB7" w:rsidRPr="00E457C4" w:rsidRDefault="006D4FB7">
      <w:pPr>
        <w:spacing w:line="360" w:lineRule="auto"/>
        <w:ind w:firstLineChars="200" w:firstLine="420"/>
        <w:jc w:val="left"/>
        <w:rPr>
          <w:rStyle w:val="HTML2"/>
          <w:rFonts w:cs="Arial Unicode MS"/>
          <w:sz w:val="21"/>
          <w:szCs w:val="21"/>
        </w:rPr>
      </w:pPr>
      <w:r w:rsidRPr="00E457C4">
        <w:rPr>
          <w:rStyle w:val="HTML2"/>
          <w:rFonts w:cs="Arial Unicode MS" w:hint="eastAsia"/>
          <w:sz w:val="21"/>
          <w:szCs w:val="21"/>
        </w:rPr>
        <w:t>一、</w:t>
      </w:r>
      <w:r w:rsidRPr="00E457C4">
        <w:rPr>
          <w:rFonts w:ascii="宋体" w:hAnsi="宋体" w:hint="eastAsia"/>
          <w:szCs w:val="21"/>
        </w:rPr>
        <w:t>适用基金及业务范围</w:t>
      </w:r>
    </w:p>
    <w:p w:rsidR="006D4FB7" w:rsidRPr="00E457C4" w:rsidRDefault="006D4FB7">
      <w:pPr>
        <w:spacing w:line="360" w:lineRule="auto"/>
        <w:ind w:firstLineChars="200" w:firstLine="420"/>
        <w:jc w:val="left"/>
        <w:rPr>
          <w:rStyle w:val="a8"/>
          <w:rFonts w:ascii="宋体" w:hAnsi="宋体" w:cs="Arial Unicode MS"/>
        </w:rPr>
      </w:pPr>
      <w:r w:rsidRPr="00E457C4">
        <w:rPr>
          <w:rStyle w:val="a8"/>
          <w:rFonts w:ascii="宋体" w:hAnsi="宋体" w:cs="Arial Unicode MS"/>
        </w:rPr>
        <w:t>投资者可通过</w:t>
      </w:r>
      <w:r w:rsidR="002552D4" w:rsidRPr="00E457C4">
        <w:rPr>
          <w:rStyle w:val="HTML2"/>
          <w:rFonts w:cs="Arial Unicode MS" w:hint="eastAsia"/>
          <w:sz w:val="21"/>
          <w:szCs w:val="21"/>
        </w:rPr>
        <w:t>东莞农村商业银行</w:t>
      </w:r>
      <w:r w:rsidRPr="00E457C4">
        <w:rPr>
          <w:rStyle w:val="a8"/>
          <w:rFonts w:ascii="宋体" w:hAnsi="宋体" w:cs="Arial Unicode MS"/>
        </w:rPr>
        <w:t>办理列表中对应基金的</w:t>
      </w:r>
      <w:r w:rsidRPr="00E457C4">
        <w:rPr>
          <w:rStyle w:val="a8"/>
          <w:rFonts w:ascii="宋体" w:hAnsi="宋体" w:cs="Arial Unicode MS" w:hint="eastAsia"/>
        </w:rPr>
        <w:t>相关</w:t>
      </w:r>
      <w:r w:rsidRPr="00E457C4">
        <w:rPr>
          <w:rStyle w:val="a8"/>
          <w:rFonts w:ascii="宋体" w:hAnsi="宋体" w:cs="Arial Unicode MS"/>
        </w:rPr>
        <w:t>业务，具体的业务流程、办理时间和办理方式以</w:t>
      </w:r>
      <w:r w:rsidR="002552D4" w:rsidRPr="00E457C4">
        <w:rPr>
          <w:rStyle w:val="a8"/>
          <w:rFonts w:ascii="宋体" w:hAnsi="宋体" w:cs="Arial Unicode MS" w:hint="eastAsia"/>
        </w:rPr>
        <w:t>东莞农村商业银行</w:t>
      </w:r>
      <w:r w:rsidRPr="00E457C4">
        <w:rPr>
          <w:rStyle w:val="a8"/>
          <w:rFonts w:ascii="宋体" w:hAnsi="宋体" w:cs="Arial Unicode MS"/>
        </w:rPr>
        <w:t>的规定为准。</w:t>
      </w:r>
    </w:p>
    <w:tbl>
      <w:tblPr>
        <w:tblW w:w="8359" w:type="dxa"/>
        <w:jc w:val="center"/>
        <w:tblInd w:w="113" w:type="dxa"/>
        <w:tblLook w:val="04A0"/>
      </w:tblPr>
      <w:tblGrid>
        <w:gridCol w:w="453"/>
        <w:gridCol w:w="850"/>
        <w:gridCol w:w="4280"/>
        <w:gridCol w:w="950"/>
        <w:gridCol w:w="865"/>
        <w:gridCol w:w="961"/>
      </w:tblGrid>
      <w:tr w:rsidR="0043422D" w:rsidRPr="00A770D4" w:rsidTr="00A770D4">
        <w:trPr>
          <w:trHeight w:val="527"/>
          <w:jc w:val="center"/>
        </w:trPr>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422D" w:rsidRPr="00A770D4" w:rsidRDefault="00CE3F08" w:rsidP="0043422D">
            <w:pPr>
              <w:widowControl/>
              <w:jc w:val="center"/>
              <w:rPr>
                <w:rFonts w:ascii="宋体" w:hAnsi="宋体" w:cs="宋体"/>
                <w:kern w:val="0"/>
                <w:szCs w:val="21"/>
              </w:rPr>
            </w:pPr>
            <w:r>
              <w:rPr>
                <w:rFonts w:ascii="宋体" w:hAnsi="宋体" w:hint="eastAsia"/>
                <w:szCs w:val="21"/>
              </w:rPr>
              <w:t>序</w:t>
            </w:r>
            <w:r w:rsidR="0043422D" w:rsidRPr="00CE3F08">
              <w:rPr>
                <w:rFonts w:ascii="宋体" w:hAnsi="宋体" w:hint="eastAsia"/>
                <w:szCs w:val="21"/>
              </w:rPr>
              <w:t>号</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43422D" w:rsidRPr="00CE3F08" w:rsidRDefault="0043422D" w:rsidP="0043422D">
            <w:pPr>
              <w:widowControl/>
              <w:jc w:val="center"/>
              <w:rPr>
                <w:rFonts w:ascii="宋体" w:hAnsi="宋体"/>
                <w:szCs w:val="21"/>
              </w:rPr>
            </w:pPr>
            <w:r w:rsidRPr="00CE3F08">
              <w:rPr>
                <w:rFonts w:ascii="宋体" w:hAnsi="宋体" w:hint="eastAsia"/>
                <w:szCs w:val="21"/>
              </w:rPr>
              <w:t>基金</w:t>
            </w:r>
          </w:p>
          <w:p w:rsidR="0043422D" w:rsidRPr="00A770D4" w:rsidRDefault="0043422D" w:rsidP="0043422D">
            <w:pPr>
              <w:widowControl/>
              <w:jc w:val="center"/>
              <w:rPr>
                <w:rFonts w:ascii="宋体" w:hAnsi="宋体" w:cs="宋体" w:hint="eastAsia"/>
                <w:kern w:val="0"/>
                <w:szCs w:val="21"/>
              </w:rPr>
            </w:pPr>
            <w:r w:rsidRPr="00CE3F08">
              <w:rPr>
                <w:rFonts w:ascii="宋体" w:hAnsi="宋体" w:hint="eastAsia"/>
                <w:szCs w:val="21"/>
              </w:rPr>
              <w:t>代码</w:t>
            </w:r>
          </w:p>
        </w:tc>
        <w:tc>
          <w:tcPr>
            <w:tcW w:w="4280" w:type="dxa"/>
            <w:tcBorders>
              <w:top w:val="single" w:sz="4" w:space="0" w:color="000000"/>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基金名称</w:t>
            </w:r>
          </w:p>
        </w:tc>
        <w:tc>
          <w:tcPr>
            <w:tcW w:w="950" w:type="dxa"/>
            <w:tcBorders>
              <w:top w:val="single" w:sz="4" w:space="0" w:color="000000"/>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申购赎回业务</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定期定额投资</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CE3F08" w:rsidRDefault="0043422D" w:rsidP="0043422D">
            <w:pPr>
              <w:widowControl/>
              <w:jc w:val="center"/>
              <w:rPr>
                <w:rFonts w:ascii="宋体" w:hAnsi="宋体" w:cs="宋体"/>
                <w:kern w:val="0"/>
                <w:szCs w:val="21"/>
              </w:rPr>
            </w:pPr>
            <w:r w:rsidRPr="00A770D4">
              <w:rPr>
                <w:rFonts w:ascii="宋体" w:hAnsi="宋体" w:cs="宋体" w:hint="eastAsia"/>
                <w:kern w:val="0"/>
                <w:szCs w:val="21"/>
              </w:rPr>
              <w:t>转换</w:t>
            </w:r>
          </w:p>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业务</w:t>
            </w:r>
          </w:p>
        </w:tc>
      </w:tr>
      <w:tr w:rsidR="0043422D" w:rsidRPr="00A770D4" w:rsidTr="00A770D4">
        <w:trPr>
          <w:trHeight w:val="311"/>
          <w:jc w:val="center"/>
        </w:trPr>
        <w:tc>
          <w:tcPr>
            <w:tcW w:w="453" w:type="dxa"/>
            <w:tcBorders>
              <w:top w:val="nil"/>
              <w:left w:val="single" w:sz="4" w:space="0" w:color="000000"/>
              <w:bottom w:val="single" w:sz="4" w:space="0" w:color="000000"/>
              <w:right w:val="single" w:sz="4" w:space="0" w:color="000000"/>
            </w:tcBorders>
            <w:shd w:val="clear" w:color="auto" w:fill="auto"/>
            <w:noWrap/>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1</w:t>
            </w:r>
          </w:p>
        </w:tc>
        <w:tc>
          <w:tcPr>
            <w:tcW w:w="85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000171</w:t>
            </w:r>
          </w:p>
        </w:tc>
        <w:tc>
          <w:tcPr>
            <w:tcW w:w="428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易方达裕丰回报债券型基金</w:t>
            </w:r>
          </w:p>
        </w:tc>
        <w:tc>
          <w:tcPr>
            <w:tcW w:w="95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865"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961"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r>
      <w:tr w:rsidR="0043422D" w:rsidRPr="00A770D4" w:rsidTr="00A770D4">
        <w:trPr>
          <w:trHeight w:val="311"/>
          <w:jc w:val="center"/>
        </w:trPr>
        <w:tc>
          <w:tcPr>
            <w:tcW w:w="453" w:type="dxa"/>
            <w:tcBorders>
              <w:top w:val="nil"/>
              <w:left w:val="single" w:sz="4" w:space="0" w:color="000000"/>
              <w:bottom w:val="single" w:sz="4" w:space="0" w:color="000000"/>
              <w:right w:val="single" w:sz="4" w:space="0" w:color="000000"/>
            </w:tcBorders>
            <w:shd w:val="clear" w:color="auto" w:fill="auto"/>
            <w:noWrap/>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2</w:t>
            </w:r>
          </w:p>
        </w:tc>
        <w:tc>
          <w:tcPr>
            <w:tcW w:w="85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001857</w:t>
            </w:r>
          </w:p>
        </w:tc>
        <w:tc>
          <w:tcPr>
            <w:tcW w:w="428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易方达现代服务业灵活配置混合型基金</w:t>
            </w:r>
          </w:p>
        </w:tc>
        <w:tc>
          <w:tcPr>
            <w:tcW w:w="95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865"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961"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r>
      <w:tr w:rsidR="0043422D" w:rsidRPr="00A770D4" w:rsidTr="00A770D4">
        <w:trPr>
          <w:trHeight w:val="311"/>
          <w:jc w:val="center"/>
        </w:trPr>
        <w:tc>
          <w:tcPr>
            <w:tcW w:w="453" w:type="dxa"/>
            <w:tcBorders>
              <w:top w:val="nil"/>
              <w:left w:val="single" w:sz="4" w:space="0" w:color="000000"/>
              <w:bottom w:val="single" w:sz="4" w:space="0" w:color="000000"/>
              <w:right w:val="single" w:sz="4" w:space="0" w:color="000000"/>
            </w:tcBorders>
            <w:shd w:val="clear" w:color="auto" w:fill="auto"/>
            <w:noWrap/>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3</w:t>
            </w:r>
          </w:p>
        </w:tc>
        <w:tc>
          <w:tcPr>
            <w:tcW w:w="85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002216</w:t>
            </w:r>
          </w:p>
        </w:tc>
        <w:tc>
          <w:tcPr>
            <w:tcW w:w="428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易方达量化策略精选灵活配置混合型基金A</w:t>
            </w:r>
          </w:p>
        </w:tc>
        <w:tc>
          <w:tcPr>
            <w:tcW w:w="95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865"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961"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r>
      <w:tr w:rsidR="0043422D" w:rsidRPr="00A770D4" w:rsidTr="00A770D4">
        <w:trPr>
          <w:trHeight w:val="311"/>
          <w:jc w:val="center"/>
        </w:trPr>
        <w:tc>
          <w:tcPr>
            <w:tcW w:w="453" w:type="dxa"/>
            <w:tcBorders>
              <w:top w:val="nil"/>
              <w:left w:val="single" w:sz="4" w:space="0" w:color="000000"/>
              <w:bottom w:val="single" w:sz="4" w:space="0" w:color="000000"/>
              <w:right w:val="single" w:sz="4" w:space="0" w:color="000000"/>
            </w:tcBorders>
            <w:shd w:val="clear" w:color="auto" w:fill="auto"/>
            <w:noWrap/>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4</w:t>
            </w:r>
          </w:p>
        </w:tc>
        <w:tc>
          <w:tcPr>
            <w:tcW w:w="85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002217</w:t>
            </w:r>
          </w:p>
        </w:tc>
        <w:tc>
          <w:tcPr>
            <w:tcW w:w="428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易方达量化策略精选灵活配置混合型基金C</w:t>
            </w:r>
          </w:p>
        </w:tc>
        <w:tc>
          <w:tcPr>
            <w:tcW w:w="95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865"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961"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r>
      <w:tr w:rsidR="0043422D" w:rsidRPr="00A770D4" w:rsidTr="00A770D4">
        <w:trPr>
          <w:trHeight w:val="311"/>
          <w:jc w:val="center"/>
        </w:trPr>
        <w:tc>
          <w:tcPr>
            <w:tcW w:w="453" w:type="dxa"/>
            <w:tcBorders>
              <w:top w:val="nil"/>
              <w:left w:val="single" w:sz="4" w:space="0" w:color="000000"/>
              <w:bottom w:val="single" w:sz="4" w:space="0" w:color="000000"/>
              <w:right w:val="single" w:sz="4" w:space="0" w:color="000000"/>
            </w:tcBorders>
            <w:shd w:val="clear" w:color="auto" w:fill="auto"/>
            <w:noWrap/>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5</w:t>
            </w:r>
          </w:p>
        </w:tc>
        <w:tc>
          <w:tcPr>
            <w:tcW w:w="85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002963</w:t>
            </w:r>
          </w:p>
        </w:tc>
        <w:tc>
          <w:tcPr>
            <w:tcW w:w="428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易方达黄金交易型开放式基金联接基金C</w:t>
            </w:r>
          </w:p>
        </w:tc>
        <w:tc>
          <w:tcPr>
            <w:tcW w:w="95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865"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961"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r>
      <w:tr w:rsidR="0043422D" w:rsidRPr="00A770D4" w:rsidTr="00A770D4">
        <w:trPr>
          <w:trHeight w:val="311"/>
          <w:jc w:val="center"/>
        </w:trPr>
        <w:tc>
          <w:tcPr>
            <w:tcW w:w="453" w:type="dxa"/>
            <w:tcBorders>
              <w:top w:val="nil"/>
              <w:left w:val="single" w:sz="4" w:space="0" w:color="000000"/>
              <w:bottom w:val="single" w:sz="4" w:space="0" w:color="000000"/>
              <w:right w:val="single" w:sz="4" w:space="0" w:color="000000"/>
            </w:tcBorders>
            <w:shd w:val="clear" w:color="auto" w:fill="auto"/>
            <w:noWrap/>
            <w:vAlign w:val="center"/>
            <w:hideMark/>
          </w:tcPr>
          <w:p w:rsidR="0043422D" w:rsidRPr="00A770D4" w:rsidRDefault="005A3BE8" w:rsidP="0043422D">
            <w:pPr>
              <w:widowControl/>
              <w:jc w:val="center"/>
              <w:rPr>
                <w:rFonts w:ascii="宋体" w:hAnsi="宋体" w:cs="宋体" w:hint="eastAsia"/>
                <w:kern w:val="0"/>
                <w:szCs w:val="21"/>
              </w:rPr>
            </w:pPr>
            <w:r>
              <w:rPr>
                <w:rFonts w:ascii="宋体" w:hAnsi="宋体" w:cs="宋体" w:hint="eastAsia"/>
                <w:kern w:val="0"/>
                <w:szCs w:val="21"/>
              </w:rPr>
              <w:t>6</w:t>
            </w:r>
          </w:p>
        </w:tc>
        <w:tc>
          <w:tcPr>
            <w:tcW w:w="85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004742</w:t>
            </w:r>
          </w:p>
        </w:tc>
        <w:tc>
          <w:tcPr>
            <w:tcW w:w="428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易方达深证100交易型开放式指数基金联接基金C</w:t>
            </w:r>
          </w:p>
        </w:tc>
        <w:tc>
          <w:tcPr>
            <w:tcW w:w="95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865"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961"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r>
      <w:tr w:rsidR="0043422D" w:rsidRPr="00A770D4" w:rsidTr="00A770D4">
        <w:trPr>
          <w:trHeight w:val="311"/>
          <w:jc w:val="center"/>
        </w:trPr>
        <w:tc>
          <w:tcPr>
            <w:tcW w:w="453" w:type="dxa"/>
            <w:tcBorders>
              <w:top w:val="nil"/>
              <w:left w:val="single" w:sz="4" w:space="0" w:color="000000"/>
              <w:bottom w:val="single" w:sz="4" w:space="0" w:color="000000"/>
              <w:right w:val="single" w:sz="4" w:space="0" w:color="000000"/>
            </w:tcBorders>
            <w:shd w:val="clear" w:color="auto" w:fill="auto"/>
            <w:noWrap/>
            <w:vAlign w:val="center"/>
            <w:hideMark/>
          </w:tcPr>
          <w:p w:rsidR="0043422D" w:rsidRPr="00A770D4" w:rsidRDefault="005A3BE8" w:rsidP="0043422D">
            <w:pPr>
              <w:widowControl/>
              <w:jc w:val="center"/>
              <w:rPr>
                <w:rFonts w:ascii="宋体" w:hAnsi="宋体" w:cs="宋体" w:hint="eastAsia"/>
                <w:kern w:val="0"/>
                <w:szCs w:val="21"/>
              </w:rPr>
            </w:pPr>
            <w:r>
              <w:rPr>
                <w:rFonts w:ascii="宋体" w:hAnsi="宋体" w:cs="宋体" w:hint="eastAsia"/>
                <w:kern w:val="0"/>
                <w:szCs w:val="21"/>
              </w:rPr>
              <w:t>7</w:t>
            </w:r>
          </w:p>
        </w:tc>
        <w:tc>
          <w:tcPr>
            <w:tcW w:w="85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004743</w:t>
            </w:r>
          </w:p>
        </w:tc>
        <w:tc>
          <w:tcPr>
            <w:tcW w:w="428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易方达上证中盘交易型开放式指数基金联接基金C</w:t>
            </w:r>
          </w:p>
        </w:tc>
        <w:tc>
          <w:tcPr>
            <w:tcW w:w="95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865"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961"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r>
      <w:tr w:rsidR="0043422D" w:rsidRPr="00A770D4" w:rsidTr="00A770D4">
        <w:trPr>
          <w:trHeight w:val="311"/>
          <w:jc w:val="center"/>
        </w:trPr>
        <w:tc>
          <w:tcPr>
            <w:tcW w:w="453" w:type="dxa"/>
            <w:tcBorders>
              <w:top w:val="nil"/>
              <w:left w:val="single" w:sz="4" w:space="0" w:color="000000"/>
              <w:bottom w:val="single" w:sz="4" w:space="0" w:color="000000"/>
              <w:right w:val="single" w:sz="4" w:space="0" w:color="000000"/>
            </w:tcBorders>
            <w:shd w:val="clear" w:color="auto" w:fill="auto"/>
            <w:noWrap/>
            <w:vAlign w:val="center"/>
            <w:hideMark/>
          </w:tcPr>
          <w:p w:rsidR="0043422D" w:rsidRPr="00A770D4" w:rsidRDefault="005A3BE8" w:rsidP="0043422D">
            <w:pPr>
              <w:widowControl/>
              <w:jc w:val="center"/>
              <w:rPr>
                <w:rFonts w:ascii="宋体" w:hAnsi="宋体" w:cs="宋体" w:hint="eastAsia"/>
                <w:kern w:val="0"/>
                <w:szCs w:val="21"/>
              </w:rPr>
            </w:pPr>
            <w:r>
              <w:rPr>
                <w:rFonts w:ascii="宋体" w:hAnsi="宋体" w:cs="宋体" w:hint="eastAsia"/>
                <w:kern w:val="0"/>
                <w:szCs w:val="21"/>
              </w:rPr>
              <w:t>8</w:t>
            </w:r>
          </w:p>
        </w:tc>
        <w:tc>
          <w:tcPr>
            <w:tcW w:w="85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004744</w:t>
            </w:r>
          </w:p>
        </w:tc>
        <w:tc>
          <w:tcPr>
            <w:tcW w:w="428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易方达创业板交易型开放式指数基金联接基金C</w:t>
            </w:r>
          </w:p>
        </w:tc>
        <w:tc>
          <w:tcPr>
            <w:tcW w:w="95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865"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961"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r>
      <w:tr w:rsidR="0043422D" w:rsidRPr="00A770D4" w:rsidTr="00A770D4">
        <w:trPr>
          <w:trHeight w:val="311"/>
          <w:jc w:val="center"/>
        </w:trPr>
        <w:tc>
          <w:tcPr>
            <w:tcW w:w="453" w:type="dxa"/>
            <w:tcBorders>
              <w:top w:val="nil"/>
              <w:left w:val="single" w:sz="4" w:space="0" w:color="000000"/>
              <w:bottom w:val="single" w:sz="4" w:space="0" w:color="000000"/>
              <w:right w:val="single" w:sz="4" w:space="0" w:color="000000"/>
            </w:tcBorders>
            <w:shd w:val="clear" w:color="auto" w:fill="auto"/>
            <w:noWrap/>
            <w:vAlign w:val="center"/>
            <w:hideMark/>
          </w:tcPr>
          <w:p w:rsidR="0043422D" w:rsidRPr="00A770D4" w:rsidRDefault="005A3BE8" w:rsidP="0043422D">
            <w:pPr>
              <w:widowControl/>
              <w:jc w:val="center"/>
              <w:rPr>
                <w:rFonts w:ascii="宋体" w:hAnsi="宋体" w:cs="宋体" w:hint="eastAsia"/>
                <w:kern w:val="0"/>
                <w:szCs w:val="21"/>
              </w:rPr>
            </w:pPr>
            <w:r>
              <w:rPr>
                <w:rFonts w:ascii="宋体" w:hAnsi="宋体" w:cs="宋体" w:hint="eastAsia"/>
                <w:kern w:val="0"/>
                <w:szCs w:val="21"/>
              </w:rPr>
              <w:t>9</w:t>
            </w:r>
          </w:p>
        </w:tc>
        <w:tc>
          <w:tcPr>
            <w:tcW w:w="85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004746</w:t>
            </w:r>
          </w:p>
        </w:tc>
        <w:tc>
          <w:tcPr>
            <w:tcW w:w="428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易方达50指数基金C</w:t>
            </w:r>
          </w:p>
        </w:tc>
        <w:tc>
          <w:tcPr>
            <w:tcW w:w="95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865"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961"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r>
      <w:tr w:rsidR="0043422D" w:rsidRPr="00A770D4" w:rsidTr="00A770D4">
        <w:trPr>
          <w:trHeight w:val="311"/>
          <w:jc w:val="center"/>
        </w:trPr>
        <w:tc>
          <w:tcPr>
            <w:tcW w:w="453" w:type="dxa"/>
            <w:tcBorders>
              <w:top w:val="nil"/>
              <w:left w:val="single" w:sz="4" w:space="0" w:color="000000"/>
              <w:bottom w:val="single" w:sz="4" w:space="0" w:color="000000"/>
              <w:right w:val="single" w:sz="4" w:space="0" w:color="000000"/>
            </w:tcBorders>
            <w:shd w:val="clear" w:color="auto" w:fill="auto"/>
            <w:noWrap/>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1</w:t>
            </w:r>
            <w:r w:rsidR="005A3BE8">
              <w:rPr>
                <w:rFonts w:ascii="宋体" w:hAnsi="宋体" w:cs="宋体" w:hint="eastAsia"/>
                <w:kern w:val="0"/>
                <w:szCs w:val="21"/>
              </w:rPr>
              <w:t>0</w:t>
            </w:r>
          </w:p>
        </w:tc>
        <w:tc>
          <w:tcPr>
            <w:tcW w:w="85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006533</w:t>
            </w:r>
          </w:p>
        </w:tc>
        <w:tc>
          <w:tcPr>
            <w:tcW w:w="428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5A3BE8">
            <w:pPr>
              <w:widowControl/>
              <w:jc w:val="center"/>
              <w:rPr>
                <w:rFonts w:ascii="宋体" w:hAnsi="宋体" w:cs="宋体" w:hint="eastAsia"/>
                <w:kern w:val="0"/>
                <w:szCs w:val="21"/>
              </w:rPr>
            </w:pPr>
            <w:r w:rsidRPr="00A770D4">
              <w:rPr>
                <w:rFonts w:ascii="宋体" w:hAnsi="宋体" w:cs="宋体" w:hint="eastAsia"/>
                <w:kern w:val="0"/>
                <w:szCs w:val="21"/>
              </w:rPr>
              <w:t>易方达科融混合型基金</w:t>
            </w:r>
          </w:p>
        </w:tc>
        <w:tc>
          <w:tcPr>
            <w:tcW w:w="95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865"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961"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r>
      <w:tr w:rsidR="0043422D" w:rsidRPr="00A770D4" w:rsidTr="00A770D4">
        <w:trPr>
          <w:trHeight w:val="527"/>
          <w:jc w:val="center"/>
        </w:trPr>
        <w:tc>
          <w:tcPr>
            <w:tcW w:w="453" w:type="dxa"/>
            <w:tcBorders>
              <w:top w:val="nil"/>
              <w:left w:val="single" w:sz="4" w:space="0" w:color="000000"/>
              <w:bottom w:val="single" w:sz="4" w:space="0" w:color="000000"/>
              <w:right w:val="single" w:sz="4" w:space="0" w:color="000000"/>
            </w:tcBorders>
            <w:shd w:val="clear" w:color="auto" w:fill="auto"/>
            <w:noWrap/>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1</w:t>
            </w:r>
            <w:r w:rsidR="005A3BE8">
              <w:rPr>
                <w:rFonts w:ascii="宋体" w:hAnsi="宋体" w:cs="宋体" w:hint="eastAsia"/>
                <w:kern w:val="0"/>
                <w:szCs w:val="21"/>
              </w:rPr>
              <w:t>1</w:t>
            </w:r>
          </w:p>
        </w:tc>
        <w:tc>
          <w:tcPr>
            <w:tcW w:w="85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006704</w:t>
            </w:r>
          </w:p>
        </w:tc>
        <w:tc>
          <w:tcPr>
            <w:tcW w:w="428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5A3BE8">
            <w:pPr>
              <w:widowControl/>
              <w:jc w:val="center"/>
              <w:rPr>
                <w:rFonts w:ascii="宋体" w:hAnsi="宋体" w:cs="宋体" w:hint="eastAsia"/>
                <w:kern w:val="0"/>
                <w:szCs w:val="21"/>
              </w:rPr>
            </w:pPr>
            <w:r w:rsidRPr="00A770D4">
              <w:rPr>
                <w:rFonts w:ascii="宋体" w:hAnsi="宋体" w:cs="宋体" w:hint="eastAsia"/>
                <w:kern w:val="0"/>
                <w:szCs w:val="21"/>
              </w:rPr>
              <w:t>易方达MSCI中国A股国际通交易型开放式指数基金发起式联接基金A</w:t>
            </w:r>
          </w:p>
        </w:tc>
        <w:tc>
          <w:tcPr>
            <w:tcW w:w="95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865"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961"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r>
      <w:tr w:rsidR="0043422D" w:rsidRPr="00A770D4" w:rsidTr="00A770D4">
        <w:trPr>
          <w:trHeight w:val="527"/>
          <w:jc w:val="center"/>
        </w:trPr>
        <w:tc>
          <w:tcPr>
            <w:tcW w:w="453" w:type="dxa"/>
            <w:tcBorders>
              <w:top w:val="nil"/>
              <w:left w:val="single" w:sz="4" w:space="0" w:color="000000"/>
              <w:bottom w:val="single" w:sz="4" w:space="0" w:color="000000"/>
              <w:right w:val="single" w:sz="4" w:space="0" w:color="000000"/>
            </w:tcBorders>
            <w:shd w:val="clear" w:color="auto" w:fill="auto"/>
            <w:noWrap/>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1</w:t>
            </w:r>
            <w:r w:rsidR="005A3BE8">
              <w:rPr>
                <w:rFonts w:ascii="宋体" w:hAnsi="宋体" w:cs="宋体" w:hint="eastAsia"/>
                <w:kern w:val="0"/>
                <w:szCs w:val="21"/>
              </w:rPr>
              <w:t>2</w:t>
            </w:r>
          </w:p>
        </w:tc>
        <w:tc>
          <w:tcPr>
            <w:tcW w:w="85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006705</w:t>
            </w:r>
          </w:p>
        </w:tc>
        <w:tc>
          <w:tcPr>
            <w:tcW w:w="428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5A3BE8">
            <w:pPr>
              <w:widowControl/>
              <w:jc w:val="center"/>
              <w:rPr>
                <w:rFonts w:ascii="宋体" w:hAnsi="宋体" w:cs="宋体" w:hint="eastAsia"/>
                <w:kern w:val="0"/>
                <w:szCs w:val="21"/>
              </w:rPr>
            </w:pPr>
            <w:r w:rsidRPr="00A770D4">
              <w:rPr>
                <w:rFonts w:ascii="宋体" w:hAnsi="宋体" w:cs="宋体" w:hint="eastAsia"/>
                <w:kern w:val="0"/>
                <w:szCs w:val="21"/>
              </w:rPr>
              <w:t>易方达MSCI中国A股国际通交易型开放式指数基金发起式联接基金C</w:t>
            </w:r>
          </w:p>
        </w:tc>
        <w:tc>
          <w:tcPr>
            <w:tcW w:w="95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865"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961"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r>
      <w:tr w:rsidR="0043422D" w:rsidRPr="00A770D4" w:rsidTr="00A770D4">
        <w:trPr>
          <w:trHeight w:val="311"/>
          <w:jc w:val="center"/>
        </w:trPr>
        <w:tc>
          <w:tcPr>
            <w:tcW w:w="453" w:type="dxa"/>
            <w:tcBorders>
              <w:top w:val="nil"/>
              <w:left w:val="single" w:sz="4" w:space="0" w:color="000000"/>
              <w:bottom w:val="single" w:sz="4" w:space="0" w:color="000000"/>
              <w:right w:val="single" w:sz="4" w:space="0" w:color="000000"/>
            </w:tcBorders>
            <w:shd w:val="clear" w:color="auto" w:fill="auto"/>
            <w:noWrap/>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1</w:t>
            </w:r>
            <w:r w:rsidR="005A3BE8">
              <w:rPr>
                <w:rFonts w:ascii="宋体" w:hAnsi="宋体" w:cs="宋体" w:hint="eastAsia"/>
                <w:kern w:val="0"/>
                <w:szCs w:val="21"/>
              </w:rPr>
              <w:t>3</w:t>
            </w:r>
          </w:p>
        </w:tc>
        <w:tc>
          <w:tcPr>
            <w:tcW w:w="85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007028</w:t>
            </w:r>
          </w:p>
        </w:tc>
        <w:tc>
          <w:tcPr>
            <w:tcW w:w="428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易方达中证500交易型开放式指数基金发起式联接基金A</w:t>
            </w:r>
          </w:p>
        </w:tc>
        <w:tc>
          <w:tcPr>
            <w:tcW w:w="95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865"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961"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r>
      <w:tr w:rsidR="0043422D" w:rsidRPr="00A770D4" w:rsidTr="00A770D4">
        <w:trPr>
          <w:trHeight w:val="311"/>
          <w:jc w:val="center"/>
        </w:trPr>
        <w:tc>
          <w:tcPr>
            <w:tcW w:w="453" w:type="dxa"/>
            <w:tcBorders>
              <w:top w:val="nil"/>
              <w:left w:val="single" w:sz="4" w:space="0" w:color="000000"/>
              <w:bottom w:val="single" w:sz="4" w:space="0" w:color="000000"/>
              <w:right w:val="single" w:sz="4" w:space="0" w:color="000000"/>
            </w:tcBorders>
            <w:shd w:val="clear" w:color="auto" w:fill="auto"/>
            <w:noWrap/>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1</w:t>
            </w:r>
            <w:r w:rsidR="005A3BE8">
              <w:rPr>
                <w:rFonts w:ascii="宋体" w:hAnsi="宋体" w:cs="宋体" w:hint="eastAsia"/>
                <w:kern w:val="0"/>
                <w:szCs w:val="21"/>
              </w:rPr>
              <w:t>4</w:t>
            </w:r>
          </w:p>
        </w:tc>
        <w:tc>
          <w:tcPr>
            <w:tcW w:w="85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007029</w:t>
            </w:r>
          </w:p>
        </w:tc>
        <w:tc>
          <w:tcPr>
            <w:tcW w:w="428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易方达中证500交易型开放式指数基金发起式联接基金C</w:t>
            </w:r>
          </w:p>
        </w:tc>
        <w:tc>
          <w:tcPr>
            <w:tcW w:w="95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865"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961"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r>
      <w:tr w:rsidR="0043422D" w:rsidRPr="00A770D4" w:rsidTr="00A770D4">
        <w:trPr>
          <w:trHeight w:val="311"/>
          <w:jc w:val="center"/>
        </w:trPr>
        <w:tc>
          <w:tcPr>
            <w:tcW w:w="453" w:type="dxa"/>
            <w:tcBorders>
              <w:top w:val="nil"/>
              <w:left w:val="single" w:sz="4" w:space="0" w:color="000000"/>
              <w:bottom w:val="single" w:sz="4" w:space="0" w:color="000000"/>
              <w:right w:val="single" w:sz="4" w:space="0" w:color="000000"/>
            </w:tcBorders>
            <w:shd w:val="clear" w:color="auto" w:fill="auto"/>
            <w:noWrap/>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1</w:t>
            </w:r>
            <w:r w:rsidR="005A3BE8">
              <w:rPr>
                <w:rFonts w:ascii="宋体" w:hAnsi="宋体" w:cs="宋体" w:hint="eastAsia"/>
                <w:kern w:val="0"/>
                <w:szCs w:val="21"/>
              </w:rPr>
              <w:t>5</w:t>
            </w:r>
          </w:p>
        </w:tc>
        <w:tc>
          <w:tcPr>
            <w:tcW w:w="85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007339</w:t>
            </w:r>
          </w:p>
        </w:tc>
        <w:tc>
          <w:tcPr>
            <w:tcW w:w="428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易方达沪深300交易型开放式指数发起式基金联接基金C</w:t>
            </w:r>
          </w:p>
        </w:tc>
        <w:tc>
          <w:tcPr>
            <w:tcW w:w="95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865"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961"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r>
      <w:tr w:rsidR="0043422D" w:rsidRPr="00A770D4" w:rsidTr="00A770D4">
        <w:trPr>
          <w:trHeight w:val="527"/>
          <w:jc w:val="center"/>
        </w:trPr>
        <w:tc>
          <w:tcPr>
            <w:tcW w:w="453" w:type="dxa"/>
            <w:tcBorders>
              <w:top w:val="nil"/>
              <w:left w:val="single" w:sz="4" w:space="0" w:color="000000"/>
              <w:bottom w:val="single" w:sz="4" w:space="0" w:color="000000"/>
              <w:right w:val="single" w:sz="4" w:space="0" w:color="000000"/>
            </w:tcBorders>
            <w:shd w:val="clear" w:color="auto" w:fill="auto"/>
            <w:noWrap/>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1</w:t>
            </w:r>
            <w:r w:rsidR="005A3BE8">
              <w:rPr>
                <w:rFonts w:ascii="宋体" w:hAnsi="宋体" w:cs="宋体" w:hint="eastAsia"/>
                <w:kern w:val="0"/>
                <w:szCs w:val="21"/>
              </w:rPr>
              <w:t>6</w:t>
            </w:r>
          </w:p>
        </w:tc>
        <w:tc>
          <w:tcPr>
            <w:tcW w:w="85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007360</w:t>
            </w:r>
          </w:p>
        </w:tc>
        <w:tc>
          <w:tcPr>
            <w:tcW w:w="428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易方达中短期美元债债券型基金（QDII）A类人民币基金份额</w:t>
            </w:r>
          </w:p>
        </w:tc>
        <w:tc>
          <w:tcPr>
            <w:tcW w:w="950"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865"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961" w:type="dxa"/>
            <w:tcBorders>
              <w:top w:val="nil"/>
              <w:left w:val="nil"/>
              <w:bottom w:val="single" w:sz="4" w:space="0" w:color="000000"/>
              <w:right w:val="single" w:sz="4" w:space="0" w:color="000000"/>
            </w:tcBorders>
            <w:shd w:val="clear" w:color="auto" w:fill="auto"/>
            <w:vAlign w:val="center"/>
            <w:hideMark/>
          </w:tcPr>
          <w:p w:rsidR="0043422D" w:rsidRPr="00A770D4" w:rsidRDefault="0043422D" w:rsidP="0043422D">
            <w:pPr>
              <w:widowControl/>
              <w:jc w:val="center"/>
              <w:rPr>
                <w:rFonts w:ascii="宋体" w:hAnsi="宋体" w:cs="宋体" w:hint="eastAsia"/>
                <w:kern w:val="0"/>
                <w:szCs w:val="21"/>
              </w:rPr>
            </w:pPr>
            <w:r w:rsidRPr="00A770D4">
              <w:rPr>
                <w:rFonts w:ascii="宋体" w:hAnsi="宋体" w:cs="宋体" w:hint="eastAsia"/>
                <w:kern w:val="0"/>
                <w:szCs w:val="21"/>
              </w:rPr>
              <w:t>不开通</w:t>
            </w:r>
          </w:p>
        </w:tc>
      </w:tr>
      <w:tr w:rsidR="00040A13" w:rsidRPr="00A770D4" w:rsidTr="00A770D4">
        <w:trPr>
          <w:trHeight w:val="311"/>
          <w:jc w:val="center"/>
        </w:trPr>
        <w:tc>
          <w:tcPr>
            <w:tcW w:w="453" w:type="dxa"/>
            <w:tcBorders>
              <w:top w:val="nil"/>
              <w:left w:val="single" w:sz="4" w:space="0" w:color="000000"/>
              <w:bottom w:val="single" w:sz="4" w:space="0" w:color="000000"/>
              <w:right w:val="single" w:sz="4" w:space="0" w:color="000000"/>
            </w:tcBorders>
            <w:shd w:val="clear" w:color="auto" w:fill="auto"/>
            <w:noWrap/>
            <w:vAlign w:val="center"/>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1</w:t>
            </w:r>
            <w:r w:rsidR="005A3BE8">
              <w:rPr>
                <w:rFonts w:ascii="宋体" w:hAnsi="宋体" w:cs="宋体" w:hint="eastAsia"/>
                <w:kern w:val="0"/>
                <w:szCs w:val="21"/>
              </w:rPr>
              <w:t>7</w:t>
            </w:r>
          </w:p>
        </w:tc>
        <w:tc>
          <w:tcPr>
            <w:tcW w:w="850" w:type="dxa"/>
            <w:tcBorders>
              <w:top w:val="nil"/>
              <w:left w:val="nil"/>
              <w:bottom w:val="single" w:sz="4" w:space="0" w:color="000000"/>
              <w:right w:val="single" w:sz="4" w:space="0" w:color="000000"/>
            </w:tcBorders>
            <w:shd w:val="clear" w:color="auto" w:fill="auto"/>
            <w:vAlign w:val="center"/>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007361</w:t>
            </w:r>
          </w:p>
        </w:tc>
        <w:tc>
          <w:tcPr>
            <w:tcW w:w="4280" w:type="dxa"/>
            <w:tcBorders>
              <w:top w:val="nil"/>
              <w:left w:val="nil"/>
              <w:bottom w:val="single" w:sz="4" w:space="0" w:color="000000"/>
              <w:right w:val="single" w:sz="4" w:space="0" w:color="000000"/>
            </w:tcBorders>
            <w:shd w:val="clear" w:color="auto" w:fill="auto"/>
            <w:vAlign w:val="center"/>
          </w:tcPr>
          <w:p w:rsidR="00040A13" w:rsidRPr="00A770D4" w:rsidRDefault="00040A13" w:rsidP="005A3BE8">
            <w:pPr>
              <w:widowControl/>
              <w:jc w:val="center"/>
              <w:rPr>
                <w:rFonts w:ascii="宋体" w:hAnsi="宋体" w:cs="宋体" w:hint="eastAsia"/>
                <w:kern w:val="0"/>
                <w:szCs w:val="21"/>
              </w:rPr>
            </w:pPr>
            <w:r w:rsidRPr="00A770D4">
              <w:rPr>
                <w:rFonts w:ascii="宋体" w:hAnsi="宋体" w:cs="宋体" w:hint="eastAsia"/>
                <w:kern w:val="0"/>
                <w:szCs w:val="21"/>
              </w:rPr>
              <w:t>易方达中短期美元债债券型基金（QDII）C类人民币基金份额</w:t>
            </w:r>
          </w:p>
        </w:tc>
        <w:tc>
          <w:tcPr>
            <w:tcW w:w="950" w:type="dxa"/>
            <w:tcBorders>
              <w:top w:val="nil"/>
              <w:left w:val="nil"/>
              <w:bottom w:val="single" w:sz="4" w:space="0" w:color="000000"/>
              <w:right w:val="single" w:sz="4" w:space="0" w:color="000000"/>
            </w:tcBorders>
            <w:shd w:val="clear" w:color="auto" w:fill="auto"/>
            <w:vAlign w:val="center"/>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865" w:type="dxa"/>
            <w:tcBorders>
              <w:top w:val="nil"/>
              <w:left w:val="nil"/>
              <w:bottom w:val="single" w:sz="4" w:space="0" w:color="000000"/>
              <w:right w:val="single" w:sz="4" w:space="0" w:color="000000"/>
            </w:tcBorders>
            <w:shd w:val="clear" w:color="auto" w:fill="auto"/>
            <w:vAlign w:val="center"/>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961" w:type="dxa"/>
            <w:tcBorders>
              <w:top w:val="nil"/>
              <w:left w:val="nil"/>
              <w:bottom w:val="single" w:sz="4" w:space="0" w:color="000000"/>
              <w:right w:val="single" w:sz="4" w:space="0" w:color="000000"/>
            </w:tcBorders>
            <w:shd w:val="clear" w:color="auto" w:fill="auto"/>
            <w:vAlign w:val="center"/>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不开通</w:t>
            </w:r>
          </w:p>
        </w:tc>
      </w:tr>
      <w:tr w:rsidR="00040A13" w:rsidRPr="00A770D4" w:rsidTr="00A770D4">
        <w:trPr>
          <w:trHeight w:val="311"/>
          <w:jc w:val="center"/>
        </w:trPr>
        <w:tc>
          <w:tcPr>
            <w:tcW w:w="453" w:type="dxa"/>
            <w:tcBorders>
              <w:top w:val="nil"/>
              <w:left w:val="single" w:sz="4" w:space="0" w:color="000000"/>
              <w:bottom w:val="single" w:sz="4" w:space="0" w:color="000000"/>
              <w:right w:val="single" w:sz="4" w:space="0" w:color="000000"/>
            </w:tcBorders>
            <w:shd w:val="clear" w:color="auto" w:fill="auto"/>
            <w:noWrap/>
            <w:vAlign w:val="center"/>
            <w:hideMark/>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lastRenderedPageBreak/>
              <w:t>1</w:t>
            </w:r>
            <w:r w:rsidR="005A3BE8">
              <w:rPr>
                <w:rFonts w:ascii="宋体" w:hAnsi="宋体" w:cs="宋体" w:hint="eastAsia"/>
                <w:kern w:val="0"/>
                <w:szCs w:val="21"/>
              </w:rPr>
              <w:t>8</w:t>
            </w:r>
          </w:p>
        </w:tc>
        <w:tc>
          <w:tcPr>
            <w:tcW w:w="850" w:type="dxa"/>
            <w:tcBorders>
              <w:top w:val="nil"/>
              <w:left w:val="nil"/>
              <w:bottom w:val="single" w:sz="4" w:space="0" w:color="000000"/>
              <w:right w:val="single" w:sz="4" w:space="0" w:color="000000"/>
            </w:tcBorders>
            <w:shd w:val="clear" w:color="auto" w:fill="auto"/>
            <w:vAlign w:val="center"/>
            <w:hideMark/>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007379</w:t>
            </w:r>
          </w:p>
        </w:tc>
        <w:tc>
          <w:tcPr>
            <w:tcW w:w="4280" w:type="dxa"/>
            <w:tcBorders>
              <w:top w:val="nil"/>
              <w:left w:val="nil"/>
              <w:bottom w:val="single" w:sz="4" w:space="0" w:color="000000"/>
              <w:right w:val="single" w:sz="4" w:space="0" w:color="000000"/>
            </w:tcBorders>
            <w:shd w:val="clear" w:color="auto" w:fill="auto"/>
            <w:vAlign w:val="center"/>
            <w:hideMark/>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易方达上证50交易型开放式指数基金发起式联接基金A</w:t>
            </w:r>
          </w:p>
        </w:tc>
        <w:tc>
          <w:tcPr>
            <w:tcW w:w="950" w:type="dxa"/>
            <w:tcBorders>
              <w:top w:val="nil"/>
              <w:left w:val="nil"/>
              <w:bottom w:val="single" w:sz="4" w:space="0" w:color="000000"/>
              <w:right w:val="single" w:sz="4" w:space="0" w:color="000000"/>
            </w:tcBorders>
            <w:shd w:val="clear" w:color="auto" w:fill="auto"/>
            <w:vAlign w:val="center"/>
            <w:hideMark/>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865" w:type="dxa"/>
            <w:tcBorders>
              <w:top w:val="nil"/>
              <w:left w:val="nil"/>
              <w:bottom w:val="single" w:sz="4" w:space="0" w:color="000000"/>
              <w:right w:val="single" w:sz="4" w:space="0" w:color="000000"/>
            </w:tcBorders>
            <w:shd w:val="clear" w:color="auto" w:fill="auto"/>
            <w:vAlign w:val="center"/>
            <w:hideMark/>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961" w:type="dxa"/>
            <w:tcBorders>
              <w:top w:val="nil"/>
              <w:left w:val="nil"/>
              <w:bottom w:val="single" w:sz="4" w:space="0" w:color="000000"/>
              <w:right w:val="single" w:sz="4" w:space="0" w:color="000000"/>
            </w:tcBorders>
            <w:shd w:val="clear" w:color="auto" w:fill="auto"/>
            <w:vAlign w:val="center"/>
            <w:hideMark/>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开通</w:t>
            </w:r>
          </w:p>
        </w:tc>
      </w:tr>
      <w:tr w:rsidR="00040A13" w:rsidRPr="00A770D4" w:rsidTr="00A770D4">
        <w:trPr>
          <w:trHeight w:val="311"/>
          <w:jc w:val="center"/>
        </w:trPr>
        <w:tc>
          <w:tcPr>
            <w:tcW w:w="453" w:type="dxa"/>
            <w:tcBorders>
              <w:top w:val="nil"/>
              <w:left w:val="single" w:sz="4" w:space="0" w:color="000000"/>
              <w:bottom w:val="single" w:sz="4" w:space="0" w:color="000000"/>
              <w:right w:val="single" w:sz="4" w:space="0" w:color="000000"/>
            </w:tcBorders>
            <w:shd w:val="clear" w:color="auto" w:fill="auto"/>
            <w:noWrap/>
            <w:vAlign w:val="center"/>
            <w:hideMark/>
          </w:tcPr>
          <w:p w:rsidR="00040A13" w:rsidRPr="00A770D4" w:rsidRDefault="005A3BE8" w:rsidP="00040A13">
            <w:pPr>
              <w:widowControl/>
              <w:jc w:val="center"/>
              <w:rPr>
                <w:rFonts w:ascii="宋体" w:hAnsi="宋体" w:cs="宋体" w:hint="eastAsia"/>
                <w:kern w:val="0"/>
                <w:szCs w:val="21"/>
              </w:rPr>
            </w:pPr>
            <w:r>
              <w:rPr>
                <w:rFonts w:ascii="宋体" w:hAnsi="宋体" w:cs="宋体" w:hint="eastAsia"/>
                <w:kern w:val="0"/>
                <w:szCs w:val="21"/>
              </w:rPr>
              <w:t>19</w:t>
            </w:r>
          </w:p>
        </w:tc>
        <w:tc>
          <w:tcPr>
            <w:tcW w:w="850" w:type="dxa"/>
            <w:tcBorders>
              <w:top w:val="nil"/>
              <w:left w:val="nil"/>
              <w:bottom w:val="single" w:sz="4" w:space="0" w:color="000000"/>
              <w:right w:val="single" w:sz="4" w:space="0" w:color="000000"/>
            </w:tcBorders>
            <w:shd w:val="clear" w:color="auto" w:fill="auto"/>
            <w:vAlign w:val="center"/>
            <w:hideMark/>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007380</w:t>
            </w:r>
          </w:p>
        </w:tc>
        <w:tc>
          <w:tcPr>
            <w:tcW w:w="4280" w:type="dxa"/>
            <w:tcBorders>
              <w:top w:val="nil"/>
              <w:left w:val="nil"/>
              <w:bottom w:val="single" w:sz="4" w:space="0" w:color="000000"/>
              <w:right w:val="single" w:sz="4" w:space="0" w:color="000000"/>
            </w:tcBorders>
            <w:shd w:val="clear" w:color="auto" w:fill="auto"/>
            <w:vAlign w:val="center"/>
            <w:hideMark/>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易方达上证50交易型开放式指数基金发起式联接基金C</w:t>
            </w:r>
          </w:p>
        </w:tc>
        <w:tc>
          <w:tcPr>
            <w:tcW w:w="950" w:type="dxa"/>
            <w:tcBorders>
              <w:top w:val="nil"/>
              <w:left w:val="nil"/>
              <w:bottom w:val="single" w:sz="4" w:space="0" w:color="000000"/>
              <w:right w:val="single" w:sz="4" w:space="0" w:color="000000"/>
            </w:tcBorders>
            <w:shd w:val="clear" w:color="auto" w:fill="auto"/>
            <w:vAlign w:val="center"/>
            <w:hideMark/>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865" w:type="dxa"/>
            <w:tcBorders>
              <w:top w:val="nil"/>
              <w:left w:val="nil"/>
              <w:bottom w:val="single" w:sz="4" w:space="0" w:color="000000"/>
              <w:right w:val="single" w:sz="4" w:space="0" w:color="000000"/>
            </w:tcBorders>
            <w:shd w:val="clear" w:color="auto" w:fill="auto"/>
            <w:vAlign w:val="center"/>
            <w:hideMark/>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961" w:type="dxa"/>
            <w:tcBorders>
              <w:top w:val="nil"/>
              <w:left w:val="nil"/>
              <w:bottom w:val="single" w:sz="4" w:space="0" w:color="000000"/>
              <w:right w:val="single" w:sz="4" w:space="0" w:color="000000"/>
            </w:tcBorders>
            <w:shd w:val="clear" w:color="auto" w:fill="auto"/>
            <w:vAlign w:val="center"/>
            <w:hideMark/>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开通</w:t>
            </w:r>
          </w:p>
        </w:tc>
      </w:tr>
      <w:tr w:rsidR="00040A13" w:rsidRPr="00A770D4" w:rsidTr="00A770D4">
        <w:trPr>
          <w:trHeight w:val="311"/>
          <w:jc w:val="center"/>
        </w:trPr>
        <w:tc>
          <w:tcPr>
            <w:tcW w:w="453" w:type="dxa"/>
            <w:tcBorders>
              <w:top w:val="nil"/>
              <w:left w:val="single" w:sz="4" w:space="0" w:color="000000"/>
              <w:bottom w:val="single" w:sz="4" w:space="0" w:color="000000"/>
              <w:right w:val="single" w:sz="4" w:space="0" w:color="000000"/>
            </w:tcBorders>
            <w:shd w:val="clear" w:color="auto" w:fill="auto"/>
            <w:noWrap/>
            <w:vAlign w:val="center"/>
            <w:hideMark/>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2</w:t>
            </w:r>
            <w:r w:rsidR="005A3BE8">
              <w:rPr>
                <w:rFonts w:ascii="宋体" w:hAnsi="宋体" w:cs="宋体" w:hint="eastAsia"/>
                <w:kern w:val="0"/>
                <w:szCs w:val="21"/>
              </w:rPr>
              <w:t>0</w:t>
            </w:r>
          </w:p>
        </w:tc>
        <w:tc>
          <w:tcPr>
            <w:tcW w:w="850" w:type="dxa"/>
            <w:tcBorders>
              <w:top w:val="nil"/>
              <w:left w:val="nil"/>
              <w:bottom w:val="single" w:sz="4" w:space="0" w:color="000000"/>
              <w:right w:val="single" w:sz="4" w:space="0" w:color="000000"/>
            </w:tcBorders>
            <w:shd w:val="clear" w:color="auto" w:fill="auto"/>
            <w:vAlign w:val="center"/>
            <w:hideMark/>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007856</w:t>
            </w:r>
          </w:p>
        </w:tc>
        <w:tc>
          <w:tcPr>
            <w:tcW w:w="4280" w:type="dxa"/>
            <w:tcBorders>
              <w:top w:val="nil"/>
              <w:left w:val="nil"/>
              <w:bottom w:val="single" w:sz="4" w:space="0" w:color="000000"/>
              <w:right w:val="single" w:sz="4" w:space="0" w:color="000000"/>
            </w:tcBorders>
            <w:shd w:val="clear" w:color="auto" w:fill="auto"/>
            <w:vAlign w:val="center"/>
            <w:hideMark/>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易方达中证800交易型开放式指数基金发起式联接基金A</w:t>
            </w:r>
          </w:p>
        </w:tc>
        <w:tc>
          <w:tcPr>
            <w:tcW w:w="950" w:type="dxa"/>
            <w:tcBorders>
              <w:top w:val="nil"/>
              <w:left w:val="nil"/>
              <w:bottom w:val="single" w:sz="4" w:space="0" w:color="000000"/>
              <w:right w:val="single" w:sz="4" w:space="0" w:color="000000"/>
            </w:tcBorders>
            <w:shd w:val="clear" w:color="auto" w:fill="auto"/>
            <w:vAlign w:val="center"/>
            <w:hideMark/>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865" w:type="dxa"/>
            <w:tcBorders>
              <w:top w:val="nil"/>
              <w:left w:val="nil"/>
              <w:bottom w:val="single" w:sz="4" w:space="0" w:color="000000"/>
              <w:right w:val="single" w:sz="4" w:space="0" w:color="000000"/>
            </w:tcBorders>
            <w:shd w:val="clear" w:color="auto" w:fill="auto"/>
            <w:vAlign w:val="center"/>
            <w:hideMark/>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961" w:type="dxa"/>
            <w:tcBorders>
              <w:top w:val="nil"/>
              <w:left w:val="nil"/>
              <w:bottom w:val="single" w:sz="4" w:space="0" w:color="000000"/>
              <w:right w:val="single" w:sz="4" w:space="0" w:color="000000"/>
            </w:tcBorders>
            <w:shd w:val="clear" w:color="auto" w:fill="auto"/>
            <w:vAlign w:val="center"/>
            <w:hideMark/>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开通</w:t>
            </w:r>
          </w:p>
        </w:tc>
      </w:tr>
      <w:tr w:rsidR="00040A13" w:rsidRPr="00A770D4" w:rsidTr="00A770D4">
        <w:trPr>
          <w:trHeight w:val="311"/>
          <w:jc w:val="center"/>
        </w:trPr>
        <w:tc>
          <w:tcPr>
            <w:tcW w:w="453" w:type="dxa"/>
            <w:tcBorders>
              <w:top w:val="nil"/>
              <w:left w:val="single" w:sz="4" w:space="0" w:color="000000"/>
              <w:bottom w:val="single" w:sz="4" w:space="0" w:color="000000"/>
              <w:right w:val="single" w:sz="4" w:space="0" w:color="000000"/>
            </w:tcBorders>
            <w:shd w:val="clear" w:color="auto" w:fill="auto"/>
            <w:noWrap/>
            <w:vAlign w:val="center"/>
            <w:hideMark/>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2</w:t>
            </w:r>
            <w:r w:rsidR="005A3BE8">
              <w:rPr>
                <w:rFonts w:ascii="宋体" w:hAnsi="宋体" w:cs="宋体" w:hint="eastAsia"/>
                <w:kern w:val="0"/>
                <w:szCs w:val="21"/>
              </w:rPr>
              <w:t>1</w:t>
            </w:r>
          </w:p>
        </w:tc>
        <w:tc>
          <w:tcPr>
            <w:tcW w:w="850" w:type="dxa"/>
            <w:tcBorders>
              <w:top w:val="nil"/>
              <w:left w:val="nil"/>
              <w:bottom w:val="single" w:sz="4" w:space="0" w:color="000000"/>
              <w:right w:val="single" w:sz="4" w:space="0" w:color="000000"/>
            </w:tcBorders>
            <w:shd w:val="clear" w:color="auto" w:fill="auto"/>
            <w:vAlign w:val="center"/>
            <w:hideMark/>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007857</w:t>
            </w:r>
          </w:p>
        </w:tc>
        <w:tc>
          <w:tcPr>
            <w:tcW w:w="4280" w:type="dxa"/>
            <w:tcBorders>
              <w:top w:val="nil"/>
              <w:left w:val="nil"/>
              <w:bottom w:val="single" w:sz="4" w:space="0" w:color="000000"/>
              <w:right w:val="single" w:sz="4" w:space="0" w:color="000000"/>
            </w:tcBorders>
            <w:shd w:val="clear" w:color="auto" w:fill="auto"/>
            <w:vAlign w:val="center"/>
            <w:hideMark/>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易方达中证800交易型开放式指数基金发起式联接基金C</w:t>
            </w:r>
          </w:p>
        </w:tc>
        <w:tc>
          <w:tcPr>
            <w:tcW w:w="950" w:type="dxa"/>
            <w:tcBorders>
              <w:top w:val="nil"/>
              <w:left w:val="nil"/>
              <w:bottom w:val="single" w:sz="4" w:space="0" w:color="000000"/>
              <w:right w:val="single" w:sz="4" w:space="0" w:color="000000"/>
            </w:tcBorders>
            <w:shd w:val="clear" w:color="auto" w:fill="auto"/>
            <w:vAlign w:val="center"/>
            <w:hideMark/>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865" w:type="dxa"/>
            <w:tcBorders>
              <w:top w:val="nil"/>
              <w:left w:val="nil"/>
              <w:bottom w:val="single" w:sz="4" w:space="0" w:color="000000"/>
              <w:right w:val="single" w:sz="4" w:space="0" w:color="000000"/>
            </w:tcBorders>
            <w:shd w:val="clear" w:color="auto" w:fill="auto"/>
            <w:vAlign w:val="center"/>
            <w:hideMark/>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961" w:type="dxa"/>
            <w:tcBorders>
              <w:top w:val="nil"/>
              <w:left w:val="nil"/>
              <w:bottom w:val="single" w:sz="4" w:space="0" w:color="000000"/>
              <w:right w:val="single" w:sz="4" w:space="0" w:color="000000"/>
            </w:tcBorders>
            <w:shd w:val="clear" w:color="auto" w:fill="auto"/>
            <w:vAlign w:val="center"/>
            <w:hideMark/>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开通</w:t>
            </w:r>
          </w:p>
        </w:tc>
      </w:tr>
      <w:tr w:rsidR="00040A13" w:rsidRPr="00A770D4" w:rsidTr="00A770D4">
        <w:trPr>
          <w:trHeight w:val="527"/>
          <w:jc w:val="center"/>
        </w:trPr>
        <w:tc>
          <w:tcPr>
            <w:tcW w:w="453" w:type="dxa"/>
            <w:tcBorders>
              <w:top w:val="nil"/>
              <w:left w:val="single" w:sz="4" w:space="0" w:color="000000"/>
              <w:bottom w:val="single" w:sz="4" w:space="0" w:color="000000"/>
              <w:right w:val="single" w:sz="4" w:space="0" w:color="000000"/>
            </w:tcBorders>
            <w:shd w:val="clear" w:color="auto" w:fill="auto"/>
            <w:noWrap/>
            <w:vAlign w:val="center"/>
            <w:hideMark/>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2</w:t>
            </w:r>
            <w:r w:rsidR="005A3BE8">
              <w:rPr>
                <w:rFonts w:ascii="宋体" w:hAnsi="宋体" w:cs="宋体" w:hint="eastAsia"/>
                <w:kern w:val="0"/>
                <w:szCs w:val="21"/>
              </w:rPr>
              <w:t>2</w:t>
            </w:r>
          </w:p>
        </w:tc>
        <w:tc>
          <w:tcPr>
            <w:tcW w:w="850" w:type="dxa"/>
            <w:tcBorders>
              <w:top w:val="nil"/>
              <w:left w:val="nil"/>
              <w:bottom w:val="single" w:sz="4" w:space="0" w:color="000000"/>
              <w:right w:val="single" w:sz="4" w:space="0" w:color="000000"/>
            </w:tcBorders>
            <w:shd w:val="clear" w:color="auto" w:fill="auto"/>
            <w:vAlign w:val="center"/>
            <w:hideMark/>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007882</w:t>
            </w:r>
          </w:p>
        </w:tc>
        <w:tc>
          <w:tcPr>
            <w:tcW w:w="4280" w:type="dxa"/>
            <w:tcBorders>
              <w:top w:val="nil"/>
              <w:left w:val="nil"/>
              <w:bottom w:val="single" w:sz="4" w:space="0" w:color="000000"/>
              <w:right w:val="single" w:sz="4" w:space="0" w:color="000000"/>
            </w:tcBorders>
            <w:shd w:val="clear" w:color="auto" w:fill="auto"/>
            <w:vAlign w:val="center"/>
            <w:hideMark/>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易方达沪深300非银行金融交易型开放式指数基金联接基金C</w:t>
            </w:r>
          </w:p>
        </w:tc>
        <w:tc>
          <w:tcPr>
            <w:tcW w:w="950" w:type="dxa"/>
            <w:tcBorders>
              <w:top w:val="nil"/>
              <w:left w:val="nil"/>
              <w:bottom w:val="single" w:sz="4" w:space="0" w:color="000000"/>
              <w:right w:val="single" w:sz="4" w:space="0" w:color="000000"/>
            </w:tcBorders>
            <w:shd w:val="clear" w:color="auto" w:fill="auto"/>
            <w:vAlign w:val="center"/>
            <w:hideMark/>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865" w:type="dxa"/>
            <w:tcBorders>
              <w:top w:val="nil"/>
              <w:left w:val="nil"/>
              <w:bottom w:val="single" w:sz="4" w:space="0" w:color="000000"/>
              <w:right w:val="single" w:sz="4" w:space="0" w:color="000000"/>
            </w:tcBorders>
            <w:shd w:val="clear" w:color="auto" w:fill="auto"/>
            <w:vAlign w:val="center"/>
            <w:hideMark/>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961" w:type="dxa"/>
            <w:tcBorders>
              <w:top w:val="nil"/>
              <w:left w:val="nil"/>
              <w:bottom w:val="single" w:sz="4" w:space="0" w:color="000000"/>
              <w:right w:val="single" w:sz="4" w:space="0" w:color="000000"/>
            </w:tcBorders>
            <w:shd w:val="clear" w:color="auto" w:fill="auto"/>
            <w:vAlign w:val="center"/>
            <w:hideMark/>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开通</w:t>
            </w:r>
          </w:p>
        </w:tc>
      </w:tr>
      <w:tr w:rsidR="00040A13" w:rsidRPr="00A770D4" w:rsidTr="00A770D4">
        <w:trPr>
          <w:trHeight w:val="527"/>
          <w:jc w:val="center"/>
        </w:trPr>
        <w:tc>
          <w:tcPr>
            <w:tcW w:w="453" w:type="dxa"/>
            <w:tcBorders>
              <w:top w:val="nil"/>
              <w:left w:val="single" w:sz="4" w:space="0" w:color="000000"/>
              <w:bottom w:val="single" w:sz="4" w:space="0" w:color="000000"/>
              <w:right w:val="single" w:sz="4" w:space="0" w:color="000000"/>
            </w:tcBorders>
            <w:shd w:val="clear" w:color="auto" w:fill="auto"/>
            <w:noWrap/>
            <w:vAlign w:val="center"/>
            <w:hideMark/>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2</w:t>
            </w:r>
            <w:r w:rsidR="005A3BE8">
              <w:rPr>
                <w:rFonts w:ascii="宋体" w:hAnsi="宋体" w:cs="宋体" w:hint="eastAsia"/>
                <w:kern w:val="0"/>
                <w:szCs w:val="21"/>
              </w:rPr>
              <w:t>3</w:t>
            </w:r>
          </w:p>
        </w:tc>
        <w:tc>
          <w:tcPr>
            <w:tcW w:w="850" w:type="dxa"/>
            <w:tcBorders>
              <w:top w:val="nil"/>
              <w:left w:val="nil"/>
              <w:bottom w:val="single" w:sz="4" w:space="0" w:color="000000"/>
              <w:right w:val="single" w:sz="4" w:space="0" w:color="000000"/>
            </w:tcBorders>
            <w:shd w:val="clear" w:color="auto" w:fill="auto"/>
            <w:vAlign w:val="center"/>
            <w:hideMark/>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008284</w:t>
            </w:r>
          </w:p>
        </w:tc>
        <w:tc>
          <w:tcPr>
            <w:tcW w:w="4280" w:type="dxa"/>
            <w:tcBorders>
              <w:top w:val="nil"/>
              <w:left w:val="nil"/>
              <w:bottom w:val="single" w:sz="4" w:space="0" w:color="000000"/>
              <w:right w:val="single" w:sz="4" w:space="0" w:color="000000"/>
            </w:tcBorders>
            <w:shd w:val="clear" w:color="auto" w:fill="auto"/>
            <w:vAlign w:val="center"/>
            <w:hideMark/>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易方达全球医药行业混合型发起式</w:t>
            </w:r>
            <w:r w:rsidR="005A3BE8" w:rsidRPr="005A3BE8">
              <w:rPr>
                <w:rFonts w:ascii="宋体" w:hAnsi="宋体" w:cs="宋体" w:hint="eastAsia"/>
                <w:kern w:val="0"/>
                <w:szCs w:val="21"/>
              </w:rPr>
              <w:t>基金</w:t>
            </w:r>
            <w:r w:rsidRPr="00A770D4">
              <w:rPr>
                <w:rFonts w:ascii="宋体" w:hAnsi="宋体" w:cs="宋体" w:hint="eastAsia"/>
                <w:kern w:val="0"/>
                <w:szCs w:val="21"/>
              </w:rPr>
              <w:t>人民币基金份额</w:t>
            </w:r>
          </w:p>
        </w:tc>
        <w:tc>
          <w:tcPr>
            <w:tcW w:w="950" w:type="dxa"/>
            <w:tcBorders>
              <w:top w:val="nil"/>
              <w:left w:val="nil"/>
              <w:bottom w:val="single" w:sz="4" w:space="0" w:color="000000"/>
              <w:right w:val="single" w:sz="4" w:space="0" w:color="000000"/>
            </w:tcBorders>
            <w:shd w:val="clear" w:color="auto" w:fill="auto"/>
            <w:vAlign w:val="center"/>
            <w:hideMark/>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865" w:type="dxa"/>
            <w:tcBorders>
              <w:top w:val="nil"/>
              <w:left w:val="nil"/>
              <w:bottom w:val="single" w:sz="4" w:space="0" w:color="000000"/>
              <w:right w:val="single" w:sz="4" w:space="0" w:color="000000"/>
            </w:tcBorders>
            <w:shd w:val="clear" w:color="auto" w:fill="auto"/>
            <w:vAlign w:val="center"/>
            <w:hideMark/>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961" w:type="dxa"/>
            <w:tcBorders>
              <w:top w:val="nil"/>
              <w:left w:val="nil"/>
              <w:bottom w:val="single" w:sz="4" w:space="0" w:color="000000"/>
              <w:right w:val="single" w:sz="4" w:space="0" w:color="000000"/>
            </w:tcBorders>
            <w:shd w:val="clear" w:color="auto" w:fill="auto"/>
            <w:vAlign w:val="center"/>
            <w:hideMark/>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不开通</w:t>
            </w:r>
          </w:p>
        </w:tc>
      </w:tr>
      <w:tr w:rsidR="00040A13" w:rsidRPr="00A770D4" w:rsidTr="00A770D4">
        <w:trPr>
          <w:trHeight w:val="311"/>
          <w:jc w:val="center"/>
        </w:trPr>
        <w:tc>
          <w:tcPr>
            <w:tcW w:w="453" w:type="dxa"/>
            <w:tcBorders>
              <w:top w:val="nil"/>
              <w:left w:val="single" w:sz="4" w:space="0" w:color="000000"/>
              <w:bottom w:val="single" w:sz="4" w:space="0" w:color="000000"/>
              <w:right w:val="single" w:sz="4" w:space="0" w:color="000000"/>
            </w:tcBorders>
            <w:shd w:val="clear" w:color="auto" w:fill="auto"/>
            <w:noWrap/>
            <w:vAlign w:val="center"/>
            <w:hideMark/>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2</w:t>
            </w:r>
            <w:r w:rsidR="005A3BE8">
              <w:rPr>
                <w:rFonts w:ascii="宋体" w:hAnsi="宋体" w:cs="宋体" w:hint="eastAsia"/>
                <w:kern w:val="0"/>
                <w:szCs w:val="21"/>
              </w:rPr>
              <w:t>4</w:t>
            </w:r>
          </w:p>
        </w:tc>
        <w:tc>
          <w:tcPr>
            <w:tcW w:w="850" w:type="dxa"/>
            <w:tcBorders>
              <w:top w:val="nil"/>
              <w:left w:val="nil"/>
              <w:bottom w:val="single" w:sz="4" w:space="0" w:color="000000"/>
              <w:right w:val="single" w:sz="4" w:space="0" w:color="000000"/>
            </w:tcBorders>
            <w:shd w:val="clear" w:color="auto" w:fill="auto"/>
            <w:vAlign w:val="center"/>
            <w:hideMark/>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008286</w:t>
            </w:r>
          </w:p>
        </w:tc>
        <w:tc>
          <w:tcPr>
            <w:tcW w:w="4280" w:type="dxa"/>
            <w:tcBorders>
              <w:top w:val="nil"/>
              <w:left w:val="nil"/>
              <w:bottom w:val="single" w:sz="4" w:space="0" w:color="000000"/>
              <w:right w:val="single" w:sz="4" w:space="0" w:color="000000"/>
            </w:tcBorders>
            <w:shd w:val="clear" w:color="auto" w:fill="auto"/>
            <w:vAlign w:val="center"/>
            <w:hideMark/>
          </w:tcPr>
          <w:p w:rsidR="00040A13" w:rsidRPr="00A770D4" w:rsidRDefault="00040A13" w:rsidP="005A3BE8">
            <w:pPr>
              <w:widowControl/>
              <w:jc w:val="center"/>
              <w:rPr>
                <w:rFonts w:ascii="宋体" w:hAnsi="宋体" w:cs="宋体" w:hint="eastAsia"/>
                <w:kern w:val="0"/>
                <w:szCs w:val="21"/>
              </w:rPr>
            </w:pPr>
            <w:r w:rsidRPr="00A770D4">
              <w:rPr>
                <w:rFonts w:ascii="宋体" w:hAnsi="宋体" w:cs="宋体" w:hint="eastAsia"/>
                <w:kern w:val="0"/>
                <w:szCs w:val="21"/>
              </w:rPr>
              <w:t>易方达研究精选股票型基金</w:t>
            </w:r>
          </w:p>
        </w:tc>
        <w:tc>
          <w:tcPr>
            <w:tcW w:w="950" w:type="dxa"/>
            <w:tcBorders>
              <w:top w:val="nil"/>
              <w:left w:val="nil"/>
              <w:bottom w:val="single" w:sz="4" w:space="0" w:color="000000"/>
              <w:right w:val="single" w:sz="4" w:space="0" w:color="000000"/>
            </w:tcBorders>
            <w:shd w:val="clear" w:color="auto" w:fill="auto"/>
            <w:vAlign w:val="center"/>
            <w:hideMark/>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865" w:type="dxa"/>
            <w:tcBorders>
              <w:top w:val="nil"/>
              <w:left w:val="nil"/>
              <w:bottom w:val="single" w:sz="4" w:space="0" w:color="000000"/>
              <w:right w:val="single" w:sz="4" w:space="0" w:color="000000"/>
            </w:tcBorders>
            <w:shd w:val="clear" w:color="auto" w:fill="auto"/>
            <w:vAlign w:val="center"/>
            <w:hideMark/>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开通</w:t>
            </w:r>
          </w:p>
        </w:tc>
        <w:tc>
          <w:tcPr>
            <w:tcW w:w="961" w:type="dxa"/>
            <w:tcBorders>
              <w:top w:val="nil"/>
              <w:left w:val="nil"/>
              <w:bottom w:val="single" w:sz="4" w:space="0" w:color="000000"/>
              <w:right w:val="single" w:sz="4" w:space="0" w:color="000000"/>
            </w:tcBorders>
            <w:shd w:val="clear" w:color="auto" w:fill="auto"/>
            <w:vAlign w:val="center"/>
            <w:hideMark/>
          </w:tcPr>
          <w:p w:rsidR="00040A13" w:rsidRPr="00A770D4" w:rsidRDefault="00040A13" w:rsidP="00040A13">
            <w:pPr>
              <w:widowControl/>
              <w:jc w:val="center"/>
              <w:rPr>
                <w:rFonts w:ascii="宋体" w:hAnsi="宋体" w:cs="宋体" w:hint="eastAsia"/>
                <w:kern w:val="0"/>
                <w:szCs w:val="21"/>
              </w:rPr>
            </w:pPr>
            <w:r w:rsidRPr="00A770D4">
              <w:rPr>
                <w:rFonts w:ascii="宋体" w:hAnsi="宋体" w:cs="宋体" w:hint="eastAsia"/>
                <w:kern w:val="0"/>
                <w:szCs w:val="21"/>
              </w:rPr>
              <w:t>开通</w:t>
            </w:r>
          </w:p>
        </w:tc>
      </w:tr>
    </w:tbl>
    <w:p w:rsidR="006D4FB7" w:rsidRPr="00E457C4" w:rsidRDefault="006D4FB7" w:rsidP="0043422D">
      <w:pPr>
        <w:spacing w:line="360" w:lineRule="auto"/>
        <w:ind w:firstLineChars="200" w:firstLine="420"/>
        <w:jc w:val="left"/>
        <w:rPr>
          <w:rStyle w:val="HTML2"/>
          <w:rFonts w:cs="Arial Unicode MS"/>
          <w:sz w:val="21"/>
          <w:szCs w:val="21"/>
        </w:rPr>
      </w:pPr>
      <w:r w:rsidRPr="00E457C4">
        <w:rPr>
          <w:rStyle w:val="HTML2"/>
          <w:rFonts w:cs="Arial Unicode MS" w:hint="eastAsia"/>
          <w:sz w:val="21"/>
          <w:szCs w:val="21"/>
        </w:rPr>
        <w:t>二</w:t>
      </w:r>
      <w:r w:rsidRPr="00E457C4">
        <w:rPr>
          <w:rStyle w:val="HTML2"/>
          <w:rFonts w:cs="Arial Unicode MS"/>
          <w:sz w:val="21"/>
          <w:szCs w:val="21"/>
        </w:rPr>
        <w:t>、关于本公司在</w:t>
      </w:r>
      <w:r w:rsidR="002552D4" w:rsidRPr="00E457C4">
        <w:rPr>
          <w:rStyle w:val="HTML2"/>
          <w:rFonts w:cs="Arial Unicode MS" w:hint="eastAsia"/>
          <w:sz w:val="21"/>
          <w:szCs w:val="21"/>
        </w:rPr>
        <w:t>东莞农村商业银行</w:t>
      </w:r>
      <w:r w:rsidRPr="00E457C4">
        <w:rPr>
          <w:rStyle w:val="HTML2"/>
          <w:rFonts w:cs="Arial Unicode MS"/>
          <w:sz w:val="21"/>
          <w:szCs w:val="21"/>
        </w:rPr>
        <w:t>推出</w:t>
      </w:r>
      <w:r w:rsidRPr="00E457C4">
        <w:rPr>
          <w:rStyle w:val="HTML2"/>
          <w:rFonts w:cs="Arial Unicode MS" w:hint="eastAsia"/>
          <w:sz w:val="21"/>
          <w:szCs w:val="21"/>
        </w:rPr>
        <w:t>旗下部分开放式基金</w:t>
      </w:r>
      <w:r w:rsidRPr="00E457C4">
        <w:rPr>
          <w:rStyle w:val="HTML2"/>
          <w:rFonts w:cs="Arial Unicode MS"/>
          <w:sz w:val="21"/>
          <w:szCs w:val="21"/>
        </w:rPr>
        <w:t>的定期定额投资业务</w:t>
      </w:r>
    </w:p>
    <w:p w:rsidR="006D4FB7" w:rsidRPr="00E457C4" w:rsidRDefault="006D4FB7">
      <w:pPr>
        <w:spacing w:line="360" w:lineRule="auto"/>
        <w:ind w:firstLineChars="200" w:firstLine="420"/>
        <w:jc w:val="left"/>
        <w:rPr>
          <w:rStyle w:val="HTML2"/>
          <w:rFonts w:cs="Arial Unicode MS"/>
          <w:sz w:val="21"/>
          <w:szCs w:val="21"/>
        </w:rPr>
      </w:pPr>
      <w:r w:rsidRPr="00E457C4">
        <w:rPr>
          <w:rStyle w:val="HTML2"/>
          <w:rFonts w:cs="Arial Unicode MS"/>
          <w:sz w:val="21"/>
          <w:szCs w:val="21"/>
        </w:rPr>
        <w:t>定期定额投资业务是指投资者可通过基金管理人指定的销售机构提交申请，约定每期扣款时间、扣款金额，由指定的销售机构于每期约定扣款日在投资者指定资金账户内自动完成扣款，并提交基金申购申请的一种长期投资方式，该业务相关规定如下：</w:t>
      </w:r>
    </w:p>
    <w:p w:rsidR="006D4FB7" w:rsidRPr="00E457C4" w:rsidRDefault="006D4FB7">
      <w:pPr>
        <w:spacing w:line="360" w:lineRule="auto"/>
        <w:ind w:firstLineChars="200" w:firstLine="420"/>
        <w:jc w:val="left"/>
        <w:rPr>
          <w:rStyle w:val="HTML2"/>
          <w:rFonts w:cs="Arial Unicode MS"/>
          <w:sz w:val="21"/>
          <w:szCs w:val="21"/>
        </w:rPr>
      </w:pPr>
      <w:r w:rsidRPr="00E457C4">
        <w:rPr>
          <w:rStyle w:val="HTML2"/>
          <w:rFonts w:cs="Arial Unicode MS" w:hint="eastAsia"/>
          <w:sz w:val="21"/>
          <w:szCs w:val="21"/>
        </w:rPr>
        <w:t>1</w:t>
      </w:r>
      <w:r w:rsidRPr="00E457C4">
        <w:rPr>
          <w:rStyle w:val="HTML2"/>
          <w:rFonts w:cs="Arial Unicode MS"/>
          <w:sz w:val="21"/>
          <w:szCs w:val="21"/>
        </w:rPr>
        <w:t>.除另有公告外，定期定额投资费率与日常申购费率相同。</w:t>
      </w:r>
    </w:p>
    <w:p w:rsidR="006D4FB7" w:rsidRPr="00E457C4" w:rsidRDefault="006D4FB7">
      <w:pPr>
        <w:spacing w:line="360" w:lineRule="auto"/>
        <w:ind w:firstLineChars="200" w:firstLine="420"/>
        <w:jc w:val="left"/>
        <w:rPr>
          <w:rStyle w:val="HTML2"/>
          <w:rFonts w:cs="Arial Unicode MS"/>
          <w:sz w:val="21"/>
          <w:szCs w:val="21"/>
        </w:rPr>
      </w:pPr>
      <w:r w:rsidRPr="00E457C4">
        <w:rPr>
          <w:rStyle w:val="HTML2"/>
          <w:rFonts w:cs="Arial Unicode MS" w:hint="eastAsia"/>
          <w:sz w:val="21"/>
          <w:szCs w:val="21"/>
        </w:rPr>
        <w:t>2</w:t>
      </w:r>
      <w:r w:rsidRPr="00E457C4">
        <w:rPr>
          <w:rStyle w:val="HTML2"/>
          <w:rFonts w:cs="Arial Unicode MS"/>
          <w:sz w:val="21"/>
          <w:szCs w:val="21"/>
        </w:rPr>
        <w:t>.定期定额投资每期扣款金额：投资者</w:t>
      </w:r>
      <w:r w:rsidRPr="00E457C4">
        <w:rPr>
          <w:rStyle w:val="HTML2"/>
          <w:rFonts w:cs="Arial Unicode MS" w:hint="eastAsia"/>
          <w:sz w:val="21"/>
          <w:szCs w:val="21"/>
        </w:rPr>
        <w:t>通过</w:t>
      </w:r>
      <w:r w:rsidR="002552D4" w:rsidRPr="00E457C4">
        <w:rPr>
          <w:rStyle w:val="HTML2"/>
          <w:rFonts w:cs="Arial Unicode MS" w:hint="eastAsia"/>
          <w:sz w:val="21"/>
          <w:szCs w:val="21"/>
        </w:rPr>
        <w:t>东莞农村商业银行</w:t>
      </w:r>
      <w:r w:rsidRPr="00E457C4">
        <w:rPr>
          <w:rStyle w:val="HTML2"/>
          <w:rFonts w:cs="Arial Unicode MS" w:hint="eastAsia"/>
          <w:sz w:val="21"/>
          <w:szCs w:val="21"/>
        </w:rPr>
        <w:t>办理定期定额投资业务，起点金额为1</w:t>
      </w:r>
      <w:r w:rsidR="002552D4" w:rsidRPr="00E457C4">
        <w:rPr>
          <w:rStyle w:val="HTML2"/>
          <w:rFonts w:cs="Arial Unicode MS" w:hint="eastAsia"/>
          <w:sz w:val="21"/>
          <w:szCs w:val="21"/>
        </w:rPr>
        <w:t>00</w:t>
      </w:r>
      <w:r w:rsidRPr="00E457C4">
        <w:rPr>
          <w:rStyle w:val="HTML2"/>
          <w:rFonts w:cs="Arial Unicode MS"/>
          <w:sz w:val="21"/>
          <w:szCs w:val="21"/>
        </w:rPr>
        <w:t>元。</w:t>
      </w:r>
      <w:r w:rsidR="002552D4" w:rsidRPr="00E457C4">
        <w:rPr>
          <w:rStyle w:val="HTML2"/>
          <w:rFonts w:cs="Arial Unicode MS" w:hint="eastAsia"/>
          <w:sz w:val="21"/>
          <w:szCs w:val="21"/>
        </w:rPr>
        <w:t>东莞农村商业银行</w:t>
      </w:r>
      <w:r w:rsidRPr="00E457C4">
        <w:rPr>
          <w:rStyle w:val="HTML2"/>
          <w:rFonts w:cs="Arial Unicode MS" w:hint="eastAsia"/>
          <w:sz w:val="21"/>
          <w:szCs w:val="21"/>
        </w:rPr>
        <w:t>将按照与投资者申请时所约定的每期约定扣款日、扣款金额扣款，并在与基金日常申购业务相同的受理时间内提交申请。若遇非基金开放日时，扣款是否顺延以</w:t>
      </w:r>
      <w:r w:rsidR="002552D4" w:rsidRPr="00E457C4">
        <w:rPr>
          <w:rStyle w:val="HTML2"/>
          <w:rFonts w:cs="Arial Unicode MS" w:hint="eastAsia"/>
          <w:sz w:val="21"/>
          <w:szCs w:val="21"/>
        </w:rPr>
        <w:t>东莞农村商业银行</w:t>
      </w:r>
      <w:r w:rsidRPr="00E457C4">
        <w:rPr>
          <w:rStyle w:val="HTML2"/>
          <w:rFonts w:cs="Arial Unicode MS" w:hint="eastAsia"/>
          <w:sz w:val="21"/>
          <w:szCs w:val="21"/>
        </w:rPr>
        <w:t>的具体规定为准。具体扣款方式以</w:t>
      </w:r>
      <w:r w:rsidR="002552D4" w:rsidRPr="00E457C4">
        <w:rPr>
          <w:rStyle w:val="HTML2"/>
          <w:rFonts w:cs="Arial Unicode MS" w:hint="eastAsia"/>
          <w:sz w:val="21"/>
          <w:szCs w:val="21"/>
        </w:rPr>
        <w:t>东莞农村商业银行</w:t>
      </w:r>
      <w:r w:rsidRPr="00E457C4">
        <w:rPr>
          <w:rStyle w:val="HTML2"/>
          <w:rFonts w:cs="Arial Unicode MS" w:hint="eastAsia"/>
          <w:sz w:val="21"/>
          <w:szCs w:val="21"/>
        </w:rPr>
        <w:t>的相关业务规则为准。</w:t>
      </w:r>
    </w:p>
    <w:p w:rsidR="006D4FB7" w:rsidRPr="00E457C4" w:rsidRDefault="006D4FB7">
      <w:pPr>
        <w:spacing w:line="360" w:lineRule="auto"/>
        <w:ind w:firstLineChars="200" w:firstLine="420"/>
        <w:jc w:val="left"/>
        <w:rPr>
          <w:rStyle w:val="HTML2"/>
          <w:rFonts w:cs="Arial Unicode MS"/>
          <w:sz w:val="21"/>
          <w:szCs w:val="21"/>
        </w:rPr>
      </w:pPr>
      <w:r w:rsidRPr="00E457C4">
        <w:rPr>
          <w:rStyle w:val="HTML2"/>
          <w:rFonts w:cs="Arial Unicode MS" w:hint="eastAsia"/>
          <w:sz w:val="21"/>
          <w:szCs w:val="21"/>
        </w:rPr>
        <w:t>3</w:t>
      </w:r>
      <w:r w:rsidRPr="00E457C4">
        <w:rPr>
          <w:rStyle w:val="HTML2"/>
          <w:rFonts w:cs="Arial Unicode MS"/>
          <w:sz w:val="21"/>
          <w:szCs w:val="21"/>
        </w:rPr>
        <w:t>.基金的注册登记人按照基金申购申请日（T日）的基金份额净值为基准计算申购份额，申购份额通常将在T+1工作日</w:t>
      </w:r>
      <w:r w:rsidR="00E457C4" w:rsidRPr="00040A13">
        <w:rPr>
          <w:rStyle w:val="HTML2"/>
          <w:rFonts w:cs="Arial Unicode MS" w:hint="eastAsia"/>
          <w:sz w:val="21"/>
          <w:szCs w:val="21"/>
        </w:rPr>
        <w:t>（</w:t>
      </w:r>
      <w:r w:rsidR="00040A13" w:rsidRPr="00040A13">
        <w:rPr>
          <w:rStyle w:val="HTML2"/>
          <w:rFonts w:cs="Arial Unicode MS" w:hint="eastAsia"/>
          <w:sz w:val="21"/>
          <w:szCs w:val="21"/>
        </w:rPr>
        <w:t>易方达中短期美元债债券型基金（QDII）A类人民币基金份额</w:t>
      </w:r>
      <w:r w:rsidR="00E457C4" w:rsidRPr="00040A13">
        <w:rPr>
          <w:rStyle w:val="HTML2"/>
          <w:rFonts w:cs="Arial Unicode MS" w:hint="eastAsia"/>
          <w:sz w:val="21"/>
          <w:szCs w:val="21"/>
        </w:rPr>
        <w:t>、</w:t>
      </w:r>
      <w:r w:rsidR="00040A13" w:rsidRPr="00040A13">
        <w:rPr>
          <w:rStyle w:val="HTML2"/>
          <w:rFonts w:cs="Arial Unicode MS" w:hint="eastAsia"/>
          <w:sz w:val="21"/>
          <w:szCs w:val="21"/>
        </w:rPr>
        <w:t>易方达中短期美元债债券型基金（QDII）C类人民币基金份额、</w:t>
      </w:r>
      <w:r w:rsidR="00040A13" w:rsidRPr="00040A13">
        <w:rPr>
          <w:rFonts w:ascii="宋体" w:hAnsi="宋体" w:cs="宋体" w:hint="eastAsia"/>
          <w:kern w:val="0"/>
          <w:sz w:val="22"/>
          <w:szCs w:val="22"/>
        </w:rPr>
        <w:t>易方达全球医药行业混合型发起式（QDII）人民币基金份额</w:t>
      </w:r>
      <w:r w:rsidR="00040A13" w:rsidRPr="00CE3F08">
        <w:rPr>
          <w:rStyle w:val="HTML2"/>
          <w:rFonts w:cs="Arial Unicode MS"/>
          <w:sz w:val="21"/>
          <w:szCs w:val="21"/>
        </w:rPr>
        <w:t>为</w:t>
      </w:r>
      <w:r w:rsidR="00E457C4" w:rsidRPr="00040A13">
        <w:rPr>
          <w:rStyle w:val="HTML2"/>
          <w:rFonts w:cs="Arial Unicode MS"/>
          <w:sz w:val="21"/>
          <w:szCs w:val="21"/>
        </w:rPr>
        <w:t>T+2工作日）</w:t>
      </w:r>
      <w:r w:rsidRPr="00E457C4">
        <w:rPr>
          <w:rStyle w:val="HTML2"/>
          <w:rFonts w:cs="Arial Unicode MS" w:hint="eastAsia"/>
          <w:sz w:val="21"/>
          <w:szCs w:val="21"/>
        </w:rPr>
        <w:t>确认成功后直接计入投资者的基金账户，投资者可自</w:t>
      </w:r>
      <w:r w:rsidRPr="00E457C4">
        <w:rPr>
          <w:rStyle w:val="HTML2"/>
          <w:rFonts w:cs="Arial Unicode MS"/>
          <w:sz w:val="21"/>
          <w:szCs w:val="21"/>
        </w:rPr>
        <w:t>T+2工作日</w:t>
      </w:r>
      <w:r w:rsidR="00E457C4" w:rsidRPr="00040A13">
        <w:rPr>
          <w:rStyle w:val="HTML2"/>
          <w:rFonts w:cs="Arial Unicode MS" w:hint="eastAsia"/>
          <w:sz w:val="21"/>
          <w:szCs w:val="21"/>
        </w:rPr>
        <w:t>（</w:t>
      </w:r>
      <w:r w:rsidR="00040A13" w:rsidRPr="00040A13">
        <w:rPr>
          <w:rStyle w:val="HTML2"/>
          <w:rFonts w:cs="Arial Unicode MS" w:hint="eastAsia"/>
          <w:sz w:val="21"/>
          <w:szCs w:val="21"/>
        </w:rPr>
        <w:t>易方达中短期美元债债券型基金（QDII）A类人民币基金份额、易方达中短期美元债债券型基金（QDII）C类人民币基金份额、易方达全球医药行业混合型发起式（QDII）人民币基金份额为</w:t>
      </w:r>
      <w:r w:rsidR="00E457C4" w:rsidRPr="00040A13">
        <w:rPr>
          <w:rStyle w:val="HTML2"/>
          <w:rFonts w:cs="Arial Unicode MS"/>
          <w:sz w:val="21"/>
          <w:szCs w:val="21"/>
        </w:rPr>
        <w:t>T+3工作日）</w:t>
      </w:r>
      <w:r w:rsidRPr="00E457C4">
        <w:rPr>
          <w:rStyle w:val="HTML2"/>
          <w:rFonts w:cs="Arial Unicode MS" w:hint="eastAsia"/>
          <w:sz w:val="21"/>
          <w:szCs w:val="21"/>
        </w:rPr>
        <w:t>起查询申购成交情况。</w:t>
      </w:r>
    </w:p>
    <w:p w:rsidR="006D4FB7" w:rsidRPr="00E457C4" w:rsidRDefault="006D4FB7">
      <w:pPr>
        <w:spacing w:line="360" w:lineRule="auto"/>
        <w:ind w:firstLineChars="200" w:firstLine="420"/>
        <w:jc w:val="left"/>
        <w:rPr>
          <w:rStyle w:val="HTML2"/>
          <w:rFonts w:cs="Arial Unicode MS"/>
          <w:sz w:val="21"/>
          <w:szCs w:val="21"/>
        </w:rPr>
      </w:pPr>
      <w:r w:rsidRPr="00E457C4">
        <w:rPr>
          <w:rStyle w:val="HTML2"/>
          <w:rFonts w:cs="Arial Unicode MS" w:hint="eastAsia"/>
          <w:sz w:val="21"/>
          <w:szCs w:val="21"/>
        </w:rPr>
        <w:t>4</w:t>
      </w:r>
      <w:r w:rsidRPr="00E457C4">
        <w:rPr>
          <w:rStyle w:val="HTML2"/>
          <w:rFonts w:cs="Arial Unicode MS"/>
          <w:sz w:val="21"/>
          <w:szCs w:val="21"/>
        </w:rPr>
        <w:t>.当发生限制申购或暂停申购的情形时，除另有公告外，定期定额投资与日常申购按相同的原则确认。</w:t>
      </w:r>
    </w:p>
    <w:p w:rsidR="006D4FB7" w:rsidRPr="00E457C4" w:rsidRDefault="006D4FB7">
      <w:pPr>
        <w:spacing w:line="360" w:lineRule="auto"/>
        <w:ind w:firstLineChars="200" w:firstLine="420"/>
        <w:jc w:val="left"/>
        <w:rPr>
          <w:rStyle w:val="HTML2"/>
          <w:rFonts w:cs="Arial Unicode MS" w:hint="eastAsia"/>
          <w:sz w:val="21"/>
          <w:szCs w:val="21"/>
        </w:rPr>
      </w:pPr>
      <w:r w:rsidRPr="00E457C4">
        <w:rPr>
          <w:rStyle w:val="HTML2"/>
          <w:rFonts w:cs="Arial Unicode MS" w:hint="eastAsia"/>
          <w:sz w:val="21"/>
          <w:szCs w:val="21"/>
        </w:rPr>
        <w:t>5</w:t>
      </w:r>
      <w:r w:rsidRPr="00E457C4">
        <w:rPr>
          <w:rStyle w:val="HTML2"/>
          <w:rFonts w:cs="Arial Unicode MS"/>
          <w:sz w:val="21"/>
          <w:szCs w:val="21"/>
        </w:rPr>
        <w:t>.定期定额投资业务的其它具体办理程序请遵循</w:t>
      </w:r>
      <w:r w:rsidR="002552D4" w:rsidRPr="00E457C4">
        <w:rPr>
          <w:rStyle w:val="HTML2"/>
          <w:rFonts w:cs="Arial Unicode MS" w:hint="eastAsia"/>
          <w:sz w:val="21"/>
          <w:szCs w:val="21"/>
        </w:rPr>
        <w:t>东莞农村商业银行</w:t>
      </w:r>
      <w:r w:rsidRPr="00E457C4">
        <w:rPr>
          <w:rStyle w:val="HTML2"/>
          <w:rFonts w:cs="Arial Unicode MS" w:hint="eastAsia"/>
          <w:sz w:val="21"/>
          <w:szCs w:val="21"/>
        </w:rPr>
        <w:t>的有关规定。</w:t>
      </w:r>
    </w:p>
    <w:p w:rsidR="006D4FB7" w:rsidRPr="00E457C4" w:rsidRDefault="006D4FB7">
      <w:pPr>
        <w:spacing w:line="360" w:lineRule="auto"/>
        <w:ind w:firstLineChars="200" w:firstLine="420"/>
        <w:jc w:val="left"/>
        <w:rPr>
          <w:rStyle w:val="HTML2"/>
          <w:rFonts w:cs="Arial Unicode MS"/>
          <w:sz w:val="21"/>
          <w:szCs w:val="21"/>
        </w:rPr>
      </w:pPr>
      <w:r w:rsidRPr="00E457C4">
        <w:rPr>
          <w:rStyle w:val="HTML2"/>
          <w:rFonts w:cs="Arial Unicode MS" w:hint="eastAsia"/>
          <w:sz w:val="21"/>
          <w:szCs w:val="21"/>
        </w:rPr>
        <w:t>三、重要提示</w:t>
      </w:r>
    </w:p>
    <w:p w:rsidR="006D4FB7" w:rsidRPr="00E457C4" w:rsidRDefault="006D4FB7">
      <w:pPr>
        <w:spacing w:line="360" w:lineRule="auto"/>
        <w:ind w:firstLineChars="200" w:firstLine="420"/>
        <w:jc w:val="left"/>
        <w:rPr>
          <w:rStyle w:val="HTML2"/>
          <w:rFonts w:cs="Arial Unicode MS"/>
          <w:sz w:val="21"/>
          <w:szCs w:val="21"/>
        </w:rPr>
      </w:pPr>
      <w:r w:rsidRPr="00E457C4">
        <w:rPr>
          <w:rStyle w:val="HTML2"/>
          <w:rFonts w:cs="Arial Unicode MS"/>
          <w:sz w:val="21"/>
          <w:szCs w:val="21"/>
        </w:rPr>
        <w:lastRenderedPageBreak/>
        <w:t>1.本公司所管理的尚未开通定期定额投资业务的开放式基金及今后发行的开放式基金是否开通定期定额投资业务将根据具体情况确定并另行公告。若今后</w:t>
      </w:r>
      <w:r w:rsidR="002552D4" w:rsidRPr="00E457C4">
        <w:rPr>
          <w:rStyle w:val="HTML2"/>
          <w:rFonts w:cs="Arial Unicode MS" w:hint="eastAsia"/>
          <w:sz w:val="21"/>
          <w:szCs w:val="21"/>
        </w:rPr>
        <w:t>东莞农村商业银行</w:t>
      </w:r>
      <w:r w:rsidRPr="00E457C4">
        <w:rPr>
          <w:rStyle w:val="HTML2"/>
          <w:rFonts w:cs="Arial Unicode MS" w:hint="eastAsia"/>
          <w:sz w:val="21"/>
          <w:szCs w:val="21"/>
        </w:rPr>
        <w:t>依据法律法规及基金相关法律文件对定期定额投资起点金额进行调整，在不低于本公司对各基金设定的定期定额投资起点金额的前提下，以</w:t>
      </w:r>
      <w:r w:rsidR="002552D4" w:rsidRPr="00E457C4">
        <w:rPr>
          <w:rStyle w:val="HTML2"/>
          <w:rFonts w:cs="Arial Unicode MS" w:hint="eastAsia"/>
          <w:sz w:val="21"/>
          <w:szCs w:val="21"/>
        </w:rPr>
        <w:t>东莞农村商业银行</w:t>
      </w:r>
      <w:r w:rsidRPr="00E457C4">
        <w:rPr>
          <w:rStyle w:val="HTML2"/>
          <w:rFonts w:cs="Arial Unicode MS" w:hint="eastAsia"/>
          <w:sz w:val="21"/>
          <w:szCs w:val="21"/>
        </w:rPr>
        <w:t>最新规定为准。</w:t>
      </w:r>
    </w:p>
    <w:p w:rsidR="006D4FB7" w:rsidRPr="00E457C4" w:rsidRDefault="006D4FB7">
      <w:pPr>
        <w:spacing w:line="360" w:lineRule="auto"/>
        <w:ind w:firstLineChars="200" w:firstLine="420"/>
        <w:jc w:val="left"/>
        <w:rPr>
          <w:rStyle w:val="HTML2"/>
          <w:rFonts w:cs="Arial Unicode MS"/>
          <w:sz w:val="21"/>
          <w:szCs w:val="21"/>
        </w:rPr>
      </w:pPr>
      <w:r w:rsidRPr="00E457C4">
        <w:rPr>
          <w:rStyle w:val="HTML2"/>
          <w:rFonts w:cs="Arial Unicode MS"/>
          <w:sz w:val="21"/>
          <w:szCs w:val="21"/>
        </w:rPr>
        <w:t>2.</w:t>
      </w:r>
      <w:r w:rsidRPr="00E457C4">
        <w:rPr>
          <w:rStyle w:val="HTML2"/>
          <w:rFonts w:cs="Arial Unicode MS" w:hint="eastAsia"/>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基金份额的行为。基金转换业务规则与转换费用请仔细阅读各基金的基金合同、招募说明书（</w:t>
      </w:r>
      <w:r w:rsidRPr="00E457C4">
        <w:rPr>
          <w:rStyle w:val="HTML2"/>
          <w:rFonts w:cs="Arial Unicode MS"/>
          <w:sz w:val="21"/>
          <w:szCs w:val="21"/>
        </w:rPr>
        <w:t>更新）</w:t>
      </w:r>
      <w:r w:rsidRPr="00E457C4">
        <w:rPr>
          <w:rStyle w:val="HTML2"/>
          <w:rFonts w:cs="Arial Unicode MS" w:hint="eastAsia"/>
          <w:sz w:val="21"/>
          <w:szCs w:val="21"/>
        </w:rPr>
        <w:t>等法律文件及相关公告。</w:t>
      </w:r>
    </w:p>
    <w:p w:rsidR="006D4FB7" w:rsidRPr="00E457C4" w:rsidRDefault="006D4FB7">
      <w:pPr>
        <w:spacing w:line="360" w:lineRule="auto"/>
        <w:ind w:firstLineChars="200" w:firstLine="420"/>
        <w:jc w:val="left"/>
        <w:rPr>
          <w:rStyle w:val="HTML2"/>
          <w:rFonts w:cs="Arial Unicode MS"/>
          <w:sz w:val="21"/>
          <w:szCs w:val="21"/>
        </w:rPr>
      </w:pPr>
      <w:r w:rsidRPr="00E457C4">
        <w:rPr>
          <w:rStyle w:val="HTML2"/>
          <w:rFonts w:cs="Arial Unicode MS"/>
          <w:sz w:val="21"/>
          <w:szCs w:val="21"/>
        </w:rPr>
        <w:t>3.上述基金最新交易状态请关注本公司相关公告。</w:t>
      </w:r>
    </w:p>
    <w:p w:rsidR="006D4FB7" w:rsidRPr="00E457C4" w:rsidRDefault="006D4FB7">
      <w:pPr>
        <w:spacing w:line="360" w:lineRule="auto"/>
        <w:ind w:firstLineChars="200" w:firstLine="420"/>
        <w:jc w:val="left"/>
        <w:rPr>
          <w:rStyle w:val="HTML2"/>
          <w:rFonts w:cs="Arial Unicode MS"/>
          <w:sz w:val="21"/>
          <w:szCs w:val="21"/>
        </w:rPr>
      </w:pPr>
      <w:r w:rsidRPr="00E457C4">
        <w:rPr>
          <w:rStyle w:val="HTML2"/>
          <w:rFonts w:cs="Arial Unicode MS"/>
          <w:sz w:val="21"/>
          <w:szCs w:val="21"/>
        </w:rPr>
        <w:t>4</w:t>
      </w:r>
      <w:r w:rsidRPr="00E457C4">
        <w:rPr>
          <w:rStyle w:val="HTML2"/>
          <w:rFonts w:cs="Arial Unicode MS" w:hint="eastAsia"/>
          <w:sz w:val="21"/>
          <w:szCs w:val="21"/>
        </w:rPr>
        <w:t>.本公告的解释权归易方达基金管理有限公司所有。</w:t>
      </w:r>
    </w:p>
    <w:p w:rsidR="006D4FB7" w:rsidRPr="00E457C4" w:rsidRDefault="006D4FB7">
      <w:pPr>
        <w:spacing w:line="360" w:lineRule="auto"/>
        <w:ind w:left="420"/>
        <w:jc w:val="left"/>
        <w:outlineLvl w:val="0"/>
        <w:rPr>
          <w:rStyle w:val="HTML2"/>
          <w:rFonts w:cs="Arial Unicode MS"/>
          <w:sz w:val="21"/>
          <w:szCs w:val="21"/>
        </w:rPr>
      </w:pPr>
      <w:r w:rsidRPr="00E457C4">
        <w:rPr>
          <w:rStyle w:val="HTML2"/>
          <w:rFonts w:cs="Arial Unicode MS" w:hint="eastAsia"/>
          <w:sz w:val="21"/>
          <w:szCs w:val="21"/>
        </w:rPr>
        <w:t>四、</w:t>
      </w:r>
      <w:r w:rsidRPr="00E457C4">
        <w:rPr>
          <w:rStyle w:val="HTML2"/>
          <w:rFonts w:cs="Arial Unicode MS"/>
          <w:sz w:val="21"/>
          <w:szCs w:val="21"/>
        </w:rPr>
        <w:t>投资者可通过以下途径咨询有关详情</w:t>
      </w:r>
    </w:p>
    <w:p w:rsidR="006D4FB7" w:rsidRPr="00E457C4" w:rsidRDefault="006D4FB7" w:rsidP="00E457C4">
      <w:pPr>
        <w:spacing w:line="360" w:lineRule="auto"/>
        <w:ind w:firstLineChars="200" w:firstLine="420"/>
        <w:jc w:val="left"/>
        <w:rPr>
          <w:rStyle w:val="HTML2"/>
          <w:rFonts w:cs="Arial Unicode MS"/>
          <w:sz w:val="21"/>
          <w:szCs w:val="21"/>
        </w:rPr>
      </w:pPr>
      <w:r w:rsidRPr="00E457C4">
        <w:rPr>
          <w:rStyle w:val="HTML2"/>
          <w:rFonts w:cs="Arial Unicode MS" w:hint="eastAsia"/>
          <w:sz w:val="21"/>
          <w:szCs w:val="21"/>
        </w:rPr>
        <w:t>1</w:t>
      </w:r>
      <w:r w:rsidRPr="00E457C4">
        <w:rPr>
          <w:rStyle w:val="HTML2"/>
          <w:rFonts w:cs="Arial Unicode MS"/>
          <w:sz w:val="21"/>
          <w:szCs w:val="21"/>
        </w:rPr>
        <w:t>.</w:t>
      </w:r>
      <w:r w:rsidR="002552D4" w:rsidRPr="00E457C4">
        <w:rPr>
          <w:rStyle w:val="HTML2"/>
          <w:rFonts w:cs="Arial Unicode MS" w:hint="eastAsia"/>
          <w:sz w:val="21"/>
          <w:szCs w:val="21"/>
        </w:rPr>
        <w:t>东莞农村商业银行</w:t>
      </w:r>
    </w:p>
    <w:p w:rsidR="0043422D" w:rsidRPr="0043422D" w:rsidRDefault="0043422D" w:rsidP="0043422D">
      <w:pPr>
        <w:spacing w:line="360" w:lineRule="auto"/>
        <w:ind w:firstLineChars="200" w:firstLine="420"/>
        <w:jc w:val="left"/>
        <w:rPr>
          <w:rStyle w:val="HTML2"/>
          <w:rFonts w:cs="Arial Unicode MS" w:hint="eastAsia"/>
          <w:sz w:val="21"/>
          <w:szCs w:val="21"/>
        </w:rPr>
      </w:pPr>
      <w:r w:rsidRPr="0043422D">
        <w:rPr>
          <w:rStyle w:val="HTML2"/>
          <w:rFonts w:cs="Arial Unicode MS" w:hint="eastAsia"/>
          <w:sz w:val="21"/>
          <w:szCs w:val="21"/>
        </w:rPr>
        <w:t>注册地址：广东省东莞市东城区鸿福东路2号</w:t>
      </w:r>
    </w:p>
    <w:p w:rsidR="0043422D" w:rsidRPr="0043422D" w:rsidRDefault="0043422D" w:rsidP="0043422D">
      <w:pPr>
        <w:spacing w:line="360" w:lineRule="auto"/>
        <w:ind w:firstLineChars="200" w:firstLine="420"/>
        <w:jc w:val="left"/>
        <w:rPr>
          <w:rStyle w:val="HTML2"/>
          <w:rFonts w:cs="Arial Unicode MS" w:hint="eastAsia"/>
          <w:sz w:val="21"/>
          <w:szCs w:val="21"/>
        </w:rPr>
      </w:pPr>
      <w:r w:rsidRPr="0043422D">
        <w:rPr>
          <w:rStyle w:val="HTML2"/>
          <w:rFonts w:cs="Arial Unicode MS" w:hint="eastAsia"/>
          <w:sz w:val="21"/>
          <w:szCs w:val="21"/>
        </w:rPr>
        <w:t>办公地址：广东省东莞市东城区鸿福东路2号东莞农商银行大厦</w:t>
      </w:r>
    </w:p>
    <w:p w:rsidR="0043422D" w:rsidRPr="0043422D" w:rsidRDefault="0043422D" w:rsidP="0043422D">
      <w:pPr>
        <w:spacing w:line="360" w:lineRule="auto"/>
        <w:ind w:firstLineChars="200" w:firstLine="420"/>
        <w:jc w:val="left"/>
        <w:rPr>
          <w:rStyle w:val="HTML2"/>
          <w:rFonts w:cs="Arial Unicode MS" w:hint="eastAsia"/>
          <w:sz w:val="21"/>
          <w:szCs w:val="21"/>
        </w:rPr>
      </w:pPr>
      <w:r w:rsidRPr="0043422D">
        <w:rPr>
          <w:rStyle w:val="HTML2"/>
          <w:rFonts w:cs="Arial Unicode MS" w:hint="eastAsia"/>
          <w:sz w:val="21"/>
          <w:szCs w:val="21"/>
        </w:rPr>
        <w:t>法定代表人：王耀球</w:t>
      </w:r>
    </w:p>
    <w:p w:rsidR="0043422D" w:rsidRPr="0043422D" w:rsidRDefault="0043422D" w:rsidP="0043422D">
      <w:pPr>
        <w:spacing w:line="360" w:lineRule="auto"/>
        <w:ind w:firstLineChars="200" w:firstLine="420"/>
        <w:jc w:val="left"/>
        <w:rPr>
          <w:rStyle w:val="HTML2"/>
          <w:rFonts w:cs="Arial Unicode MS" w:hint="eastAsia"/>
          <w:sz w:val="21"/>
          <w:szCs w:val="21"/>
        </w:rPr>
      </w:pPr>
      <w:r w:rsidRPr="0043422D">
        <w:rPr>
          <w:rStyle w:val="HTML2"/>
          <w:rFonts w:cs="Arial Unicode MS" w:hint="eastAsia"/>
          <w:sz w:val="21"/>
          <w:szCs w:val="21"/>
        </w:rPr>
        <w:t>联系人：钟燕珊</w:t>
      </w:r>
    </w:p>
    <w:p w:rsidR="0043422D" w:rsidRPr="0043422D" w:rsidRDefault="0043422D" w:rsidP="0043422D">
      <w:pPr>
        <w:spacing w:line="360" w:lineRule="auto"/>
        <w:ind w:firstLineChars="200" w:firstLine="420"/>
        <w:jc w:val="left"/>
        <w:rPr>
          <w:rStyle w:val="HTML2"/>
          <w:rFonts w:cs="Arial Unicode MS" w:hint="eastAsia"/>
          <w:sz w:val="21"/>
          <w:szCs w:val="21"/>
        </w:rPr>
      </w:pPr>
      <w:r w:rsidRPr="0043422D">
        <w:rPr>
          <w:rStyle w:val="HTML2"/>
          <w:rFonts w:cs="Arial Unicode MS" w:hint="eastAsia"/>
          <w:sz w:val="21"/>
          <w:szCs w:val="21"/>
        </w:rPr>
        <w:t>客户服务电话：0769-961122</w:t>
      </w:r>
    </w:p>
    <w:p w:rsidR="0043422D" w:rsidRPr="00E457C4" w:rsidRDefault="0043422D" w:rsidP="0043422D">
      <w:pPr>
        <w:spacing w:line="360" w:lineRule="auto"/>
        <w:ind w:firstLineChars="200" w:firstLine="420"/>
        <w:jc w:val="left"/>
        <w:rPr>
          <w:rStyle w:val="HTML2"/>
          <w:rFonts w:cs="Arial Unicode MS"/>
          <w:sz w:val="21"/>
          <w:szCs w:val="21"/>
        </w:rPr>
      </w:pPr>
      <w:r w:rsidRPr="0043422D">
        <w:rPr>
          <w:rStyle w:val="HTML2"/>
          <w:rFonts w:cs="Arial Unicode MS" w:hint="eastAsia"/>
          <w:sz w:val="21"/>
          <w:szCs w:val="21"/>
        </w:rPr>
        <w:t>网址：www.drcbank.com</w:t>
      </w:r>
    </w:p>
    <w:p w:rsidR="006D4FB7" w:rsidRPr="00E457C4" w:rsidRDefault="006D4FB7">
      <w:pPr>
        <w:tabs>
          <w:tab w:val="left" w:pos="824"/>
        </w:tabs>
        <w:spacing w:line="360" w:lineRule="auto"/>
        <w:ind w:firstLineChars="200" w:firstLine="420"/>
        <w:jc w:val="left"/>
        <w:rPr>
          <w:rFonts w:ascii="宋体" w:hAnsi="宋体" w:cs="Arial Unicode MS"/>
          <w:szCs w:val="21"/>
        </w:rPr>
      </w:pPr>
      <w:r w:rsidRPr="00E457C4">
        <w:rPr>
          <w:rFonts w:ascii="宋体" w:hAnsi="宋体" w:cs="Arial Unicode MS" w:hint="eastAsia"/>
          <w:szCs w:val="21"/>
        </w:rPr>
        <w:t>2</w:t>
      </w:r>
      <w:r w:rsidRPr="00E457C4">
        <w:rPr>
          <w:rFonts w:ascii="宋体" w:hAnsi="宋体" w:cs="Arial Unicode MS"/>
          <w:szCs w:val="21"/>
        </w:rPr>
        <w:t>.</w:t>
      </w:r>
      <w:r w:rsidRPr="00E457C4">
        <w:rPr>
          <w:rFonts w:ascii="宋体" w:hAnsi="宋体" w:cs="Arial Unicode MS" w:hint="eastAsia"/>
          <w:szCs w:val="21"/>
        </w:rPr>
        <w:t>易方达基金管理有限公司</w:t>
      </w:r>
    </w:p>
    <w:p w:rsidR="006D4FB7" w:rsidRPr="00E457C4" w:rsidRDefault="006D4FB7">
      <w:pPr>
        <w:spacing w:line="360" w:lineRule="auto"/>
        <w:ind w:firstLineChars="200" w:firstLine="420"/>
        <w:jc w:val="left"/>
        <w:rPr>
          <w:rFonts w:ascii="宋体" w:hAnsi="宋体" w:cs="Arial Unicode MS"/>
          <w:szCs w:val="21"/>
        </w:rPr>
      </w:pPr>
      <w:r w:rsidRPr="00E457C4">
        <w:rPr>
          <w:rStyle w:val="HTML2"/>
          <w:rFonts w:cs="Arial Unicode MS"/>
          <w:sz w:val="21"/>
          <w:szCs w:val="21"/>
        </w:rPr>
        <w:t>客户服务电话：400-881-8088</w:t>
      </w:r>
    </w:p>
    <w:p w:rsidR="006D4FB7" w:rsidRPr="00E457C4" w:rsidRDefault="006D4FB7">
      <w:pPr>
        <w:spacing w:line="360" w:lineRule="auto"/>
        <w:ind w:firstLineChars="200" w:firstLine="420"/>
        <w:jc w:val="left"/>
        <w:rPr>
          <w:rStyle w:val="HTML2"/>
          <w:rFonts w:cs="Arial Unicode MS"/>
          <w:sz w:val="21"/>
          <w:szCs w:val="21"/>
        </w:rPr>
      </w:pPr>
      <w:r w:rsidRPr="00E457C4">
        <w:rPr>
          <w:rStyle w:val="HTML2"/>
          <w:rFonts w:cs="Arial Unicode MS"/>
          <w:sz w:val="21"/>
          <w:szCs w:val="21"/>
        </w:rPr>
        <w:t>网址：</w:t>
      </w:r>
      <w:hyperlink r:id="rId6" w:history="1">
        <w:r w:rsidRPr="00E457C4">
          <w:rPr>
            <w:rStyle w:val="a4"/>
            <w:rFonts w:ascii="宋体" w:hAnsi="宋体" w:cs="Arial Unicode MS"/>
            <w:color w:val="auto"/>
            <w:szCs w:val="21"/>
          </w:rPr>
          <w:t>www.efunds.com.cn</w:t>
        </w:r>
      </w:hyperlink>
    </w:p>
    <w:p w:rsidR="006D4FB7" w:rsidRPr="00E457C4" w:rsidRDefault="006D4FB7">
      <w:pPr>
        <w:spacing w:line="360" w:lineRule="auto"/>
        <w:ind w:firstLineChars="200" w:firstLine="420"/>
        <w:jc w:val="left"/>
        <w:rPr>
          <w:rFonts w:ascii="宋体" w:hAnsi="宋体" w:cs="Arial Unicode MS"/>
          <w:szCs w:val="21"/>
        </w:rPr>
      </w:pPr>
      <w:r w:rsidRPr="00E457C4">
        <w:rPr>
          <w:rFonts w:ascii="宋体" w:hAnsi="宋体" w:cs="Arial Unicode MS" w:hint="eastAsia"/>
          <w:szCs w:val="21"/>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w:t>
      </w:r>
      <w:r w:rsidR="00CE3F08">
        <w:rPr>
          <w:rFonts w:ascii="宋体" w:hAnsi="宋体" w:cs="Arial Unicode MS" w:hint="eastAsia"/>
          <w:szCs w:val="21"/>
        </w:rPr>
        <w:t>（更新）</w:t>
      </w:r>
      <w:r w:rsidRPr="00E457C4">
        <w:rPr>
          <w:rFonts w:ascii="宋体" w:hAnsi="宋体" w:cs="Arial Unicode MS" w:hint="eastAsia"/>
          <w:szCs w:val="21"/>
        </w:rPr>
        <w:t>等基金法律文件，全面认识基金产品的风险收益特征，在了解产品情况及听取销售机构适当性意见的基础上，根据自身的风险承受能力、投资期限和投资目标，对基金投资作出独立决策，选择合适的基金产品。</w:t>
      </w:r>
      <w:r w:rsidR="00CE3F08" w:rsidRPr="00CE3F08">
        <w:rPr>
          <w:rFonts w:ascii="宋体" w:hAnsi="宋体" w:cs="Arial Unicode MS" w:hint="eastAsia"/>
          <w:szCs w:val="21"/>
        </w:rPr>
        <w:t>基金管理人提醒投资者基金投资的“买者自负”原则，在投资者作出投资决策后，基金运营状况与基金净值变化引致的投资风险，由投资者自行负责。</w:t>
      </w:r>
    </w:p>
    <w:p w:rsidR="006D4FB7" w:rsidRPr="00E457C4" w:rsidRDefault="006D4FB7">
      <w:pPr>
        <w:spacing w:line="360" w:lineRule="auto"/>
        <w:ind w:firstLineChars="200" w:firstLine="420"/>
        <w:jc w:val="left"/>
        <w:rPr>
          <w:rStyle w:val="HTML2"/>
          <w:rFonts w:cs="Arial Unicode MS"/>
          <w:sz w:val="21"/>
          <w:szCs w:val="21"/>
        </w:rPr>
      </w:pPr>
      <w:r w:rsidRPr="00E457C4">
        <w:rPr>
          <w:rStyle w:val="HTML2"/>
          <w:rFonts w:cs="Arial Unicode MS"/>
          <w:sz w:val="21"/>
          <w:szCs w:val="21"/>
        </w:rPr>
        <w:t>特此公告。</w:t>
      </w:r>
    </w:p>
    <w:p w:rsidR="006D4FB7" w:rsidRPr="00E457C4" w:rsidRDefault="006D4FB7">
      <w:pPr>
        <w:spacing w:line="360" w:lineRule="auto"/>
        <w:ind w:firstLineChars="200" w:firstLine="420"/>
        <w:jc w:val="right"/>
        <w:rPr>
          <w:rStyle w:val="HTML2"/>
          <w:rFonts w:cs="Arial Unicode MS"/>
          <w:sz w:val="21"/>
          <w:szCs w:val="21"/>
        </w:rPr>
      </w:pPr>
      <w:r w:rsidRPr="00E457C4">
        <w:rPr>
          <w:rStyle w:val="HTML2"/>
          <w:rFonts w:cs="Arial Unicode MS"/>
          <w:sz w:val="21"/>
          <w:szCs w:val="21"/>
        </w:rPr>
        <w:t>易方达基金管理有限公司</w:t>
      </w:r>
    </w:p>
    <w:p w:rsidR="006D4FB7" w:rsidRPr="00E457C4" w:rsidRDefault="006D4FB7">
      <w:pPr>
        <w:spacing w:line="360" w:lineRule="auto"/>
        <w:ind w:firstLineChars="200" w:firstLine="420"/>
        <w:jc w:val="right"/>
        <w:rPr>
          <w:rFonts w:ascii="宋体" w:hAnsi="宋体"/>
          <w:szCs w:val="21"/>
        </w:rPr>
      </w:pPr>
      <w:r w:rsidRPr="00E457C4">
        <w:rPr>
          <w:rStyle w:val="HTML2"/>
          <w:rFonts w:cs="Arial Unicode MS"/>
          <w:sz w:val="21"/>
          <w:szCs w:val="21"/>
        </w:rPr>
        <w:t>2020年</w:t>
      </w:r>
      <w:r w:rsidR="00040A13">
        <w:rPr>
          <w:rStyle w:val="HTML2"/>
          <w:rFonts w:cs="Arial Unicode MS"/>
          <w:sz w:val="21"/>
          <w:szCs w:val="21"/>
        </w:rPr>
        <w:t>4</w:t>
      </w:r>
      <w:r w:rsidRPr="00E457C4">
        <w:rPr>
          <w:rStyle w:val="HTML2"/>
          <w:rFonts w:cs="Arial Unicode MS"/>
          <w:sz w:val="21"/>
          <w:szCs w:val="21"/>
        </w:rPr>
        <w:t>月2</w:t>
      </w:r>
      <w:r w:rsidR="00040A13">
        <w:rPr>
          <w:rStyle w:val="HTML2"/>
          <w:rFonts w:cs="Arial Unicode MS"/>
          <w:sz w:val="21"/>
          <w:szCs w:val="21"/>
        </w:rPr>
        <w:t>9</w:t>
      </w:r>
      <w:r w:rsidRPr="00E457C4">
        <w:rPr>
          <w:rStyle w:val="HTML2"/>
          <w:rFonts w:cs="Arial Unicode MS"/>
          <w:sz w:val="21"/>
          <w:szCs w:val="21"/>
        </w:rPr>
        <w:t>日</w:t>
      </w:r>
    </w:p>
    <w:sectPr w:rsidR="006D4FB7" w:rsidRPr="00E457C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4C6" w:rsidRDefault="009654C6" w:rsidP="00A25D29">
      <w:r>
        <w:separator/>
      </w:r>
    </w:p>
  </w:endnote>
  <w:endnote w:type="continuationSeparator" w:id="1">
    <w:p w:rsidR="009654C6" w:rsidRDefault="009654C6" w:rsidP="00A25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FontAwesome">
    <w:altName w:val="Segoe Print"/>
    <w:charset w:val="00"/>
    <w:family w:val="auto"/>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4C6" w:rsidRDefault="009654C6" w:rsidP="00A25D29">
      <w:r>
        <w:separator/>
      </w:r>
    </w:p>
  </w:footnote>
  <w:footnote w:type="continuationSeparator" w:id="1">
    <w:p w:rsidR="009654C6" w:rsidRDefault="009654C6" w:rsidP="00A25D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420"/>
  <w:drawingGridVerticalSpacing w:val="156"/>
  <w:noPunctuationKerning/>
  <w:characterSpacingControl w:val="compressPunctuation"/>
  <w:hdrShapeDefaults>
    <o:shapedefaults v:ext="edit" spidmax="307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5BEB"/>
    <w:rsid w:val="00012A79"/>
    <w:rsid w:val="0001362B"/>
    <w:rsid w:val="00020481"/>
    <w:rsid w:val="0003027C"/>
    <w:rsid w:val="000336E9"/>
    <w:rsid w:val="00034C84"/>
    <w:rsid w:val="00040A13"/>
    <w:rsid w:val="000420EE"/>
    <w:rsid w:val="00042473"/>
    <w:rsid w:val="000425B7"/>
    <w:rsid w:val="000450AD"/>
    <w:rsid w:val="00045824"/>
    <w:rsid w:val="0004768D"/>
    <w:rsid w:val="0005739E"/>
    <w:rsid w:val="000574F7"/>
    <w:rsid w:val="000618A7"/>
    <w:rsid w:val="0006316B"/>
    <w:rsid w:val="00065742"/>
    <w:rsid w:val="00065C47"/>
    <w:rsid w:val="00071F41"/>
    <w:rsid w:val="00077FD2"/>
    <w:rsid w:val="00085665"/>
    <w:rsid w:val="0009279F"/>
    <w:rsid w:val="000A2A82"/>
    <w:rsid w:val="000B1675"/>
    <w:rsid w:val="000B64A0"/>
    <w:rsid w:val="000C5867"/>
    <w:rsid w:val="000C62A5"/>
    <w:rsid w:val="000E6C1D"/>
    <w:rsid w:val="000E7994"/>
    <w:rsid w:val="000F04D6"/>
    <w:rsid w:val="000F181A"/>
    <w:rsid w:val="000F74EE"/>
    <w:rsid w:val="00100109"/>
    <w:rsid w:val="0010019B"/>
    <w:rsid w:val="00104523"/>
    <w:rsid w:val="00106A7F"/>
    <w:rsid w:val="0013045C"/>
    <w:rsid w:val="00137948"/>
    <w:rsid w:val="0013795E"/>
    <w:rsid w:val="00147369"/>
    <w:rsid w:val="00152BED"/>
    <w:rsid w:val="00154E6C"/>
    <w:rsid w:val="00156FB8"/>
    <w:rsid w:val="00161457"/>
    <w:rsid w:val="00166342"/>
    <w:rsid w:val="0017263A"/>
    <w:rsid w:val="001726FD"/>
    <w:rsid w:val="00172A27"/>
    <w:rsid w:val="001739B9"/>
    <w:rsid w:val="00180B27"/>
    <w:rsid w:val="00181222"/>
    <w:rsid w:val="001829A0"/>
    <w:rsid w:val="00193894"/>
    <w:rsid w:val="00197EC4"/>
    <w:rsid w:val="001A36F2"/>
    <w:rsid w:val="001A49AB"/>
    <w:rsid w:val="001A7F62"/>
    <w:rsid w:val="001B0562"/>
    <w:rsid w:val="001B5E27"/>
    <w:rsid w:val="001C136F"/>
    <w:rsid w:val="001C1DA9"/>
    <w:rsid w:val="001C6232"/>
    <w:rsid w:val="001D24B7"/>
    <w:rsid w:val="001D3807"/>
    <w:rsid w:val="001E1154"/>
    <w:rsid w:val="001E3DEB"/>
    <w:rsid w:val="001E431B"/>
    <w:rsid w:val="001F5748"/>
    <w:rsid w:val="001F70B3"/>
    <w:rsid w:val="001F7B89"/>
    <w:rsid w:val="00205E2B"/>
    <w:rsid w:val="0021725C"/>
    <w:rsid w:val="0022437C"/>
    <w:rsid w:val="002245E9"/>
    <w:rsid w:val="002301F8"/>
    <w:rsid w:val="0023319A"/>
    <w:rsid w:val="00237CA1"/>
    <w:rsid w:val="00241C62"/>
    <w:rsid w:val="002430FB"/>
    <w:rsid w:val="0024444C"/>
    <w:rsid w:val="002477A3"/>
    <w:rsid w:val="002538BF"/>
    <w:rsid w:val="002552D4"/>
    <w:rsid w:val="00261D64"/>
    <w:rsid w:val="00263557"/>
    <w:rsid w:val="00282C75"/>
    <w:rsid w:val="00290B74"/>
    <w:rsid w:val="002910FF"/>
    <w:rsid w:val="002A2D84"/>
    <w:rsid w:val="002B0AFC"/>
    <w:rsid w:val="002B0B6D"/>
    <w:rsid w:val="002B2B5D"/>
    <w:rsid w:val="002B550C"/>
    <w:rsid w:val="002B76AF"/>
    <w:rsid w:val="002C557A"/>
    <w:rsid w:val="002D0A37"/>
    <w:rsid w:val="002D190A"/>
    <w:rsid w:val="002D2E55"/>
    <w:rsid w:val="002D47AE"/>
    <w:rsid w:val="002D67C2"/>
    <w:rsid w:val="002E107E"/>
    <w:rsid w:val="002E69B0"/>
    <w:rsid w:val="002E6E06"/>
    <w:rsid w:val="003003FE"/>
    <w:rsid w:val="00300D4E"/>
    <w:rsid w:val="003118B6"/>
    <w:rsid w:val="00314458"/>
    <w:rsid w:val="00320FCC"/>
    <w:rsid w:val="00322F2D"/>
    <w:rsid w:val="00325782"/>
    <w:rsid w:val="0032653E"/>
    <w:rsid w:val="00332E72"/>
    <w:rsid w:val="00341253"/>
    <w:rsid w:val="003467C7"/>
    <w:rsid w:val="003475D7"/>
    <w:rsid w:val="0035777D"/>
    <w:rsid w:val="003611B8"/>
    <w:rsid w:val="00365ED2"/>
    <w:rsid w:val="00370E67"/>
    <w:rsid w:val="00372159"/>
    <w:rsid w:val="0037631C"/>
    <w:rsid w:val="00376B77"/>
    <w:rsid w:val="00377903"/>
    <w:rsid w:val="00377FA8"/>
    <w:rsid w:val="00390FD0"/>
    <w:rsid w:val="00392ECE"/>
    <w:rsid w:val="003A028C"/>
    <w:rsid w:val="003A2FA0"/>
    <w:rsid w:val="003A6648"/>
    <w:rsid w:val="003B0F41"/>
    <w:rsid w:val="003B103F"/>
    <w:rsid w:val="003B1A5A"/>
    <w:rsid w:val="003B2C85"/>
    <w:rsid w:val="003B6D17"/>
    <w:rsid w:val="003C5479"/>
    <w:rsid w:val="003C5B0D"/>
    <w:rsid w:val="003D0D98"/>
    <w:rsid w:val="003D2328"/>
    <w:rsid w:val="003D3E54"/>
    <w:rsid w:val="003D6DCD"/>
    <w:rsid w:val="003F1DEC"/>
    <w:rsid w:val="003F2724"/>
    <w:rsid w:val="003F2ACA"/>
    <w:rsid w:val="003F2B3C"/>
    <w:rsid w:val="00400C5F"/>
    <w:rsid w:val="00400DC6"/>
    <w:rsid w:val="00403963"/>
    <w:rsid w:val="00407FED"/>
    <w:rsid w:val="00413C91"/>
    <w:rsid w:val="00417DF0"/>
    <w:rsid w:val="0042049A"/>
    <w:rsid w:val="00426756"/>
    <w:rsid w:val="004324BA"/>
    <w:rsid w:val="004332B9"/>
    <w:rsid w:val="0043422D"/>
    <w:rsid w:val="0044784F"/>
    <w:rsid w:val="00450316"/>
    <w:rsid w:val="00456D85"/>
    <w:rsid w:val="0047192D"/>
    <w:rsid w:val="00472855"/>
    <w:rsid w:val="00483135"/>
    <w:rsid w:val="00484BBC"/>
    <w:rsid w:val="00484E80"/>
    <w:rsid w:val="00486015"/>
    <w:rsid w:val="0049097C"/>
    <w:rsid w:val="00493B3D"/>
    <w:rsid w:val="004B04CC"/>
    <w:rsid w:val="004B1A30"/>
    <w:rsid w:val="004B51C9"/>
    <w:rsid w:val="004C2E7C"/>
    <w:rsid w:val="004C407B"/>
    <w:rsid w:val="004C6C54"/>
    <w:rsid w:val="004D257A"/>
    <w:rsid w:val="004D646B"/>
    <w:rsid w:val="004E1F92"/>
    <w:rsid w:val="004E20E7"/>
    <w:rsid w:val="004E6385"/>
    <w:rsid w:val="005001ED"/>
    <w:rsid w:val="005015A2"/>
    <w:rsid w:val="00502F19"/>
    <w:rsid w:val="0050352F"/>
    <w:rsid w:val="00503CDE"/>
    <w:rsid w:val="005040D4"/>
    <w:rsid w:val="00511241"/>
    <w:rsid w:val="0052264B"/>
    <w:rsid w:val="00524DF0"/>
    <w:rsid w:val="005261EF"/>
    <w:rsid w:val="0052740B"/>
    <w:rsid w:val="005274D8"/>
    <w:rsid w:val="005303B6"/>
    <w:rsid w:val="00531F4C"/>
    <w:rsid w:val="005342A9"/>
    <w:rsid w:val="005400C8"/>
    <w:rsid w:val="00540E51"/>
    <w:rsid w:val="00551B56"/>
    <w:rsid w:val="00551F0C"/>
    <w:rsid w:val="00563609"/>
    <w:rsid w:val="0056558C"/>
    <w:rsid w:val="00565977"/>
    <w:rsid w:val="00565ACB"/>
    <w:rsid w:val="00566891"/>
    <w:rsid w:val="00573D49"/>
    <w:rsid w:val="00577685"/>
    <w:rsid w:val="00581DDC"/>
    <w:rsid w:val="00584430"/>
    <w:rsid w:val="005865E6"/>
    <w:rsid w:val="00592D18"/>
    <w:rsid w:val="00594908"/>
    <w:rsid w:val="005A3BE8"/>
    <w:rsid w:val="005A63BE"/>
    <w:rsid w:val="005B5C73"/>
    <w:rsid w:val="005B7DD0"/>
    <w:rsid w:val="005C070A"/>
    <w:rsid w:val="005C2585"/>
    <w:rsid w:val="005C4BB4"/>
    <w:rsid w:val="005D2223"/>
    <w:rsid w:val="005D67BE"/>
    <w:rsid w:val="005E1FDD"/>
    <w:rsid w:val="005E3C3E"/>
    <w:rsid w:val="005E4BE7"/>
    <w:rsid w:val="005E56F7"/>
    <w:rsid w:val="005E7BDE"/>
    <w:rsid w:val="00604812"/>
    <w:rsid w:val="00605C2A"/>
    <w:rsid w:val="00606463"/>
    <w:rsid w:val="00607E71"/>
    <w:rsid w:val="00610E57"/>
    <w:rsid w:val="0061316C"/>
    <w:rsid w:val="00613471"/>
    <w:rsid w:val="00616267"/>
    <w:rsid w:val="00617A9C"/>
    <w:rsid w:val="00626D66"/>
    <w:rsid w:val="00626DB2"/>
    <w:rsid w:val="00630B0E"/>
    <w:rsid w:val="00630CF5"/>
    <w:rsid w:val="006316E7"/>
    <w:rsid w:val="006338C6"/>
    <w:rsid w:val="00640F6D"/>
    <w:rsid w:val="00642115"/>
    <w:rsid w:val="00654F7C"/>
    <w:rsid w:val="0065669E"/>
    <w:rsid w:val="00665F35"/>
    <w:rsid w:val="0067109F"/>
    <w:rsid w:val="00676072"/>
    <w:rsid w:val="006850AA"/>
    <w:rsid w:val="006918F4"/>
    <w:rsid w:val="00694733"/>
    <w:rsid w:val="006953CD"/>
    <w:rsid w:val="00696125"/>
    <w:rsid w:val="006A148D"/>
    <w:rsid w:val="006A3C09"/>
    <w:rsid w:val="006B5F05"/>
    <w:rsid w:val="006C2224"/>
    <w:rsid w:val="006C2D6D"/>
    <w:rsid w:val="006C474B"/>
    <w:rsid w:val="006D26AF"/>
    <w:rsid w:val="006D4FB7"/>
    <w:rsid w:val="006D637F"/>
    <w:rsid w:val="006D6C59"/>
    <w:rsid w:val="006E18BC"/>
    <w:rsid w:val="006E4CDC"/>
    <w:rsid w:val="006E7D60"/>
    <w:rsid w:val="006F2475"/>
    <w:rsid w:val="006F5912"/>
    <w:rsid w:val="006F70C9"/>
    <w:rsid w:val="007068C9"/>
    <w:rsid w:val="00714CA7"/>
    <w:rsid w:val="0071749F"/>
    <w:rsid w:val="0072234F"/>
    <w:rsid w:val="0072361F"/>
    <w:rsid w:val="00726C2A"/>
    <w:rsid w:val="00732472"/>
    <w:rsid w:val="007331F7"/>
    <w:rsid w:val="007336D5"/>
    <w:rsid w:val="007343F1"/>
    <w:rsid w:val="00734CCC"/>
    <w:rsid w:val="00737E76"/>
    <w:rsid w:val="0074396E"/>
    <w:rsid w:val="00753361"/>
    <w:rsid w:val="00753EBD"/>
    <w:rsid w:val="007553AC"/>
    <w:rsid w:val="007651A0"/>
    <w:rsid w:val="00765ED0"/>
    <w:rsid w:val="00767B2D"/>
    <w:rsid w:val="0077268C"/>
    <w:rsid w:val="00780376"/>
    <w:rsid w:val="00791FE5"/>
    <w:rsid w:val="00792646"/>
    <w:rsid w:val="007A1046"/>
    <w:rsid w:val="007A5789"/>
    <w:rsid w:val="007B05B6"/>
    <w:rsid w:val="007C1874"/>
    <w:rsid w:val="007C742F"/>
    <w:rsid w:val="007D19F5"/>
    <w:rsid w:val="007D5E65"/>
    <w:rsid w:val="007D68C6"/>
    <w:rsid w:val="007D7103"/>
    <w:rsid w:val="007E0727"/>
    <w:rsid w:val="007E585A"/>
    <w:rsid w:val="007F2115"/>
    <w:rsid w:val="007F2F2D"/>
    <w:rsid w:val="007F58A4"/>
    <w:rsid w:val="00802D80"/>
    <w:rsid w:val="00802E49"/>
    <w:rsid w:val="008035F7"/>
    <w:rsid w:val="00824324"/>
    <w:rsid w:val="0082644D"/>
    <w:rsid w:val="0082688A"/>
    <w:rsid w:val="00826DDC"/>
    <w:rsid w:val="008276F5"/>
    <w:rsid w:val="0083663B"/>
    <w:rsid w:val="00837FBC"/>
    <w:rsid w:val="00844438"/>
    <w:rsid w:val="008449B1"/>
    <w:rsid w:val="00844ED9"/>
    <w:rsid w:val="00861E02"/>
    <w:rsid w:val="00872322"/>
    <w:rsid w:val="00872C7E"/>
    <w:rsid w:val="00881365"/>
    <w:rsid w:val="00881825"/>
    <w:rsid w:val="00883FED"/>
    <w:rsid w:val="00891534"/>
    <w:rsid w:val="0089318F"/>
    <w:rsid w:val="008974DA"/>
    <w:rsid w:val="008A2D6F"/>
    <w:rsid w:val="008A35C5"/>
    <w:rsid w:val="008B60AA"/>
    <w:rsid w:val="008B6D67"/>
    <w:rsid w:val="008C2C98"/>
    <w:rsid w:val="008C4978"/>
    <w:rsid w:val="008C679D"/>
    <w:rsid w:val="008C7304"/>
    <w:rsid w:val="008D1633"/>
    <w:rsid w:val="008D226E"/>
    <w:rsid w:val="008D5220"/>
    <w:rsid w:val="008D6759"/>
    <w:rsid w:val="008D7694"/>
    <w:rsid w:val="008E1B6C"/>
    <w:rsid w:val="008E50BB"/>
    <w:rsid w:val="008F47B7"/>
    <w:rsid w:val="009048A7"/>
    <w:rsid w:val="0091053C"/>
    <w:rsid w:val="009166F8"/>
    <w:rsid w:val="009240F0"/>
    <w:rsid w:val="009257A3"/>
    <w:rsid w:val="0092735D"/>
    <w:rsid w:val="009333EE"/>
    <w:rsid w:val="0095142B"/>
    <w:rsid w:val="00951F7D"/>
    <w:rsid w:val="00960147"/>
    <w:rsid w:val="009654C6"/>
    <w:rsid w:val="0097317C"/>
    <w:rsid w:val="00974C0D"/>
    <w:rsid w:val="009812AE"/>
    <w:rsid w:val="009856FF"/>
    <w:rsid w:val="00990420"/>
    <w:rsid w:val="00990CF9"/>
    <w:rsid w:val="00995FDE"/>
    <w:rsid w:val="0099603F"/>
    <w:rsid w:val="009A2843"/>
    <w:rsid w:val="009B3EC7"/>
    <w:rsid w:val="009C2935"/>
    <w:rsid w:val="009C3F60"/>
    <w:rsid w:val="009C43D0"/>
    <w:rsid w:val="009C774A"/>
    <w:rsid w:val="009D59E2"/>
    <w:rsid w:val="009E33E3"/>
    <w:rsid w:val="009E7966"/>
    <w:rsid w:val="009F46DC"/>
    <w:rsid w:val="009F76E2"/>
    <w:rsid w:val="00A00A34"/>
    <w:rsid w:val="00A00C2F"/>
    <w:rsid w:val="00A0119B"/>
    <w:rsid w:val="00A046AC"/>
    <w:rsid w:val="00A05705"/>
    <w:rsid w:val="00A0610A"/>
    <w:rsid w:val="00A07391"/>
    <w:rsid w:val="00A077FA"/>
    <w:rsid w:val="00A1406E"/>
    <w:rsid w:val="00A25D29"/>
    <w:rsid w:val="00A2737A"/>
    <w:rsid w:val="00A3039E"/>
    <w:rsid w:val="00A37F4D"/>
    <w:rsid w:val="00A436A7"/>
    <w:rsid w:val="00A45C2C"/>
    <w:rsid w:val="00A469B8"/>
    <w:rsid w:val="00A51986"/>
    <w:rsid w:val="00A51AFE"/>
    <w:rsid w:val="00A51B8C"/>
    <w:rsid w:val="00A530AA"/>
    <w:rsid w:val="00A5499A"/>
    <w:rsid w:val="00A56769"/>
    <w:rsid w:val="00A56EB0"/>
    <w:rsid w:val="00A62224"/>
    <w:rsid w:val="00A63A42"/>
    <w:rsid w:val="00A658BC"/>
    <w:rsid w:val="00A658E4"/>
    <w:rsid w:val="00A672CB"/>
    <w:rsid w:val="00A76179"/>
    <w:rsid w:val="00A770D4"/>
    <w:rsid w:val="00A776EE"/>
    <w:rsid w:val="00A87A7B"/>
    <w:rsid w:val="00AA104E"/>
    <w:rsid w:val="00AA7920"/>
    <w:rsid w:val="00AB1A86"/>
    <w:rsid w:val="00AB7289"/>
    <w:rsid w:val="00AB7684"/>
    <w:rsid w:val="00AB77B1"/>
    <w:rsid w:val="00AC125D"/>
    <w:rsid w:val="00AC292F"/>
    <w:rsid w:val="00AC3720"/>
    <w:rsid w:val="00AD01B4"/>
    <w:rsid w:val="00AD40E6"/>
    <w:rsid w:val="00AD4D38"/>
    <w:rsid w:val="00AE01C0"/>
    <w:rsid w:val="00AE5656"/>
    <w:rsid w:val="00AF5A6D"/>
    <w:rsid w:val="00AF6246"/>
    <w:rsid w:val="00B13B7E"/>
    <w:rsid w:val="00B251AB"/>
    <w:rsid w:val="00B26169"/>
    <w:rsid w:val="00B43642"/>
    <w:rsid w:val="00B53671"/>
    <w:rsid w:val="00B624FF"/>
    <w:rsid w:val="00B636F6"/>
    <w:rsid w:val="00B65C8F"/>
    <w:rsid w:val="00B719FE"/>
    <w:rsid w:val="00B722AC"/>
    <w:rsid w:val="00B72518"/>
    <w:rsid w:val="00B81C4B"/>
    <w:rsid w:val="00B81F10"/>
    <w:rsid w:val="00B86F8C"/>
    <w:rsid w:val="00B87027"/>
    <w:rsid w:val="00B9112E"/>
    <w:rsid w:val="00B96827"/>
    <w:rsid w:val="00BA2A83"/>
    <w:rsid w:val="00BA3587"/>
    <w:rsid w:val="00BA546D"/>
    <w:rsid w:val="00BB34F4"/>
    <w:rsid w:val="00BC0258"/>
    <w:rsid w:val="00BC5343"/>
    <w:rsid w:val="00BD3B67"/>
    <w:rsid w:val="00BD7416"/>
    <w:rsid w:val="00BE44E3"/>
    <w:rsid w:val="00BE6BB3"/>
    <w:rsid w:val="00BF0B71"/>
    <w:rsid w:val="00BF4475"/>
    <w:rsid w:val="00BF5FA1"/>
    <w:rsid w:val="00BF7B9C"/>
    <w:rsid w:val="00C26E44"/>
    <w:rsid w:val="00C27583"/>
    <w:rsid w:val="00C32A41"/>
    <w:rsid w:val="00C4191F"/>
    <w:rsid w:val="00C441BE"/>
    <w:rsid w:val="00C479D5"/>
    <w:rsid w:val="00C5137A"/>
    <w:rsid w:val="00C524A8"/>
    <w:rsid w:val="00C53A6C"/>
    <w:rsid w:val="00C61FDD"/>
    <w:rsid w:val="00C62BFE"/>
    <w:rsid w:val="00C73489"/>
    <w:rsid w:val="00C82BFC"/>
    <w:rsid w:val="00C8450E"/>
    <w:rsid w:val="00C90DE9"/>
    <w:rsid w:val="00C97BE6"/>
    <w:rsid w:val="00CA0F52"/>
    <w:rsid w:val="00CA1865"/>
    <w:rsid w:val="00CA1CF6"/>
    <w:rsid w:val="00CB21E7"/>
    <w:rsid w:val="00CB2A9D"/>
    <w:rsid w:val="00CB32B9"/>
    <w:rsid w:val="00CB43D1"/>
    <w:rsid w:val="00CB4A0D"/>
    <w:rsid w:val="00CC3581"/>
    <w:rsid w:val="00CC5A68"/>
    <w:rsid w:val="00CE0B91"/>
    <w:rsid w:val="00CE3F08"/>
    <w:rsid w:val="00CF2735"/>
    <w:rsid w:val="00CF3157"/>
    <w:rsid w:val="00D0066E"/>
    <w:rsid w:val="00D035B6"/>
    <w:rsid w:val="00D07D38"/>
    <w:rsid w:val="00D1303F"/>
    <w:rsid w:val="00D14A82"/>
    <w:rsid w:val="00D1781A"/>
    <w:rsid w:val="00D24F01"/>
    <w:rsid w:val="00D30B54"/>
    <w:rsid w:val="00D33FDA"/>
    <w:rsid w:val="00D35EDD"/>
    <w:rsid w:val="00D45622"/>
    <w:rsid w:val="00D57EA4"/>
    <w:rsid w:val="00D62024"/>
    <w:rsid w:val="00D62444"/>
    <w:rsid w:val="00D62BCF"/>
    <w:rsid w:val="00D63A8A"/>
    <w:rsid w:val="00D72E54"/>
    <w:rsid w:val="00D744EB"/>
    <w:rsid w:val="00D745F3"/>
    <w:rsid w:val="00D7523D"/>
    <w:rsid w:val="00D754EA"/>
    <w:rsid w:val="00D80435"/>
    <w:rsid w:val="00D835B6"/>
    <w:rsid w:val="00D879D8"/>
    <w:rsid w:val="00D87FEE"/>
    <w:rsid w:val="00DA078A"/>
    <w:rsid w:val="00DA23CA"/>
    <w:rsid w:val="00DA5D8F"/>
    <w:rsid w:val="00DB7CC0"/>
    <w:rsid w:val="00DC63CC"/>
    <w:rsid w:val="00DC6F47"/>
    <w:rsid w:val="00DD0EB7"/>
    <w:rsid w:val="00DD4ACB"/>
    <w:rsid w:val="00DE2649"/>
    <w:rsid w:val="00DE2673"/>
    <w:rsid w:val="00DE7794"/>
    <w:rsid w:val="00E0500A"/>
    <w:rsid w:val="00E11FAC"/>
    <w:rsid w:val="00E15215"/>
    <w:rsid w:val="00E24E73"/>
    <w:rsid w:val="00E27408"/>
    <w:rsid w:val="00E331CE"/>
    <w:rsid w:val="00E41046"/>
    <w:rsid w:val="00E457C4"/>
    <w:rsid w:val="00E46728"/>
    <w:rsid w:val="00E5010E"/>
    <w:rsid w:val="00E56544"/>
    <w:rsid w:val="00E56763"/>
    <w:rsid w:val="00E574AA"/>
    <w:rsid w:val="00E823F8"/>
    <w:rsid w:val="00E82D20"/>
    <w:rsid w:val="00E83FFD"/>
    <w:rsid w:val="00E84402"/>
    <w:rsid w:val="00E8555F"/>
    <w:rsid w:val="00E903ED"/>
    <w:rsid w:val="00E91A4F"/>
    <w:rsid w:val="00E92067"/>
    <w:rsid w:val="00E97C32"/>
    <w:rsid w:val="00EB2B48"/>
    <w:rsid w:val="00EB4AD7"/>
    <w:rsid w:val="00EB744C"/>
    <w:rsid w:val="00EC18D3"/>
    <w:rsid w:val="00EC29A4"/>
    <w:rsid w:val="00EC4456"/>
    <w:rsid w:val="00ED1281"/>
    <w:rsid w:val="00ED1BAE"/>
    <w:rsid w:val="00ED3F2C"/>
    <w:rsid w:val="00EE52D3"/>
    <w:rsid w:val="00EE7FAB"/>
    <w:rsid w:val="00EF04A9"/>
    <w:rsid w:val="00EF6865"/>
    <w:rsid w:val="00F02463"/>
    <w:rsid w:val="00F06C5C"/>
    <w:rsid w:val="00F137BF"/>
    <w:rsid w:val="00F169B5"/>
    <w:rsid w:val="00F2059A"/>
    <w:rsid w:val="00F209DE"/>
    <w:rsid w:val="00F23C9D"/>
    <w:rsid w:val="00F35FF3"/>
    <w:rsid w:val="00F3619F"/>
    <w:rsid w:val="00F37D8B"/>
    <w:rsid w:val="00F44AC6"/>
    <w:rsid w:val="00F51C3F"/>
    <w:rsid w:val="00F525EA"/>
    <w:rsid w:val="00F52F4B"/>
    <w:rsid w:val="00F57466"/>
    <w:rsid w:val="00F62862"/>
    <w:rsid w:val="00F76913"/>
    <w:rsid w:val="00F913B8"/>
    <w:rsid w:val="00F92A02"/>
    <w:rsid w:val="00FB03FE"/>
    <w:rsid w:val="00FB4466"/>
    <w:rsid w:val="00FC26AC"/>
    <w:rsid w:val="00FC471C"/>
    <w:rsid w:val="00FC6A16"/>
    <w:rsid w:val="00FC7E9D"/>
    <w:rsid w:val="00FD45B5"/>
    <w:rsid w:val="00FE6E31"/>
    <w:rsid w:val="00FF43C1"/>
    <w:rsid w:val="00FF64B0"/>
    <w:rsid w:val="0D6B3F8E"/>
    <w:rsid w:val="15612114"/>
    <w:rsid w:val="16815279"/>
    <w:rsid w:val="17C4283F"/>
    <w:rsid w:val="1AA44A44"/>
    <w:rsid w:val="1FFE00EB"/>
    <w:rsid w:val="26635B60"/>
    <w:rsid w:val="281946E5"/>
    <w:rsid w:val="2B722AF4"/>
    <w:rsid w:val="37DF7C0C"/>
    <w:rsid w:val="3A816CBC"/>
    <w:rsid w:val="3D8E692A"/>
    <w:rsid w:val="4186648C"/>
    <w:rsid w:val="42FB4E6F"/>
    <w:rsid w:val="48BE7862"/>
    <w:rsid w:val="56305D30"/>
    <w:rsid w:val="56B8492A"/>
    <w:rsid w:val="5D307FA3"/>
    <w:rsid w:val="5DA36992"/>
    <w:rsid w:val="71D91494"/>
    <w:rsid w:val="7243794D"/>
    <w:rsid w:val="787D5BF6"/>
    <w:rsid w:val="7C5750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unhideWhenUsed="0"/>
    <w:lsdException w:name="header" w:semiHidden="0" w:unhideWhenUsed="0"/>
    <w:lsdException w:name="footer" w:semiHidden="0" w:unhideWhenUsed="0"/>
    <w:lsdException w:name="caption" w:uiPriority="35" w:qFormat="1"/>
    <w:lsdException w:name="annotation reference" w:semiHidden="0" w:unhideWhenUsed="0"/>
    <w:lsdException w:name="Title" w:semiHidden="0" w:uiPriority="10" w:unhideWhenUsed="0" w:qFormat="1"/>
    <w:lsdException w:name="Default Paragraph Font" w:semiHidden="0" w:uiPriority="1"/>
    <w:lsdException w:name="Subtitle" w:semiHidden="0" w:uiPriority="11" w:unhideWhenUsed="0" w:qFormat="1"/>
    <w:lsdException w:name="Hyperlink" w:semiHidden="0" w:unhideWhenUsed="0"/>
    <w:lsdException w:name="FollowedHyperlink" w:semiHidden="0" w:uiPriority="99"/>
    <w:lsdException w:name="Strong" w:semiHidden="0" w:uiPriority="22" w:unhideWhenUsed="0" w:qFormat="1"/>
    <w:lsdException w:name="Emphasis" w:semiHidden="0" w:uiPriority="20" w:unhideWhenUsed="0" w:qFormat="1"/>
    <w:lsdException w:name="Document Map" w:semiHidden="0"/>
    <w:lsdException w:name="HTML Top of Form" w:uiPriority="99"/>
    <w:lsdException w:name="HTML Bottom of Form" w:uiPriority="99"/>
    <w:lsdException w:name="HTML Typewriter" w:semiHidden="0" w:uiPriority="99" w:unhideWhenUsed="0" w:qFormat="1"/>
    <w:lsdException w:name="Normal Table" w:semiHidden="0"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lsdException w:name="No Spacing" w:semiHidden="0" w:uiPriority="99"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uiPriority w:val="99"/>
    <w:rPr>
      <w:kern w:val="2"/>
      <w:sz w:val="21"/>
      <w:szCs w:val="24"/>
    </w:rPr>
  </w:style>
  <w:style w:type="character" w:styleId="a4">
    <w:name w:val="Hyperlink"/>
    <w:rPr>
      <w:color w:val="000000"/>
      <w:u w:val="none"/>
    </w:rPr>
  </w:style>
  <w:style w:type="character" w:styleId="a5">
    <w:name w:val="访问过的超链接"/>
    <w:uiPriority w:val="99"/>
    <w:unhideWhenUsed/>
    <w:rPr>
      <w:color w:val="428BCA"/>
      <w:u w:val="none"/>
    </w:rPr>
  </w:style>
  <w:style w:type="character" w:customStyle="1" w:styleId="Char0">
    <w:name w:val="批注主题 Char"/>
    <w:link w:val="a6"/>
    <w:rPr>
      <w:b/>
      <w:bCs/>
      <w:kern w:val="2"/>
      <w:sz w:val="21"/>
      <w:szCs w:val="24"/>
    </w:rPr>
  </w:style>
  <w:style w:type="character" w:styleId="HTML">
    <w:name w:val="HTML Sample"/>
    <w:unhideWhenUsed/>
    <w:rPr>
      <w:rFonts w:ascii="Consolas" w:eastAsia="Consolas" w:hAnsi="Consolas" w:cs="Consolas"/>
      <w:sz w:val="21"/>
      <w:szCs w:val="21"/>
    </w:rPr>
  </w:style>
  <w:style w:type="character" w:styleId="HTML0">
    <w:name w:val="HTML Definition"/>
    <w:unhideWhenUsed/>
    <w:rPr>
      <w:i/>
    </w:rPr>
  </w:style>
  <w:style w:type="character" w:customStyle="1" w:styleId="Char1">
    <w:name w:val="文档结构图 Char"/>
    <w:link w:val="a7"/>
    <w:semiHidden/>
    <w:rPr>
      <w:rFonts w:ascii="宋体"/>
      <w:kern w:val="2"/>
      <w:sz w:val="18"/>
      <w:szCs w:val="18"/>
    </w:rPr>
  </w:style>
  <w:style w:type="character" w:styleId="a8">
    <w:name w:val="annotation reference"/>
    <w:rPr>
      <w:sz w:val="21"/>
      <w:szCs w:val="21"/>
    </w:rPr>
  </w:style>
  <w:style w:type="character" w:customStyle="1" w:styleId="Char2">
    <w:name w:val="页眉 Char"/>
    <w:link w:val="a9"/>
    <w:rPr>
      <w:rFonts w:ascii="Calibri" w:hAnsi="Calibri" w:cs="宋体"/>
      <w:sz w:val="18"/>
      <w:szCs w:val="18"/>
    </w:rPr>
  </w:style>
  <w:style w:type="character" w:styleId="HTML1">
    <w:name w:val="HTML Code"/>
    <w:unhideWhenUsed/>
    <w:rPr>
      <w:rFonts w:ascii="Consolas" w:eastAsia="Consolas" w:hAnsi="Consolas" w:cs="Consolas" w:hint="default"/>
      <w:color w:val="C7254E"/>
      <w:sz w:val="21"/>
      <w:szCs w:val="21"/>
      <w:bdr w:val="none" w:sz="0" w:space="0" w:color="auto"/>
      <w:shd w:val="clear" w:color="auto" w:fill="F9F2F4"/>
    </w:rPr>
  </w:style>
  <w:style w:type="character" w:customStyle="1" w:styleId="1Char">
    <w:name w:val="标题 1 Char"/>
    <w:link w:val="1"/>
    <w:rPr>
      <w:b/>
      <w:bCs/>
      <w:kern w:val="44"/>
      <w:sz w:val="44"/>
      <w:szCs w:val="44"/>
    </w:rPr>
  </w:style>
  <w:style w:type="character" w:styleId="aa">
    <w:name w:val="Strong"/>
    <w:uiPriority w:val="22"/>
    <w:qFormat/>
    <w:rPr>
      <w:b/>
      <w:bCs/>
    </w:rPr>
  </w:style>
  <w:style w:type="character" w:styleId="HTML2">
    <w:name w:val="HTML Typewriter"/>
    <w:uiPriority w:val="99"/>
    <w:qFormat/>
    <w:rPr>
      <w:rFonts w:ascii="宋体" w:eastAsia="宋体" w:hAnsi="宋体" w:cs="宋体"/>
      <w:sz w:val="24"/>
      <w:szCs w:val="24"/>
    </w:rPr>
  </w:style>
  <w:style w:type="character" w:customStyle="1" w:styleId="Char3">
    <w:name w:val="页脚 Char"/>
    <w:link w:val="ab"/>
    <w:rPr>
      <w:rFonts w:ascii="Calibri" w:hAnsi="Calibri" w:cs="宋体"/>
      <w:sz w:val="18"/>
      <w:szCs w:val="18"/>
    </w:rPr>
  </w:style>
  <w:style w:type="character" w:customStyle="1" w:styleId="big1">
    <w:name w:val="big1"/>
    <w:rPr>
      <w:spacing w:val="360"/>
      <w:sz w:val="22"/>
      <w:szCs w:val="22"/>
    </w:rPr>
  </w:style>
  <w:style w:type="character" w:styleId="HTML3">
    <w:name w:val="HTML Keyboard"/>
    <w:unhideWhenUsed/>
    <w:rPr>
      <w:rFonts w:ascii="Consolas" w:eastAsia="Consolas" w:hAnsi="Consolas" w:cs="Consolas" w:hint="default"/>
      <w:color w:val="FFFFFF"/>
      <w:sz w:val="21"/>
      <w:szCs w:val="21"/>
      <w:bdr w:val="none" w:sz="0" w:space="0" w:color="auto"/>
      <w:shd w:val="clear" w:color="auto" w:fill="333333"/>
    </w:rPr>
  </w:style>
  <w:style w:type="character" w:customStyle="1" w:styleId="Char4">
    <w:name w:val="批注框文本 Char"/>
    <w:link w:val="ac"/>
    <w:rPr>
      <w:kern w:val="2"/>
      <w:sz w:val="18"/>
      <w:szCs w:val="18"/>
    </w:rPr>
  </w:style>
  <w:style w:type="character" w:customStyle="1" w:styleId="button">
    <w:name w:val="button"/>
    <w:rPr>
      <w:bdr w:val="none" w:sz="0" w:space="0" w:color="auto"/>
    </w:rPr>
  </w:style>
  <w:style w:type="character" w:customStyle="1" w:styleId="before2">
    <w:name w:val="before2"/>
    <w:rPr>
      <w:rFonts w:ascii="FontAwesome" w:eastAsia="FontAwesome" w:hAnsi="FontAwesome" w:cs="FontAwesome" w:hint="default"/>
      <w:color w:val="888888"/>
      <w:sz w:val="18"/>
      <w:szCs w:val="18"/>
    </w:rPr>
  </w:style>
  <w:style w:type="character" w:customStyle="1" w:styleId="tmpztreemovearrow">
    <w:name w:val="tmpztreemove_arrow"/>
    <w:rPr>
      <w:bdr w:val="none" w:sz="0" w:space="0" w:color="auto"/>
    </w:rPr>
  </w:style>
  <w:style w:type="character" w:customStyle="1" w:styleId="ui-jqgrid-resize1">
    <w:name w:val="ui-jqgrid-resize1"/>
    <w:basedOn w:val="a0"/>
  </w:style>
  <w:style w:type="character" w:customStyle="1" w:styleId="input-icon2">
    <w:name w:val="input-icon2"/>
    <w:basedOn w:val="a0"/>
  </w:style>
  <w:style w:type="character" w:customStyle="1" w:styleId="before3">
    <w:name w:val="before3"/>
    <w:rPr>
      <w:rFonts w:ascii="FontAwesome" w:eastAsia="FontAwesome" w:hAnsi="FontAwesome" w:cs="FontAwesome" w:hint="default"/>
      <w:color w:val="888888"/>
      <w:sz w:val="18"/>
      <w:szCs w:val="18"/>
    </w:rPr>
  </w:style>
  <w:style w:type="character" w:customStyle="1" w:styleId="ui-jqgrid-resize">
    <w:name w:val="ui-jqgrid-resize"/>
    <w:basedOn w:val="a0"/>
  </w:style>
  <w:style w:type="character" w:customStyle="1" w:styleId="ui-icon29">
    <w:name w:val="ui-icon29"/>
    <w:basedOn w:val="a0"/>
  </w:style>
  <w:style w:type="character" w:customStyle="1" w:styleId="ui-icon28">
    <w:name w:val="ui-icon28"/>
    <w:basedOn w:val="a0"/>
  </w:style>
  <w:style w:type="character" w:customStyle="1" w:styleId="ui-icon30">
    <w:name w:val="ui-icon30"/>
    <w:basedOn w:val="a0"/>
  </w:style>
  <w:style w:type="paragraph" w:styleId="a6">
    <w:name w:val="annotation subject"/>
    <w:basedOn w:val="a3"/>
    <w:next w:val="a3"/>
    <w:link w:val="Char0"/>
    <w:rPr>
      <w:b/>
      <w:bCs/>
    </w:rPr>
  </w:style>
  <w:style w:type="paragraph" w:customStyle="1" w:styleId="10">
    <w:name w:val="列出段落1"/>
    <w:basedOn w:val="a"/>
    <w:qFormat/>
    <w:pPr>
      <w:ind w:firstLine="420"/>
    </w:pPr>
  </w:style>
  <w:style w:type="paragraph" w:customStyle="1" w:styleId="11">
    <w:name w:val="修订1"/>
    <w:rPr>
      <w:kern w:val="2"/>
      <w:sz w:val="21"/>
      <w:szCs w:val="24"/>
    </w:rPr>
  </w:style>
  <w:style w:type="paragraph" w:styleId="a9">
    <w:name w:val="header"/>
    <w:basedOn w:val="a"/>
    <w:link w:val="Char2"/>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7">
    <w:name w:val="Document Map"/>
    <w:basedOn w:val="a"/>
    <w:link w:val="Char1"/>
    <w:unhideWhenUsed/>
    <w:rPr>
      <w:rFonts w:ascii="宋体"/>
      <w:sz w:val="18"/>
      <w:szCs w:val="18"/>
    </w:rPr>
  </w:style>
  <w:style w:type="paragraph" w:styleId="ab">
    <w:name w:val="footer"/>
    <w:basedOn w:val="a"/>
    <w:link w:val="Char3"/>
    <w:pPr>
      <w:tabs>
        <w:tab w:val="center" w:pos="4153"/>
        <w:tab w:val="right" w:pos="8306"/>
      </w:tabs>
      <w:snapToGrid w:val="0"/>
      <w:jc w:val="left"/>
    </w:pPr>
    <w:rPr>
      <w:rFonts w:ascii="Calibri" w:hAnsi="Calibri"/>
      <w:kern w:val="0"/>
      <w:sz w:val="18"/>
      <w:szCs w:val="18"/>
    </w:rPr>
  </w:style>
  <w:style w:type="paragraph" w:styleId="ac">
    <w:name w:val="Balloon Text"/>
    <w:basedOn w:val="a"/>
    <w:link w:val="Char4"/>
    <w:rPr>
      <w:sz w:val="18"/>
      <w:szCs w:val="18"/>
    </w:rPr>
  </w:style>
  <w:style w:type="paragraph" w:styleId="a3">
    <w:name w:val="annotation text"/>
    <w:basedOn w:val="a"/>
    <w:link w:val="Char"/>
    <w:uiPriority w:val="99"/>
    <w:pPr>
      <w:jc w:val="left"/>
    </w:pPr>
  </w:style>
  <w:style w:type="paragraph" w:styleId="ad">
    <w:name w:val="Revision"/>
    <w:uiPriority w:val="99"/>
    <w:semiHidden/>
    <w:rPr>
      <w:kern w:val="2"/>
      <w:sz w:val="21"/>
      <w:szCs w:val="24"/>
    </w:rPr>
  </w:style>
  <w:style w:type="table" w:styleId="ae">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2068309">
      <w:bodyDiv w:val="1"/>
      <w:marLeft w:val="0"/>
      <w:marRight w:val="0"/>
      <w:marTop w:val="0"/>
      <w:marBottom w:val="0"/>
      <w:divBdr>
        <w:top w:val="none" w:sz="0" w:space="0" w:color="auto"/>
        <w:left w:val="none" w:sz="0" w:space="0" w:color="auto"/>
        <w:bottom w:val="none" w:sz="0" w:space="0" w:color="auto"/>
        <w:right w:val="none" w:sz="0" w:space="0" w:color="auto"/>
      </w:divBdr>
    </w:div>
    <w:div w:id="55289113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funds.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2501</Characters>
  <Application>Microsoft Office Word</Application>
  <DocSecurity>4</DocSecurity>
  <Lines>20</Lines>
  <Paragraphs>5</Paragraphs>
  <ScaleCrop>false</ScaleCrop>
  <Company>易方达基金管理有限公司</Company>
  <LinksUpToDate>false</LinksUpToDate>
  <CharactersWithSpaces>2934</CharactersWithSpaces>
  <SharedDoc>false</SharedDoc>
  <HLinks>
    <vt:vector size="6" baseType="variant">
      <vt:variant>
        <vt:i4>6160454</vt:i4>
      </vt:variant>
      <vt:variant>
        <vt:i4>0</vt:i4>
      </vt:variant>
      <vt:variant>
        <vt:i4>0</vt:i4>
      </vt:variant>
      <vt:variant>
        <vt:i4>5</vt:i4>
      </vt:variant>
      <vt:variant>
        <vt:lpwstr>http://www.efunds.com.cn/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易方达基金管理有限公司关于旗下部分开放式基金继续参加中国工商银行个人电子银行申购费率优惠活动的公告</dc:title>
  <dc:subject/>
  <dc:creator>孙奕萍</dc:creator>
  <cp:keywords/>
  <cp:lastModifiedBy>JonMMx 2000</cp:lastModifiedBy>
  <cp:revision>2</cp:revision>
  <cp:lastPrinted>2017-07-18T01:49:00Z</cp:lastPrinted>
  <dcterms:created xsi:type="dcterms:W3CDTF">2020-04-28T18:14:00Z</dcterms:created>
  <dcterms:modified xsi:type="dcterms:W3CDTF">2020-04-28T18:14:00Z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