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181" w:rsidRDefault="00336A2F" w:rsidP="00336A2F">
      <w:pPr>
        <w:spacing w:line="360" w:lineRule="auto"/>
        <w:jc w:val="center"/>
        <w:rPr>
          <w:rFonts w:ascii="Times New Roman" w:eastAsia="楷体_GB2312" w:hAnsi="Times New Roman" w:cs="Times New Roman"/>
          <w:b/>
          <w:sz w:val="28"/>
          <w:szCs w:val="24"/>
        </w:rPr>
      </w:pPr>
      <w:r>
        <w:rPr>
          <w:rFonts w:ascii="Times New Roman" w:eastAsia="楷体_GB2312" w:hAnsi="Times New Roman" w:cs="Times New Roman"/>
          <w:b/>
          <w:sz w:val="28"/>
          <w:szCs w:val="24"/>
        </w:rPr>
        <w:t>中金</w:t>
      </w:r>
      <w:r w:rsidR="00A87330">
        <w:rPr>
          <w:rFonts w:ascii="Times New Roman" w:eastAsia="楷体_GB2312" w:hAnsi="Times New Roman" w:cs="Times New Roman"/>
          <w:b/>
          <w:sz w:val="28"/>
          <w:szCs w:val="24"/>
        </w:rPr>
        <w:t>基金管理有限公司关于旗下基金投资</w:t>
      </w:r>
      <w:r w:rsidRPr="00336A2F">
        <w:rPr>
          <w:rFonts w:ascii="Times New Roman" w:eastAsia="楷体_GB2312" w:hAnsi="Times New Roman" w:cs="Times New Roman"/>
          <w:b/>
          <w:sz w:val="28"/>
          <w:szCs w:val="24"/>
        </w:rPr>
        <w:t>关联方承销</w:t>
      </w:r>
      <w:r w:rsidR="00C47181">
        <w:rPr>
          <w:rFonts w:ascii="Times New Roman" w:eastAsia="楷体_GB2312" w:hAnsi="Times New Roman" w:cs="Times New Roman"/>
          <w:b/>
          <w:sz w:val="28"/>
          <w:szCs w:val="24"/>
        </w:rPr>
        <w:t>期内</w:t>
      </w:r>
    </w:p>
    <w:p w:rsidR="00336A2F" w:rsidRPr="00336A2F" w:rsidRDefault="00C47181" w:rsidP="00336A2F">
      <w:pPr>
        <w:spacing w:line="360" w:lineRule="auto"/>
        <w:jc w:val="center"/>
        <w:rPr>
          <w:rFonts w:ascii="Times New Roman" w:eastAsia="楷体_GB2312" w:hAnsi="Times New Roman" w:cs="Times New Roman"/>
          <w:b/>
          <w:sz w:val="28"/>
          <w:szCs w:val="24"/>
        </w:rPr>
      </w:pPr>
      <w:r>
        <w:rPr>
          <w:rFonts w:ascii="Times New Roman" w:eastAsia="楷体_GB2312" w:hAnsi="Times New Roman" w:cs="Times New Roman"/>
          <w:b/>
          <w:sz w:val="28"/>
          <w:szCs w:val="24"/>
        </w:rPr>
        <w:t>承销</w:t>
      </w:r>
      <w:r w:rsidR="00336A2F" w:rsidRPr="00336A2F">
        <w:rPr>
          <w:rFonts w:ascii="Times New Roman" w:eastAsia="楷体_GB2312" w:hAnsi="Times New Roman" w:cs="Times New Roman"/>
          <w:b/>
          <w:sz w:val="28"/>
          <w:szCs w:val="24"/>
        </w:rPr>
        <w:t>证券的公告</w:t>
      </w:r>
    </w:p>
    <w:p w:rsidR="00001DAA" w:rsidRPr="00336A2F" w:rsidRDefault="00336A2F" w:rsidP="003B04C1">
      <w:pPr>
        <w:spacing w:beforeLines="100" w:afterLines="100"/>
        <w:ind w:firstLineChars="200" w:firstLine="480"/>
        <w:rPr>
          <w:rFonts w:ascii="Times New Roman" w:eastAsia="楷体_GB2312" w:hAnsi="Times New Roman" w:cs="Times New Roman"/>
          <w:sz w:val="24"/>
          <w:szCs w:val="24"/>
        </w:rPr>
      </w:pPr>
      <w:r>
        <w:rPr>
          <w:rFonts w:ascii="Times New Roman" w:eastAsia="楷体_GB2312" w:hAnsi="Times New Roman" w:cs="Times New Roman"/>
          <w:sz w:val="24"/>
          <w:szCs w:val="24"/>
        </w:rPr>
        <w:t>根据《中华人民共和国证券投资基金法》</w:t>
      </w:r>
      <w:r w:rsidRPr="00336A2F">
        <w:rPr>
          <w:rFonts w:ascii="Times New Roman" w:eastAsia="楷体_GB2312" w:hAnsi="Times New Roman" w:cs="Times New Roman"/>
          <w:sz w:val="24"/>
          <w:szCs w:val="24"/>
        </w:rPr>
        <w:t>《</w:t>
      </w:r>
      <w:bookmarkStart w:id="0" w:name="_GoBack"/>
      <w:bookmarkEnd w:id="0"/>
      <w:r w:rsidRPr="00336A2F">
        <w:rPr>
          <w:rFonts w:ascii="Times New Roman" w:eastAsia="楷体_GB2312" w:hAnsi="Times New Roman" w:cs="Times New Roman"/>
          <w:sz w:val="24"/>
          <w:szCs w:val="24"/>
        </w:rPr>
        <w:t>公开募集证券投资基金运作管理办</w:t>
      </w:r>
      <w:r>
        <w:rPr>
          <w:rFonts w:ascii="Times New Roman" w:eastAsia="楷体_GB2312" w:hAnsi="Times New Roman" w:cs="Times New Roman"/>
          <w:sz w:val="24"/>
          <w:szCs w:val="24"/>
        </w:rPr>
        <w:t>法》</w:t>
      </w:r>
      <w:r w:rsidR="00163C7B">
        <w:rPr>
          <w:rFonts w:ascii="Times New Roman" w:eastAsia="楷体_GB2312" w:hAnsi="Times New Roman" w:cs="Times New Roman" w:hint="eastAsia"/>
          <w:sz w:val="24"/>
          <w:szCs w:val="24"/>
        </w:rPr>
        <w:t>《公开募集证券投资基金信息披露管理办法》及</w:t>
      </w:r>
      <w:r w:rsidR="001E01E1">
        <w:rPr>
          <w:rFonts w:ascii="Times New Roman" w:eastAsia="楷体_GB2312" w:hAnsi="Times New Roman" w:cs="Times New Roman" w:hint="eastAsia"/>
          <w:sz w:val="24"/>
          <w:szCs w:val="24"/>
        </w:rPr>
        <w:t>相关基金</w:t>
      </w:r>
      <w:r w:rsidRPr="00336A2F">
        <w:rPr>
          <w:rFonts w:ascii="Times New Roman" w:eastAsia="楷体_GB2312" w:hAnsi="Times New Roman" w:cs="Times New Roman"/>
          <w:sz w:val="24"/>
          <w:szCs w:val="24"/>
        </w:rPr>
        <w:t>基金合同</w:t>
      </w:r>
      <w:r w:rsidR="00163C7B">
        <w:rPr>
          <w:rFonts w:ascii="Times New Roman" w:eastAsia="楷体_GB2312" w:hAnsi="Times New Roman" w:cs="Times New Roman" w:hint="eastAsia"/>
          <w:sz w:val="24"/>
          <w:szCs w:val="24"/>
        </w:rPr>
        <w:t>、</w:t>
      </w:r>
      <w:r w:rsidRPr="00336A2F">
        <w:rPr>
          <w:rFonts w:ascii="Times New Roman" w:eastAsia="楷体_GB2312" w:hAnsi="Times New Roman" w:cs="Times New Roman"/>
          <w:sz w:val="24"/>
          <w:szCs w:val="24"/>
        </w:rPr>
        <w:t>招募说明书等有关规定，</w:t>
      </w:r>
      <w:r w:rsidR="00C47181">
        <w:rPr>
          <w:rFonts w:ascii="Times New Roman" w:eastAsia="楷体_GB2312" w:hAnsi="Times New Roman" w:cs="Times New Roman"/>
          <w:sz w:val="24"/>
          <w:szCs w:val="24"/>
        </w:rPr>
        <w:t>经履行适当审批程序</w:t>
      </w:r>
      <w:r w:rsidR="00C47181">
        <w:rPr>
          <w:rFonts w:ascii="Times New Roman" w:eastAsia="楷体_GB2312" w:hAnsi="Times New Roman" w:cs="Times New Roman" w:hint="eastAsia"/>
          <w:sz w:val="24"/>
          <w:szCs w:val="24"/>
        </w:rPr>
        <w:t>，</w:t>
      </w:r>
      <w:r w:rsidR="001E01E1">
        <w:rPr>
          <w:rFonts w:ascii="Times New Roman" w:eastAsia="楷体_GB2312" w:hAnsi="Times New Roman" w:cs="Times New Roman" w:hint="eastAsia"/>
          <w:sz w:val="24"/>
          <w:szCs w:val="24"/>
        </w:rPr>
        <w:t>中金</w:t>
      </w:r>
      <w:r w:rsidR="001E01E1">
        <w:rPr>
          <w:rFonts w:ascii="Times New Roman" w:eastAsia="楷体_GB2312" w:hAnsi="Times New Roman" w:cs="Times New Roman"/>
          <w:sz w:val="24"/>
          <w:szCs w:val="24"/>
        </w:rPr>
        <w:t>基金管理有限公司</w:t>
      </w:r>
      <w:r w:rsidR="001E01E1">
        <w:rPr>
          <w:rFonts w:ascii="Times New Roman" w:eastAsia="楷体_GB2312" w:hAnsi="Times New Roman" w:cs="Times New Roman" w:hint="eastAsia"/>
          <w:sz w:val="24"/>
          <w:szCs w:val="24"/>
        </w:rPr>
        <w:t>（“本公司”）</w:t>
      </w:r>
      <w:r w:rsidR="00EF1EDA">
        <w:rPr>
          <w:rFonts w:ascii="Times New Roman" w:eastAsia="楷体_GB2312" w:hAnsi="Times New Roman" w:cs="Times New Roman" w:hint="eastAsia"/>
          <w:sz w:val="24"/>
          <w:szCs w:val="24"/>
        </w:rPr>
        <w:t>旗下</w:t>
      </w:r>
      <w:r w:rsidR="001E01E1">
        <w:rPr>
          <w:rFonts w:ascii="Times New Roman" w:eastAsia="楷体_GB2312" w:hAnsi="Times New Roman" w:cs="Times New Roman" w:hint="eastAsia"/>
          <w:sz w:val="24"/>
          <w:szCs w:val="24"/>
        </w:rPr>
        <w:t>部分基金</w:t>
      </w:r>
      <w:r w:rsidR="003E2578">
        <w:rPr>
          <w:rFonts w:ascii="Times New Roman" w:eastAsia="楷体_GB2312" w:hAnsi="Times New Roman" w:cs="Times New Roman"/>
          <w:sz w:val="24"/>
          <w:szCs w:val="24"/>
        </w:rPr>
        <w:t>参与</w:t>
      </w:r>
      <w:r w:rsidRPr="00336A2F">
        <w:rPr>
          <w:rFonts w:ascii="Times New Roman" w:eastAsia="楷体_GB2312" w:hAnsi="Times New Roman" w:cs="Times New Roman"/>
          <w:sz w:val="24"/>
          <w:szCs w:val="24"/>
        </w:rPr>
        <w:t>了</w:t>
      </w:r>
      <w:r w:rsidR="00F81BD6" w:rsidRPr="00F81BD6">
        <w:rPr>
          <w:rFonts w:ascii="Times New Roman" w:eastAsia="楷体_GB2312" w:hAnsi="Times New Roman" w:cs="Times New Roman" w:hint="eastAsia"/>
          <w:sz w:val="24"/>
          <w:szCs w:val="24"/>
        </w:rPr>
        <w:t>西安派瑞功率半导体变流技术股份有限公司</w:t>
      </w:r>
      <w:r w:rsidRPr="00336A2F">
        <w:rPr>
          <w:rFonts w:ascii="Times New Roman" w:eastAsia="楷体_GB2312" w:hAnsi="Times New Roman" w:cs="Times New Roman"/>
          <w:sz w:val="24"/>
          <w:szCs w:val="24"/>
        </w:rPr>
        <w:t>（</w:t>
      </w:r>
      <w:r>
        <w:rPr>
          <w:rFonts w:ascii="Times New Roman" w:eastAsia="楷体_GB2312" w:hAnsi="Times New Roman" w:cs="Times New Roman" w:hint="eastAsia"/>
          <w:sz w:val="24"/>
          <w:szCs w:val="24"/>
        </w:rPr>
        <w:t>“</w:t>
      </w:r>
      <w:r w:rsidR="00F81BD6">
        <w:rPr>
          <w:rFonts w:ascii="Times New Roman" w:eastAsia="楷体_GB2312" w:hAnsi="Times New Roman" w:cs="Times New Roman" w:hint="eastAsia"/>
          <w:sz w:val="24"/>
          <w:szCs w:val="24"/>
        </w:rPr>
        <w:t>派瑞股份</w:t>
      </w:r>
      <w:r>
        <w:rPr>
          <w:rFonts w:ascii="Times New Roman" w:eastAsia="楷体_GB2312" w:hAnsi="Times New Roman" w:cs="Times New Roman" w:hint="eastAsia"/>
          <w:sz w:val="24"/>
          <w:szCs w:val="24"/>
        </w:rPr>
        <w:t>”</w:t>
      </w:r>
      <w:r w:rsidR="00162DE7">
        <w:rPr>
          <w:rFonts w:ascii="Times New Roman" w:eastAsia="楷体_GB2312" w:hAnsi="Times New Roman" w:cs="Times New Roman"/>
          <w:sz w:val="24"/>
          <w:szCs w:val="24"/>
        </w:rPr>
        <w:t>）</w:t>
      </w:r>
      <w:r w:rsidR="00F81BD6" w:rsidRPr="00F81BD6">
        <w:rPr>
          <w:rFonts w:ascii="Times New Roman" w:eastAsia="楷体_GB2312" w:hAnsi="Times New Roman" w:cs="Times New Roman" w:hint="eastAsia"/>
          <w:sz w:val="24"/>
          <w:szCs w:val="24"/>
        </w:rPr>
        <w:t>首次公开发行</w:t>
      </w:r>
      <w:r w:rsidR="00F81BD6" w:rsidRPr="00F81BD6">
        <w:rPr>
          <w:rFonts w:ascii="Times New Roman" w:eastAsia="楷体_GB2312" w:hAnsi="Times New Roman" w:cs="Times New Roman" w:hint="eastAsia"/>
          <w:sz w:val="24"/>
          <w:szCs w:val="24"/>
        </w:rPr>
        <w:t>A</w:t>
      </w:r>
      <w:r w:rsidR="00F81BD6" w:rsidRPr="00F81BD6">
        <w:rPr>
          <w:rFonts w:ascii="Times New Roman" w:eastAsia="楷体_GB2312" w:hAnsi="Times New Roman" w:cs="Times New Roman" w:hint="eastAsia"/>
          <w:sz w:val="24"/>
          <w:szCs w:val="24"/>
        </w:rPr>
        <w:t>股并在创业板上市网下初步配售结果公告</w:t>
      </w:r>
      <w:r w:rsidRPr="00336A2F">
        <w:rPr>
          <w:rFonts w:ascii="Times New Roman" w:eastAsia="楷体_GB2312" w:hAnsi="Times New Roman" w:cs="Times New Roman"/>
          <w:sz w:val="24"/>
          <w:szCs w:val="24"/>
        </w:rPr>
        <w:t>（</w:t>
      </w:r>
      <w:r>
        <w:rPr>
          <w:rFonts w:ascii="Times New Roman" w:eastAsia="楷体_GB2312" w:hAnsi="Times New Roman" w:cs="Times New Roman" w:hint="eastAsia"/>
          <w:sz w:val="24"/>
          <w:szCs w:val="24"/>
        </w:rPr>
        <w:t>“</w:t>
      </w:r>
      <w:r w:rsidRPr="00336A2F">
        <w:rPr>
          <w:rFonts w:ascii="Times New Roman" w:eastAsia="楷体_GB2312" w:hAnsi="Times New Roman" w:cs="Times New Roman"/>
          <w:sz w:val="24"/>
          <w:szCs w:val="24"/>
        </w:rPr>
        <w:t>本次发行</w:t>
      </w:r>
      <w:r>
        <w:rPr>
          <w:rFonts w:ascii="Times New Roman" w:eastAsia="楷体_GB2312" w:hAnsi="Times New Roman" w:cs="Times New Roman" w:hint="eastAsia"/>
          <w:sz w:val="24"/>
          <w:szCs w:val="24"/>
        </w:rPr>
        <w:t>”</w:t>
      </w:r>
      <w:r w:rsidRPr="00336A2F">
        <w:rPr>
          <w:rFonts w:ascii="Times New Roman" w:eastAsia="楷体_GB2312" w:hAnsi="Times New Roman" w:cs="Times New Roman"/>
          <w:sz w:val="24"/>
          <w:szCs w:val="24"/>
        </w:rPr>
        <w:t>）的</w:t>
      </w:r>
      <w:r w:rsidR="001E01E1">
        <w:rPr>
          <w:rFonts w:ascii="Times New Roman" w:eastAsia="楷体_GB2312" w:hAnsi="Times New Roman" w:cs="Times New Roman"/>
          <w:sz w:val="24"/>
          <w:szCs w:val="24"/>
        </w:rPr>
        <w:t>网下申购</w:t>
      </w:r>
      <w:r w:rsidRPr="00336A2F">
        <w:rPr>
          <w:rFonts w:ascii="Times New Roman" w:eastAsia="楷体_GB2312" w:hAnsi="Times New Roman" w:cs="Times New Roman"/>
          <w:sz w:val="24"/>
          <w:szCs w:val="24"/>
        </w:rPr>
        <w:t>，</w:t>
      </w:r>
      <w:r w:rsidR="001E01E1">
        <w:rPr>
          <w:rFonts w:ascii="Times New Roman" w:eastAsia="楷体_GB2312" w:hAnsi="Times New Roman" w:cs="Times New Roman"/>
          <w:sz w:val="24"/>
          <w:szCs w:val="24"/>
        </w:rPr>
        <w:t>本公司</w:t>
      </w:r>
      <w:r>
        <w:rPr>
          <w:rFonts w:ascii="Times New Roman" w:eastAsia="楷体_GB2312" w:hAnsi="Times New Roman" w:cs="Times New Roman"/>
          <w:sz w:val="24"/>
          <w:szCs w:val="24"/>
        </w:rPr>
        <w:t>股东中国国际金融股份有限公司</w:t>
      </w:r>
      <w:r w:rsidRPr="00336A2F">
        <w:rPr>
          <w:rFonts w:ascii="Times New Roman" w:eastAsia="楷体_GB2312" w:hAnsi="Times New Roman" w:cs="Times New Roman"/>
          <w:sz w:val="24"/>
          <w:szCs w:val="24"/>
        </w:rPr>
        <w:t>为本次发行的主承销商。本次发行价格为</w:t>
      </w:r>
      <w:r w:rsidR="00F81BD6" w:rsidRPr="00F81BD6">
        <w:rPr>
          <w:rFonts w:ascii="Times New Roman" w:eastAsia="楷体_GB2312" w:hAnsi="Times New Roman" w:cs="Times New Roman" w:hint="eastAsia"/>
          <w:sz w:val="24"/>
          <w:szCs w:val="24"/>
        </w:rPr>
        <w:t>3.98</w:t>
      </w:r>
      <w:r w:rsidR="00F81BD6" w:rsidRPr="00F81BD6">
        <w:rPr>
          <w:rFonts w:ascii="Times New Roman" w:eastAsia="楷体_GB2312" w:hAnsi="Times New Roman" w:cs="Times New Roman" w:hint="eastAsia"/>
          <w:sz w:val="24"/>
          <w:szCs w:val="24"/>
        </w:rPr>
        <w:t>元</w:t>
      </w:r>
      <w:r w:rsidR="00211571" w:rsidRPr="00FA33B2">
        <w:rPr>
          <w:rFonts w:ascii="Times New Roman" w:eastAsia="楷体_GB2312" w:hAnsi="Times New Roman" w:cs="Times New Roman" w:hint="eastAsia"/>
          <w:sz w:val="24"/>
          <w:szCs w:val="24"/>
        </w:rPr>
        <w:t>/</w:t>
      </w:r>
      <w:r w:rsidR="00211571" w:rsidRPr="00FA33B2">
        <w:rPr>
          <w:rFonts w:ascii="Times New Roman" w:eastAsia="楷体_GB2312" w:hAnsi="Times New Roman" w:cs="Times New Roman" w:hint="eastAsia"/>
          <w:sz w:val="24"/>
          <w:szCs w:val="24"/>
        </w:rPr>
        <w:t>股</w:t>
      </w:r>
      <w:r w:rsidR="0011212F" w:rsidRPr="00FA33B2">
        <w:rPr>
          <w:rFonts w:ascii="Times New Roman" w:eastAsia="楷体_GB2312" w:hAnsi="Times New Roman" w:cs="Times New Roman" w:hint="eastAsia"/>
          <w:sz w:val="24"/>
          <w:szCs w:val="24"/>
        </w:rPr>
        <w:t>，</w:t>
      </w:r>
      <w:r w:rsidR="0011212F" w:rsidRPr="00FA33B2">
        <w:rPr>
          <w:rFonts w:ascii="Times New Roman" w:eastAsia="楷体_GB2312" w:hAnsi="Times New Roman" w:cs="Times New Roman"/>
          <w:sz w:val="24"/>
          <w:szCs w:val="24"/>
        </w:rPr>
        <w:t>由发行人和主承销商根据初步询价</w:t>
      </w:r>
      <w:r w:rsidR="00FA33B2" w:rsidRPr="00FA33B2">
        <w:rPr>
          <w:rFonts w:ascii="Times New Roman" w:eastAsia="楷体_GB2312" w:hAnsi="Times New Roman" w:cs="Times New Roman" w:hint="eastAsia"/>
          <w:sz w:val="24"/>
          <w:szCs w:val="24"/>
        </w:rPr>
        <w:t>结果</w:t>
      </w:r>
      <w:r w:rsidR="0011212F" w:rsidRPr="00FA33B2">
        <w:rPr>
          <w:rFonts w:ascii="Times New Roman" w:eastAsia="楷体_GB2312" w:hAnsi="Times New Roman" w:cs="Times New Roman"/>
          <w:sz w:val="24"/>
          <w:szCs w:val="24"/>
        </w:rPr>
        <w:t>，</w:t>
      </w:r>
      <w:r w:rsidR="00FA33B2" w:rsidRPr="00FA33B2">
        <w:rPr>
          <w:rFonts w:ascii="Times New Roman" w:eastAsia="楷体_GB2312" w:hAnsi="Times New Roman" w:cs="Times New Roman" w:hint="eastAsia"/>
          <w:sz w:val="24"/>
          <w:szCs w:val="24"/>
        </w:rPr>
        <w:t>综合考虑发行人基本面、</w:t>
      </w:r>
      <w:r w:rsidR="00F81BD6">
        <w:rPr>
          <w:rFonts w:ascii="Times New Roman" w:eastAsia="楷体_GB2312" w:hAnsi="Times New Roman" w:cs="Times New Roman" w:hint="eastAsia"/>
          <w:sz w:val="24"/>
          <w:szCs w:val="24"/>
        </w:rPr>
        <w:t>所处行业、可比上市公司估值水平、</w:t>
      </w:r>
      <w:r w:rsidR="0011212F" w:rsidRPr="00FA33B2">
        <w:rPr>
          <w:rFonts w:ascii="Times New Roman" w:eastAsia="楷体_GB2312" w:hAnsi="Times New Roman" w:cs="Times New Roman" w:hint="eastAsia"/>
          <w:sz w:val="24"/>
          <w:szCs w:val="24"/>
        </w:rPr>
        <w:t>市场情况、募集资金</w:t>
      </w:r>
      <w:r w:rsidR="0011212F" w:rsidRPr="00FA33B2">
        <w:rPr>
          <w:rFonts w:ascii="Times New Roman" w:eastAsia="楷体_GB2312" w:hAnsi="Times New Roman" w:cs="Times New Roman"/>
          <w:sz w:val="24"/>
          <w:szCs w:val="24"/>
        </w:rPr>
        <w:t>需求</w:t>
      </w:r>
      <w:r w:rsidR="00F81BD6">
        <w:rPr>
          <w:rFonts w:ascii="Times New Roman" w:eastAsia="楷体_GB2312" w:hAnsi="Times New Roman" w:cs="Times New Roman" w:hint="eastAsia"/>
          <w:sz w:val="24"/>
          <w:szCs w:val="24"/>
        </w:rPr>
        <w:t>、</w:t>
      </w:r>
      <w:r w:rsidR="00F81BD6">
        <w:rPr>
          <w:rFonts w:ascii="Times New Roman" w:eastAsia="楷体_GB2312" w:hAnsi="Times New Roman" w:cs="Times New Roman"/>
          <w:sz w:val="24"/>
          <w:szCs w:val="24"/>
        </w:rPr>
        <w:t>承销风险等</w:t>
      </w:r>
      <w:r w:rsidR="0011212F" w:rsidRPr="00FA33B2">
        <w:rPr>
          <w:rFonts w:ascii="Times New Roman" w:eastAsia="楷体_GB2312" w:hAnsi="Times New Roman" w:cs="Times New Roman"/>
          <w:sz w:val="24"/>
          <w:szCs w:val="24"/>
        </w:rPr>
        <w:t>因素后协商确定</w:t>
      </w:r>
      <w:r w:rsidR="0011212F" w:rsidRPr="00FA33B2">
        <w:rPr>
          <w:rFonts w:ascii="Times New Roman" w:eastAsia="楷体_GB2312" w:hAnsi="Times New Roman" w:cs="Times New Roman" w:hint="eastAsia"/>
          <w:sz w:val="24"/>
          <w:szCs w:val="24"/>
        </w:rPr>
        <w:t>。</w:t>
      </w:r>
    </w:p>
    <w:p w:rsidR="00336A2F" w:rsidRPr="004343C7" w:rsidRDefault="00336A2F" w:rsidP="003B04C1">
      <w:pPr>
        <w:spacing w:afterLines="100"/>
        <w:ind w:firstLineChars="200" w:firstLine="480"/>
        <w:rPr>
          <w:rFonts w:ascii="Times New Roman" w:eastAsia="楷体_GB2312" w:hAnsi="Times New Roman" w:cs="Times New Roman"/>
          <w:sz w:val="24"/>
          <w:szCs w:val="24"/>
        </w:rPr>
      </w:pPr>
      <w:r w:rsidRPr="004343C7">
        <w:rPr>
          <w:rFonts w:ascii="Times New Roman" w:eastAsia="楷体_GB2312" w:hAnsi="Times New Roman" w:cs="Times New Roman"/>
          <w:sz w:val="24"/>
          <w:szCs w:val="24"/>
        </w:rPr>
        <w:t>根据法律法规</w:t>
      </w:r>
      <w:r w:rsidR="00EF1EDA">
        <w:rPr>
          <w:rFonts w:ascii="Times New Roman" w:eastAsia="楷体_GB2312" w:hAnsi="Times New Roman" w:cs="Times New Roman" w:hint="eastAsia"/>
          <w:sz w:val="24"/>
          <w:szCs w:val="24"/>
        </w:rPr>
        <w:t>、</w:t>
      </w:r>
      <w:r w:rsidRPr="004343C7">
        <w:rPr>
          <w:rFonts w:ascii="Times New Roman" w:eastAsia="楷体_GB2312" w:hAnsi="Times New Roman" w:cs="Times New Roman"/>
          <w:sz w:val="24"/>
          <w:szCs w:val="24"/>
        </w:rPr>
        <w:t>基金合同</w:t>
      </w:r>
      <w:r w:rsidR="00A87330">
        <w:rPr>
          <w:rFonts w:ascii="Times New Roman" w:eastAsia="楷体_GB2312" w:hAnsi="Times New Roman" w:cs="Times New Roman" w:hint="eastAsia"/>
          <w:sz w:val="24"/>
          <w:szCs w:val="24"/>
        </w:rPr>
        <w:t>及</w:t>
      </w:r>
      <w:r w:rsidR="00F81BD6">
        <w:rPr>
          <w:rFonts w:ascii="Times New Roman" w:eastAsia="楷体_GB2312" w:hAnsi="Times New Roman" w:cs="Times New Roman" w:hint="eastAsia"/>
          <w:sz w:val="24"/>
          <w:szCs w:val="24"/>
        </w:rPr>
        <w:t>派瑞股份</w:t>
      </w:r>
      <w:r w:rsidR="00FA33B2">
        <w:rPr>
          <w:rFonts w:ascii="Times New Roman" w:eastAsia="楷体_GB2312" w:hAnsi="Times New Roman" w:cs="Times New Roman" w:hint="eastAsia"/>
          <w:sz w:val="24"/>
          <w:szCs w:val="24"/>
        </w:rPr>
        <w:t>发布的</w:t>
      </w:r>
      <w:r w:rsidRPr="004343C7">
        <w:rPr>
          <w:rFonts w:ascii="Times New Roman" w:eastAsia="楷体_GB2312" w:hAnsi="Times New Roman" w:cs="Times New Roman"/>
          <w:sz w:val="24"/>
          <w:szCs w:val="24"/>
        </w:rPr>
        <w:t>《</w:t>
      </w:r>
      <w:r w:rsidR="00F81BD6" w:rsidRPr="00F81BD6">
        <w:rPr>
          <w:rFonts w:ascii="Times New Roman" w:eastAsia="楷体_GB2312" w:hAnsi="Times New Roman" w:cs="Times New Roman" w:hint="eastAsia"/>
          <w:sz w:val="24"/>
          <w:szCs w:val="24"/>
        </w:rPr>
        <w:t>西安派瑞功率半导体变流技术股份有限公司首次公开发行</w:t>
      </w:r>
      <w:r w:rsidR="00F81BD6" w:rsidRPr="00F81BD6">
        <w:rPr>
          <w:rFonts w:ascii="Times New Roman" w:eastAsia="楷体_GB2312" w:hAnsi="Times New Roman" w:cs="Times New Roman" w:hint="eastAsia"/>
          <w:sz w:val="24"/>
          <w:szCs w:val="24"/>
        </w:rPr>
        <w:t xml:space="preserve"> A </w:t>
      </w:r>
      <w:r w:rsidR="00F81BD6" w:rsidRPr="00F81BD6">
        <w:rPr>
          <w:rFonts w:ascii="Times New Roman" w:eastAsia="楷体_GB2312" w:hAnsi="Times New Roman" w:cs="Times New Roman" w:hint="eastAsia"/>
          <w:sz w:val="24"/>
          <w:szCs w:val="24"/>
        </w:rPr>
        <w:t>股并在创业板上市网下初步配售结果公告</w:t>
      </w:r>
      <w:r w:rsidRPr="004343C7">
        <w:rPr>
          <w:rFonts w:ascii="Times New Roman" w:eastAsia="楷体_GB2312" w:hAnsi="Times New Roman" w:cs="Times New Roman"/>
          <w:sz w:val="24"/>
          <w:szCs w:val="24"/>
        </w:rPr>
        <w:t>》，现将</w:t>
      </w:r>
      <w:r w:rsidR="006F0B07">
        <w:rPr>
          <w:rFonts w:ascii="Times New Roman" w:eastAsia="楷体_GB2312" w:hAnsi="Times New Roman" w:cs="Times New Roman" w:hint="eastAsia"/>
          <w:sz w:val="24"/>
          <w:szCs w:val="24"/>
        </w:rPr>
        <w:t>本公司旗下基金</w:t>
      </w:r>
      <w:r w:rsidR="00EF1EDA">
        <w:rPr>
          <w:rFonts w:ascii="Times New Roman" w:eastAsia="楷体_GB2312" w:hAnsi="Times New Roman" w:cs="Times New Roman"/>
          <w:sz w:val="24"/>
          <w:szCs w:val="24"/>
        </w:rPr>
        <w:t>获配信息</w:t>
      </w:r>
      <w:r w:rsidRPr="004343C7">
        <w:rPr>
          <w:rFonts w:ascii="Times New Roman" w:eastAsia="楷体_GB2312" w:hAnsi="Times New Roman" w:cs="Times New Roman"/>
          <w:sz w:val="24"/>
          <w:szCs w:val="24"/>
        </w:rPr>
        <w:t>公告如下：</w:t>
      </w:r>
    </w:p>
    <w:tbl>
      <w:tblPr>
        <w:tblStyle w:val="a3"/>
        <w:tblW w:w="0" w:type="auto"/>
        <w:jc w:val="center"/>
        <w:tblInd w:w="-829" w:type="dxa"/>
        <w:tblLook w:val="04A0"/>
      </w:tblPr>
      <w:tblGrid>
        <w:gridCol w:w="5955"/>
        <w:gridCol w:w="949"/>
        <w:gridCol w:w="1314"/>
      </w:tblGrid>
      <w:tr w:rsidR="00F81BD6" w:rsidRPr="00F81BD6" w:rsidTr="00F81BD6">
        <w:trPr>
          <w:jc w:val="center"/>
        </w:trPr>
        <w:tc>
          <w:tcPr>
            <w:tcW w:w="5955" w:type="dxa"/>
            <w:shd w:val="clear" w:color="auto" w:fill="D9D9D9" w:themeFill="background1" w:themeFillShade="D9"/>
            <w:vAlign w:val="center"/>
          </w:tcPr>
          <w:p w:rsidR="00F81BD6" w:rsidRPr="00F81BD6" w:rsidRDefault="00F81BD6" w:rsidP="00B31208">
            <w:pPr>
              <w:jc w:val="center"/>
              <w:rPr>
                <w:rFonts w:ascii="Times New Roman" w:eastAsia="楷体_GB2312" w:hAnsi="Times New Roman" w:cs="Times New Roman"/>
                <w:b/>
                <w:sz w:val="22"/>
                <w:szCs w:val="24"/>
              </w:rPr>
            </w:pPr>
            <w:r w:rsidRPr="00F81BD6">
              <w:rPr>
                <w:rFonts w:ascii="Times New Roman" w:eastAsia="楷体_GB2312" w:hAnsi="Times New Roman" w:cs="Times New Roman"/>
                <w:b/>
                <w:sz w:val="22"/>
                <w:szCs w:val="24"/>
              </w:rPr>
              <w:t>基金名称</w:t>
            </w:r>
          </w:p>
        </w:tc>
        <w:tc>
          <w:tcPr>
            <w:tcW w:w="949" w:type="dxa"/>
            <w:shd w:val="clear" w:color="auto" w:fill="D9D9D9" w:themeFill="background1" w:themeFillShade="D9"/>
            <w:vAlign w:val="center"/>
          </w:tcPr>
          <w:p w:rsidR="00F81BD6" w:rsidRPr="00F81BD6" w:rsidRDefault="00F81BD6" w:rsidP="00B31208">
            <w:pPr>
              <w:jc w:val="center"/>
              <w:rPr>
                <w:rFonts w:ascii="Times New Roman" w:eastAsia="楷体_GB2312" w:hAnsi="Times New Roman" w:cs="Times New Roman"/>
                <w:b/>
                <w:sz w:val="22"/>
                <w:szCs w:val="24"/>
              </w:rPr>
            </w:pPr>
            <w:r w:rsidRPr="00F81BD6">
              <w:rPr>
                <w:rFonts w:ascii="Times New Roman" w:eastAsia="楷体_GB2312" w:hAnsi="Times New Roman" w:cs="Times New Roman"/>
                <w:b/>
                <w:sz w:val="22"/>
                <w:szCs w:val="24"/>
              </w:rPr>
              <w:t>获配数量（股）</w:t>
            </w:r>
          </w:p>
        </w:tc>
        <w:tc>
          <w:tcPr>
            <w:tcW w:w="1314" w:type="dxa"/>
            <w:shd w:val="clear" w:color="auto" w:fill="D9D9D9" w:themeFill="background1" w:themeFillShade="D9"/>
            <w:vAlign w:val="center"/>
          </w:tcPr>
          <w:p w:rsidR="00F81BD6" w:rsidRPr="00F81BD6" w:rsidRDefault="00F81BD6" w:rsidP="00F81BD6">
            <w:pPr>
              <w:jc w:val="center"/>
              <w:rPr>
                <w:rFonts w:ascii="Times New Roman" w:eastAsia="楷体_GB2312" w:hAnsi="Times New Roman" w:cs="Times New Roman"/>
                <w:b/>
                <w:sz w:val="22"/>
                <w:szCs w:val="24"/>
              </w:rPr>
            </w:pPr>
            <w:r w:rsidRPr="00F81BD6">
              <w:rPr>
                <w:rFonts w:ascii="Times New Roman" w:eastAsia="楷体_GB2312" w:hAnsi="Times New Roman" w:cs="Times New Roman"/>
                <w:b/>
                <w:sz w:val="22"/>
                <w:szCs w:val="24"/>
              </w:rPr>
              <w:t>获配金额（元）</w:t>
            </w:r>
          </w:p>
        </w:tc>
      </w:tr>
      <w:tr w:rsidR="00F81BD6" w:rsidRPr="00F81BD6" w:rsidTr="00F81BD6">
        <w:trPr>
          <w:jc w:val="center"/>
        </w:trPr>
        <w:tc>
          <w:tcPr>
            <w:tcW w:w="5955" w:type="dxa"/>
            <w:vAlign w:val="center"/>
          </w:tcPr>
          <w:p w:rsidR="00F81BD6" w:rsidRPr="00F81BD6" w:rsidRDefault="00F81BD6">
            <w:pPr>
              <w:rPr>
                <w:rFonts w:ascii="Times New Roman" w:eastAsia="楷体_GB2312" w:hAnsi="Times New Roman" w:cs="Times New Roman"/>
                <w:sz w:val="22"/>
                <w:szCs w:val="20"/>
              </w:rPr>
            </w:pPr>
            <w:r w:rsidRPr="00F81BD6">
              <w:rPr>
                <w:rFonts w:ascii="Times New Roman" w:eastAsia="楷体_GB2312" w:hAnsi="Times New Roman" w:cs="Times New Roman"/>
                <w:sz w:val="22"/>
                <w:szCs w:val="20"/>
              </w:rPr>
              <w:t>中金消费升级股票型证券投资基金</w:t>
            </w:r>
          </w:p>
        </w:tc>
        <w:tc>
          <w:tcPr>
            <w:tcW w:w="949" w:type="dxa"/>
            <w:vAlign w:val="center"/>
          </w:tcPr>
          <w:p w:rsidR="00F81BD6" w:rsidRPr="00F81BD6" w:rsidRDefault="00F81BD6" w:rsidP="00F81BD6">
            <w:pPr>
              <w:jc w:val="center"/>
              <w:rPr>
                <w:rFonts w:ascii="Times New Roman" w:eastAsia="楷体_GB2312" w:hAnsi="Times New Roman" w:cs="Times New Roman"/>
                <w:color w:val="000000"/>
                <w:sz w:val="22"/>
              </w:rPr>
            </w:pPr>
            <w:r w:rsidRPr="00F81BD6">
              <w:rPr>
                <w:rFonts w:ascii="Times New Roman" w:eastAsia="楷体_GB2312" w:hAnsi="Times New Roman" w:cs="Times New Roman"/>
                <w:color w:val="000000"/>
                <w:sz w:val="22"/>
              </w:rPr>
              <w:t>1,716</w:t>
            </w:r>
          </w:p>
        </w:tc>
        <w:tc>
          <w:tcPr>
            <w:tcW w:w="1314" w:type="dxa"/>
            <w:vAlign w:val="center"/>
          </w:tcPr>
          <w:p w:rsidR="00F81BD6" w:rsidRPr="00F81BD6" w:rsidRDefault="00F81BD6" w:rsidP="00F81BD6">
            <w:pPr>
              <w:jc w:val="center"/>
              <w:rPr>
                <w:rFonts w:ascii="Times New Roman" w:eastAsia="楷体_GB2312" w:hAnsi="Times New Roman" w:cs="Times New Roman"/>
                <w:color w:val="000000"/>
                <w:sz w:val="22"/>
              </w:rPr>
            </w:pPr>
            <w:r w:rsidRPr="00F81BD6">
              <w:rPr>
                <w:rFonts w:ascii="Times New Roman" w:eastAsia="楷体_GB2312" w:hAnsi="Times New Roman" w:cs="Times New Roman"/>
                <w:color w:val="000000"/>
                <w:sz w:val="22"/>
              </w:rPr>
              <w:t>6,829.68</w:t>
            </w:r>
          </w:p>
        </w:tc>
      </w:tr>
      <w:tr w:rsidR="00F81BD6" w:rsidRPr="00F81BD6" w:rsidTr="00F81BD6">
        <w:trPr>
          <w:jc w:val="center"/>
        </w:trPr>
        <w:tc>
          <w:tcPr>
            <w:tcW w:w="5955" w:type="dxa"/>
            <w:vAlign w:val="center"/>
          </w:tcPr>
          <w:p w:rsidR="00F81BD6" w:rsidRPr="00F81BD6" w:rsidRDefault="00F81BD6">
            <w:pPr>
              <w:rPr>
                <w:rFonts w:ascii="Times New Roman" w:eastAsia="楷体_GB2312" w:hAnsi="Times New Roman" w:cs="Times New Roman"/>
                <w:sz w:val="22"/>
                <w:szCs w:val="20"/>
              </w:rPr>
            </w:pPr>
            <w:r w:rsidRPr="00F81BD6">
              <w:rPr>
                <w:rFonts w:ascii="Times New Roman" w:eastAsia="楷体_GB2312" w:hAnsi="Times New Roman" w:cs="Times New Roman"/>
                <w:sz w:val="22"/>
                <w:szCs w:val="20"/>
              </w:rPr>
              <w:t>中金绝对收益策略定期开放混合型发起式证券投资基金</w:t>
            </w:r>
          </w:p>
        </w:tc>
        <w:tc>
          <w:tcPr>
            <w:tcW w:w="949" w:type="dxa"/>
            <w:vAlign w:val="center"/>
          </w:tcPr>
          <w:p w:rsidR="00F81BD6" w:rsidRPr="00F81BD6" w:rsidRDefault="00F81BD6" w:rsidP="00F81BD6">
            <w:pPr>
              <w:jc w:val="center"/>
              <w:rPr>
                <w:rFonts w:ascii="Times New Roman" w:eastAsia="楷体_GB2312" w:hAnsi="Times New Roman" w:cs="Times New Roman"/>
                <w:color w:val="000000"/>
                <w:sz w:val="22"/>
              </w:rPr>
            </w:pPr>
            <w:r w:rsidRPr="00F81BD6">
              <w:rPr>
                <w:rFonts w:ascii="Times New Roman" w:eastAsia="楷体_GB2312" w:hAnsi="Times New Roman" w:cs="Times New Roman"/>
                <w:color w:val="000000"/>
                <w:sz w:val="22"/>
              </w:rPr>
              <w:t>1,716</w:t>
            </w:r>
          </w:p>
        </w:tc>
        <w:tc>
          <w:tcPr>
            <w:tcW w:w="1314" w:type="dxa"/>
            <w:vAlign w:val="center"/>
          </w:tcPr>
          <w:p w:rsidR="00F81BD6" w:rsidRPr="00F81BD6" w:rsidRDefault="00F81BD6" w:rsidP="00F81BD6">
            <w:pPr>
              <w:jc w:val="center"/>
              <w:rPr>
                <w:rFonts w:ascii="Times New Roman" w:eastAsia="楷体_GB2312" w:hAnsi="Times New Roman" w:cs="Times New Roman"/>
                <w:color w:val="000000"/>
                <w:sz w:val="22"/>
              </w:rPr>
            </w:pPr>
            <w:r w:rsidRPr="00F81BD6">
              <w:rPr>
                <w:rFonts w:ascii="Times New Roman" w:eastAsia="楷体_GB2312" w:hAnsi="Times New Roman" w:cs="Times New Roman"/>
                <w:color w:val="000000"/>
                <w:sz w:val="22"/>
              </w:rPr>
              <w:t>6,829.68</w:t>
            </w:r>
          </w:p>
        </w:tc>
      </w:tr>
      <w:tr w:rsidR="00F81BD6" w:rsidRPr="00F81BD6" w:rsidTr="00F81BD6">
        <w:trPr>
          <w:jc w:val="center"/>
        </w:trPr>
        <w:tc>
          <w:tcPr>
            <w:tcW w:w="5955" w:type="dxa"/>
            <w:vAlign w:val="center"/>
          </w:tcPr>
          <w:p w:rsidR="00F81BD6" w:rsidRPr="00F81BD6" w:rsidRDefault="00F81BD6">
            <w:pPr>
              <w:rPr>
                <w:rFonts w:ascii="Times New Roman" w:eastAsia="楷体_GB2312" w:hAnsi="Times New Roman" w:cs="Times New Roman"/>
                <w:sz w:val="22"/>
                <w:szCs w:val="20"/>
              </w:rPr>
            </w:pPr>
            <w:r w:rsidRPr="00F81BD6">
              <w:rPr>
                <w:rFonts w:ascii="Times New Roman" w:eastAsia="楷体_GB2312" w:hAnsi="Times New Roman" w:cs="Times New Roman"/>
                <w:sz w:val="22"/>
                <w:szCs w:val="20"/>
              </w:rPr>
              <w:t>中金量化多策略灵活配置混合型证券投资基金</w:t>
            </w:r>
          </w:p>
        </w:tc>
        <w:tc>
          <w:tcPr>
            <w:tcW w:w="949" w:type="dxa"/>
            <w:vAlign w:val="center"/>
          </w:tcPr>
          <w:p w:rsidR="00F81BD6" w:rsidRPr="00F81BD6" w:rsidRDefault="00F81BD6" w:rsidP="00F81BD6">
            <w:pPr>
              <w:jc w:val="center"/>
              <w:rPr>
                <w:rFonts w:ascii="Times New Roman" w:eastAsia="楷体_GB2312" w:hAnsi="Times New Roman" w:cs="Times New Roman"/>
                <w:color w:val="000000"/>
                <w:sz w:val="22"/>
              </w:rPr>
            </w:pPr>
            <w:r w:rsidRPr="00F81BD6">
              <w:rPr>
                <w:rFonts w:ascii="Times New Roman" w:eastAsia="楷体_GB2312" w:hAnsi="Times New Roman" w:cs="Times New Roman"/>
                <w:color w:val="000000"/>
                <w:sz w:val="22"/>
              </w:rPr>
              <w:t>1,716</w:t>
            </w:r>
          </w:p>
        </w:tc>
        <w:tc>
          <w:tcPr>
            <w:tcW w:w="1314" w:type="dxa"/>
            <w:vAlign w:val="center"/>
          </w:tcPr>
          <w:p w:rsidR="00F81BD6" w:rsidRPr="00F81BD6" w:rsidRDefault="00F81BD6" w:rsidP="00F81BD6">
            <w:pPr>
              <w:jc w:val="center"/>
              <w:rPr>
                <w:rFonts w:ascii="Times New Roman" w:eastAsia="楷体_GB2312" w:hAnsi="Times New Roman" w:cs="Times New Roman"/>
                <w:color w:val="000000"/>
                <w:sz w:val="22"/>
              </w:rPr>
            </w:pPr>
            <w:r w:rsidRPr="00F81BD6">
              <w:rPr>
                <w:rFonts w:ascii="Times New Roman" w:eastAsia="楷体_GB2312" w:hAnsi="Times New Roman" w:cs="Times New Roman"/>
                <w:color w:val="000000"/>
                <w:sz w:val="22"/>
              </w:rPr>
              <w:t>6,829.68</w:t>
            </w:r>
          </w:p>
        </w:tc>
      </w:tr>
      <w:tr w:rsidR="00F81BD6" w:rsidRPr="00F81BD6" w:rsidTr="00F81BD6">
        <w:trPr>
          <w:jc w:val="center"/>
        </w:trPr>
        <w:tc>
          <w:tcPr>
            <w:tcW w:w="5955" w:type="dxa"/>
            <w:vAlign w:val="center"/>
          </w:tcPr>
          <w:p w:rsidR="00F81BD6" w:rsidRPr="00F81BD6" w:rsidRDefault="00F81BD6">
            <w:pPr>
              <w:rPr>
                <w:rFonts w:ascii="Times New Roman" w:eastAsia="楷体_GB2312" w:hAnsi="Times New Roman" w:cs="Times New Roman"/>
                <w:sz w:val="22"/>
                <w:szCs w:val="20"/>
              </w:rPr>
            </w:pPr>
            <w:r w:rsidRPr="00F81BD6">
              <w:rPr>
                <w:rFonts w:ascii="Times New Roman" w:eastAsia="楷体_GB2312" w:hAnsi="Times New Roman" w:cs="Times New Roman"/>
                <w:sz w:val="22"/>
                <w:szCs w:val="20"/>
              </w:rPr>
              <w:t>中金沪深</w:t>
            </w:r>
            <w:r w:rsidRPr="00F81BD6">
              <w:rPr>
                <w:rFonts w:ascii="Times New Roman" w:eastAsia="楷体_GB2312" w:hAnsi="Times New Roman" w:cs="Times New Roman"/>
                <w:sz w:val="22"/>
                <w:szCs w:val="20"/>
              </w:rPr>
              <w:t>300</w:t>
            </w:r>
            <w:r w:rsidRPr="00F81BD6">
              <w:rPr>
                <w:rFonts w:ascii="Times New Roman" w:eastAsia="楷体_GB2312" w:hAnsi="Times New Roman" w:cs="Times New Roman"/>
                <w:sz w:val="22"/>
                <w:szCs w:val="20"/>
              </w:rPr>
              <w:t>指数增强型发起式证券投资基金</w:t>
            </w:r>
          </w:p>
        </w:tc>
        <w:tc>
          <w:tcPr>
            <w:tcW w:w="949" w:type="dxa"/>
            <w:vAlign w:val="center"/>
          </w:tcPr>
          <w:p w:rsidR="00F81BD6" w:rsidRPr="00F81BD6" w:rsidRDefault="00F81BD6" w:rsidP="00F81BD6">
            <w:pPr>
              <w:jc w:val="center"/>
              <w:rPr>
                <w:rFonts w:ascii="Times New Roman" w:eastAsia="楷体_GB2312" w:hAnsi="Times New Roman" w:cs="Times New Roman"/>
                <w:color w:val="000000"/>
                <w:sz w:val="22"/>
              </w:rPr>
            </w:pPr>
            <w:r w:rsidRPr="00F81BD6">
              <w:rPr>
                <w:rFonts w:ascii="Times New Roman" w:eastAsia="楷体_GB2312" w:hAnsi="Times New Roman" w:cs="Times New Roman"/>
                <w:color w:val="000000"/>
                <w:sz w:val="22"/>
              </w:rPr>
              <w:t>1,716</w:t>
            </w:r>
          </w:p>
        </w:tc>
        <w:tc>
          <w:tcPr>
            <w:tcW w:w="1314" w:type="dxa"/>
            <w:vAlign w:val="center"/>
          </w:tcPr>
          <w:p w:rsidR="00F81BD6" w:rsidRPr="00F81BD6" w:rsidRDefault="00F81BD6" w:rsidP="00F81BD6">
            <w:pPr>
              <w:jc w:val="center"/>
              <w:rPr>
                <w:rFonts w:ascii="Times New Roman" w:eastAsia="楷体_GB2312" w:hAnsi="Times New Roman" w:cs="Times New Roman"/>
                <w:color w:val="000000"/>
                <w:sz w:val="22"/>
              </w:rPr>
            </w:pPr>
            <w:r w:rsidRPr="00F81BD6">
              <w:rPr>
                <w:rFonts w:ascii="Times New Roman" w:eastAsia="楷体_GB2312" w:hAnsi="Times New Roman" w:cs="Times New Roman"/>
                <w:color w:val="000000"/>
                <w:sz w:val="22"/>
              </w:rPr>
              <w:t>6,829.68</w:t>
            </w:r>
          </w:p>
        </w:tc>
      </w:tr>
      <w:tr w:rsidR="00F81BD6" w:rsidRPr="00F81BD6" w:rsidTr="00F81BD6">
        <w:trPr>
          <w:jc w:val="center"/>
        </w:trPr>
        <w:tc>
          <w:tcPr>
            <w:tcW w:w="5955" w:type="dxa"/>
            <w:vAlign w:val="center"/>
          </w:tcPr>
          <w:p w:rsidR="00F81BD6" w:rsidRPr="00F81BD6" w:rsidRDefault="00F81BD6">
            <w:pPr>
              <w:rPr>
                <w:rFonts w:ascii="Times New Roman" w:eastAsia="楷体_GB2312" w:hAnsi="Times New Roman" w:cs="Times New Roman"/>
                <w:sz w:val="22"/>
                <w:szCs w:val="20"/>
              </w:rPr>
            </w:pPr>
            <w:r w:rsidRPr="00F81BD6">
              <w:rPr>
                <w:rFonts w:ascii="Times New Roman" w:eastAsia="楷体_GB2312" w:hAnsi="Times New Roman" w:cs="Times New Roman"/>
                <w:sz w:val="22"/>
                <w:szCs w:val="20"/>
              </w:rPr>
              <w:t>中金中证</w:t>
            </w:r>
            <w:r w:rsidRPr="00F81BD6">
              <w:rPr>
                <w:rFonts w:ascii="Times New Roman" w:eastAsia="楷体_GB2312" w:hAnsi="Times New Roman" w:cs="Times New Roman"/>
                <w:sz w:val="22"/>
                <w:szCs w:val="20"/>
              </w:rPr>
              <w:t>500</w:t>
            </w:r>
            <w:r w:rsidRPr="00F81BD6">
              <w:rPr>
                <w:rFonts w:ascii="Times New Roman" w:eastAsia="楷体_GB2312" w:hAnsi="Times New Roman" w:cs="Times New Roman"/>
                <w:sz w:val="22"/>
                <w:szCs w:val="20"/>
              </w:rPr>
              <w:t>指数增强型发起式证券投资基金</w:t>
            </w:r>
          </w:p>
        </w:tc>
        <w:tc>
          <w:tcPr>
            <w:tcW w:w="949" w:type="dxa"/>
            <w:vAlign w:val="center"/>
          </w:tcPr>
          <w:p w:rsidR="00F81BD6" w:rsidRPr="00F81BD6" w:rsidRDefault="00F81BD6" w:rsidP="00F81BD6">
            <w:pPr>
              <w:jc w:val="center"/>
              <w:rPr>
                <w:rFonts w:ascii="Times New Roman" w:eastAsia="楷体_GB2312" w:hAnsi="Times New Roman" w:cs="Times New Roman"/>
                <w:color w:val="000000"/>
                <w:sz w:val="22"/>
              </w:rPr>
            </w:pPr>
            <w:r w:rsidRPr="00F81BD6">
              <w:rPr>
                <w:rFonts w:ascii="Times New Roman" w:eastAsia="楷体_GB2312" w:hAnsi="Times New Roman" w:cs="Times New Roman"/>
                <w:color w:val="000000"/>
                <w:sz w:val="22"/>
              </w:rPr>
              <w:t>1,716</w:t>
            </w:r>
          </w:p>
        </w:tc>
        <w:tc>
          <w:tcPr>
            <w:tcW w:w="1314" w:type="dxa"/>
            <w:vAlign w:val="center"/>
          </w:tcPr>
          <w:p w:rsidR="00F81BD6" w:rsidRPr="00F81BD6" w:rsidRDefault="00F81BD6" w:rsidP="00F81BD6">
            <w:pPr>
              <w:jc w:val="center"/>
              <w:rPr>
                <w:rFonts w:ascii="Times New Roman" w:eastAsia="楷体_GB2312" w:hAnsi="Times New Roman" w:cs="Times New Roman"/>
                <w:color w:val="000000"/>
                <w:sz w:val="22"/>
              </w:rPr>
            </w:pPr>
            <w:r w:rsidRPr="00F81BD6">
              <w:rPr>
                <w:rFonts w:ascii="Times New Roman" w:eastAsia="楷体_GB2312" w:hAnsi="Times New Roman" w:cs="Times New Roman"/>
                <w:color w:val="000000"/>
                <w:sz w:val="22"/>
              </w:rPr>
              <w:t>6,829.68</w:t>
            </w:r>
          </w:p>
        </w:tc>
      </w:tr>
      <w:tr w:rsidR="00F81BD6" w:rsidRPr="00F81BD6" w:rsidTr="00F81BD6">
        <w:trPr>
          <w:jc w:val="center"/>
        </w:trPr>
        <w:tc>
          <w:tcPr>
            <w:tcW w:w="5955" w:type="dxa"/>
            <w:vAlign w:val="center"/>
          </w:tcPr>
          <w:p w:rsidR="00F81BD6" w:rsidRPr="00F81BD6" w:rsidRDefault="00F81BD6">
            <w:pPr>
              <w:rPr>
                <w:rFonts w:ascii="Times New Roman" w:eastAsia="楷体_GB2312" w:hAnsi="Times New Roman" w:cs="Times New Roman"/>
                <w:sz w:val="22"/>
                <w:szCs w:val="20"/>
              </w:rPr>
            </w:pPr>
            <w:r w:rsidRPr="00F81BD6">
              <w:rPr>
                <w:rFonts w:ascii="Times New Roman" w:eastAsia="楷体_GB2312" w:hAnsi="Times New Roman" w:cs="Times New Roman"/>
                <w:sz w:val="22"/>
                <w:szCs w:val="20"/>
              </w:rPr>
              <w:t>中金金泽量化精选混合型发起式证券投资基金</w:t>
            </w:r>
          </w:p>
        </w:tc>
        <w:tc>
          <w:tcPr>
            <w:tcW w:w="949" w:type="dxa"/>
            <w:vAlign w:val="center"/>
          </w:tcPr>
          <w:p w:rsidR="00F81BD6" w:rsidRPr="00F81BD6" w:rsidRDefault="00F81BD6" w:rsidP="00F81BD6">
            <w:pPr>
              <w:jc w:val="center"/>
              <w:rPr>
                <w:rFonts w:ascii="Times New Roman" w:eastAsia="楷体_GB2312" w:hAnsi="Times New Roman" w:cs="Times New Roman"/>
                <w:color w:val="000000"/>
                <w:sz w:val="22"/>
              </w:rPr>
            </w:pPr>
            <w:r w:rsidRPr="00F81BD6">
              <w:rPr>
                <w:rFonts w:ascii="Times New Roman" w:eastAsia="楷体_GB2312" w:hAnsi="Times New Roman" w:cs="Times New Roman"/>
                <w:color w:val="000000"/>
                <w:sz w:val="22"/>
              </w:rPr>
              <w:t>1,716</w:t>
            </w:r>
          </w:p>
        </w:tc>
        <w:tc>
          <w:tcPr>
            <w:tcW w:w="1314" w:type="dxa"/>
            <w:vAlign w:val="center"/>
          </w:tcPr>
          <w:p w:rsidR="00F81BD6" w:rsidRPr="00F81BD6" w:rsidRDefault="00F81BD6" w:rsidP="00F81BD6">
            <w:pPr>
              <w:jc w:val="center"/>
              <w:rPr>
                <w:rFonts w:ascii="Times New Roman" w:eastAsia="楷体_GB2312" w:hAnsi="Times New Roman" w:cs="Times New Roman"/>
                <w:color w:val="000000"/>
                <w:sz w:val="22"/>
              </w:rPr>
            </w:pPr>
            <w:r w:rsidRPr="00F81BD6">
              <w:rPr>
                <w:rFonts w:ascii="Times New Roman" w:eastAsia="楷体_GB2312" w:hAnsi="Times New Roman" w:cs="Times New Roman"/>
                <w:color w:val="000000"/>
                <w:sz w:val="22"/>
              </w:rPr>
              <w:t>6,829.68</w:t>
            </w:r>
          </w:p>
        </w:tc>
      </w:tr>
      <w:tr w:rsidR="00F81BD6" w:rsidRPr="00F81BD6" w:rsidTr="00F81BD6">
        <w:trPr>
          <w:jc w:val="center"/>
        </w:trPr>
        <w:tc>
          <w:tcPr>
            <w:tcW w:w="5955" w:type="dxa"/>
            <w:vAlign w:val="center"/>
          </w:tcPr>
          <w:p w:rsidR="00F81BD6" w:rsidRPr="00F81BD6" w:rsidRDefault="00F81BD6">
            <w:pPr>
              <w:rPr>
                <w:rFonts w:ascii="Times New Roman" w:eastAsia="楷体_GB2312" w:hAnsi="Times New Roman" w:cs="Times New Roman"/>
                <w:sz w:val="22"/>
                <w:szCs w:val="20"/>
              </w:rPr>
            </w:pPr>
            <w:r w:rsidRPr="00F81BD6">
              <w:rPr>
                <w:rFonts w:ascii="Times New Roman" w:eastAsia="楷体_GB2312" w:hAnsi="Times New Roman" w:cs="Times New Roman"/>
                <w:sz w:val="22"/>
                <w:szCs w:val="20"/>
              </w:rPr>
              <w:t>中金中证优选</w:t>
            </w:r>
            <w:r w:rsidRPr="00F81BD6">
              <w:rPr>
                <w:rFonts w:ascii="Times New Roman" w:eastAsia="楷体_GB2312" w:hAnsi="Times New Roman" w:cs="Times New Roman"/>
                <w:sz w:val="22"/>
                <w:szCs w:val="20"/>
              </w:rPr>
              <w:t>300</w:t>
            </w:r>
            <w:r w:rsidRPr="00F81BD6">
              <w:rPr>
                <w:rFonts w:ascii="Times New Roman" w:eastAsia="楷体_GB2312" w:hAnsi="Times New Roman" w:cs="Times New Roman"/>
                <w:sz w:val="22"/>
                <w:szCs w:val="20"/>
              </w:rPr>
              <w:t>指数证券投资基金</w:t>
            </w:r>
            <w:r w:rsidRPr="00F81BD6">
              <w:rPr>
                <w:rFonts w:ascii="Times New Roman" w:eastAsia="楷体_GB2312" w:hAnsi="Times New Roman" w:cs="Times New Roman"/>
                <w:sz w:val="22"/>
                <w:szCs w:val="20"/>
              </w:rPr>
              <w:t>(LOF</w:t>
            </w:r>
            <w:r w:rsidRPr="00F81BD6">
              <w:rPr>
                <w:rFonts w:ascii="Times New Roman" w:eastAsia="楷体_GB2312" w:hAnsi="Times New Roman" w:cs="Times New Roman"/>
                <w:sz w:val="22"/>
                <w:szCs w:val="20"/>
              </w:rPr>
              <w:t>）</w:t>
            </w:r>
          </w:p>
        </w:tc>
        <w:tc>
          <w:tcPr>
            <w:tcW w:w="949" w:type="dxa"/>
            <w:vAlign w:val="center"/>
          </w:tcPr>
          <w:p w:rsidR="00F81BD6" w:rsidRPr="00F81BD6" w:rsidRDefault="00F81BD6" w:rsidP="00F81BD6">
            <w:pPr>
              <w:jc w:val="center"/>
              <w:rPr>
                <w:rFonts w:ascii="Times New Roman" w:eastAsia="楷体_GB2312" w:hAnsi="Times New Roman" w:cs="Times New Roman"/>
                <w:color w:val="000000"/>
                <w:sz w:val="22"/>
              </w:rPr>
            </w:pPr>
            <w:r w:rsidRPr="00F81BD6">
              <w:rPr>
                <w:rFonts w:ascii="Times New Roman" w:eastAsia="楷体_GB2312" w:hAnsi="Times New Roman" w:cs="Times New Roman"/>
                <w:color w:val="000000"/>
                <w:sz w:val="22"/>
              </w:rPr>
              <w:t>1,716</w:t>
            </w:r>
          </w:p>
        </w:tc>
        <w:tc>
          <w:tcPr>
            <w:tcW w:w="1314" w:type="dxa"/>
            <w:vAlign w:val="center"/>
          </w:tcPr>
          <w:p w:rsidR="00F81BD6" w:rsidRPr="00F81BD6" w:rsidRDefault="00F81BD6" w:rsidP="00F81BD6">
            <w:pPr>
              <w:jc w:val="center"/>
              <w:rPr>
                <w:rFonts w:ascii="Times New Roman" w:eastAsia="楷体_GB2312" w:hAnsi="Times New Roman" w:cs="Times New Roman"/>
                <w:color w:val="000000"/>
                <w:sz w:val="22"/>
              </w:rPr>
            </w:pPr>
            <w:r w:rsidRPr="00F81BD6">
              <w:rPr>
                <w:rFonts w:ascii="Times New Roman" w:eastAsia="楷体_GB2312" w:hAnsi="Times New Roman" w:cs="Times New Roman"/>
                <w:color w:val="000000"/>
                <w:sz w:val="22"/>
              </w:rPr>
              <w:t>6,829.68</w:t>
            </w:r>
          </w:p>
        </w:tc>
      </w:tr>
      <w:tr w:rsidR="00F81BD6" w:rsidRPr="00F81BD6" w:rsidTr="00F81BD6">
        <w:trPr>
          <w:jc w:val="center"/>
        </w:trPr>
        <w:tc>
          <w:tcPr>
            <w:tcW w:w="5955" w:type="dxa"/>
            <w:vAlign w:val="center"/>
          </w:tcPr>
          <w:p w:rsidR="00F81BD6" w:rsidRPr="00F81BD6" w:rsidRDefault="00F81BD6">
            <w:pPr>
              <w:rPr>
                <w:rFonts w:ascii="Times New Roman" w:eastAsia="楷体_GB2312" w:hAnsi="Times New Roman" w:cs="Times New Roman"/>
                <w:sz w:val="22"/>
                <w:szCs w:val="20"/>
              </w:rPr>
            </w:pPr>
            <w:r w:rsidRPr="00F81BD6">
              <w:rPr>
                <w:rFonts w:ascii="Times New Roman" w:eastAsia="楷体_GB2312" w:hAnsi="Times New Roman" w:cs="Times New Roman"/>
                <w:sz w:val="22"/>
                <w:szCs w:val="20"/>
              </w:rPr>
              <w:t>中金新医药股票型证券投资基金</w:t>
            </w:r>
          </w:p>
        </w:tc>
        <w:tc>
          <w:tcPr>
            <w:tcW w:w="949" w:type="dxa"/>
            <w:vAlign w:val="center"/>
          </w:tcPr>
          <w:p w:rsidR="00F81BD6" w:rsidRPr="00F81BD6" w:rsidRDefault="00F81BD6" w:rsidP="00F81BD6">
            <w:pPr>
              <w:jc w:val="center"/>
              <w:rPr>
                <w:rFonts w:ascii="Times New Roman" w:eastAsia="楷体_GB2312" w:hAnsi="Times New Roman" w:cs="Times New Roman"/>
                <w:color w:val="000000"/>
                <w:sz w:val="22"/>
              </w:rPr>
            </w:pPr>
            <w:r w:rsidRPr="00F81BD6">
              <w:rPr>
                <w:rFonts w:ascii="Times New Roman" w:eastAsia="楷体_GB2312" w:hAnsi="Times New Roman" w:cs="Times New Roman"/>
                <w:color w:val="000000"/>
                <w:sz w:val="22"/>
              </w:rPr>
              <w:t>1,716</w:t>
            </w:r>
          </w:p>
        </w:tc>
        <w:tc>
          <w:tcPr>
            <w:tcW w:w="1314" w:type="dxa"/>
            <w:vAlign w:val="center"/>
          </w:tcPr>
          <w:p w:rsidR="00F81BD6" w:rsidRPr="00F81BD6" w:rsidRDefault="00F81BD6" w:rsidP="00F81BD6">
            <w:pPr>
              <w:jc w:val="center"/>
              <w:rPr>
                <w:rFonts w:ascii="Times New Roman" w:eastAsia="楷体_GB2312" w:hAnsi="Times New Roman" w:cs="Times New Roman"/>
                <w:color w:val="000000"/>
                <w:sz w:val="22"/>
              </w:rPr>
            </w:pPr>
            <w:r w:rsidRPr="00F81BD6">
              <w:rPr>
                <w:rFonts w:ascii="Times New Roman" w:eastAsia="楷体_GB2312" w:hAnsi="Times New Roman" w:cs="Times New Roman"/>
                <w:color w:val="000000"/>
                <w:sz w:val="22"/>
              </w:rPr>
              <w:t>6,829.68</w:t>
            </w:r>
          </w:p>
        </w:tc>
      </w:tr>
      <w:tr w:rsidR="00F81BD6" w:rsidRPr="00F81BD6" w:rsidTr="00F81BD6">
        <w:trPr>
          <w:jc w:val="center"/>
        </w:trPr>
        <w:tc>
          <w:tcPr>
            <w:tcW w:w="5955" w:type="dxa"/>
            <w:vAlign w:val="center"/>
          </w:tcPr>
          <w:p w:rsidR="00F81BD6" w:rsidRPr="00F81BD6" w:rsidRDefault="00F81BD6">
            <w:pPr>
              <w:rPr>
                <w:rFonts w:ascii="Times New Roman" w:eastAsia="楷体_GB2312" w:hAnsi="Times New Roman" w:cs="Times New Roman"/>
                <w:sz w:val="22"/>
                <w:szCs w:val="20"/>
              </w:rPr>
            </w:pPr>
            <w:r w:rsidRPr="00F81BD6">
              <w:rPr>
                <w:rFonts w:ascii="Times New Roman" w:eastAsia="楷体_GB2312" w:hAnsi="Times New Roman" w:cs="Times New Roman"/>
                <w:sz w:val="22"/>
                <w:szCs w:val="20"/>
              </w:rPr>
              <w:t>中金</w:t>
            </w:r>
            <w:r w:rsidRPr="00F81BD6">
              <w:rPr>
                <w:rFonts w:ascii="Times New Roman" w:eastAsia="楷体_GB2312" w:hAnsi="Times New Roman" w:cs="Times New Roman"/>
                <w:sz w:val="22"/>
                <w:szCs w:val="20"/>
              </w:rPr>
              <w:t>MSCI</w:t>
            </w:r>
            <w:r w:rsidRPr="00F81BD6">
              <w:rPr>
                <w:rFonts w:ascii="Times New Roman" w:eastAsia="楷体_GB2312" w:hAnsi="Times New Roman" w:cs="Times New Roman"/>
                <w:sz w:val="22"/>
                <w:szCs w:val="20"/>
              </w:rPr>
              <w:t>中国</w:t>
            </w:r>
            <w:r w:rsidRPr="00F81BD6">
              <w:rPr>
                <w:rFonts w:ascii="Times New Roman" w:eastAsia="楷体_GB2312" w:hAnsi="Times New Roman" w:cs="Times New Roman"/>
                <w:sz w:val="22"/>
                <w:szCs w:val="20"/>
              </w:rPr>
              <w:t>A</w:t>
            </w:r>
            <w:r w:rsidRPr="00F81BD6">
              <w:rPr>
                <w:rFonts w:ascii="Times New Roman" w:eastAsia="楷体_GB2312" w:hAnsi="Times New Roman" w:cs="Times New Roman"/>
                <w:sz w:val="22"/>
                <w:szCs w:val="20"/>
              </w:rPr>
              <w:t>股国际质量指数发起式证券投资基金</w:t>
            </w:r>
          </w:p>
        </w:tc>
        <w:tc>
          <w:tcPr>
            <w:tcW w:w="949" w:type="dxa"/>
            <w:vAlign w:val="center"/>
          </w:tcPr>
          <w:p w:rsidR="00F81BD6" w:rsidRPr="00F81BD6" w:rsidRDefault="00F81BD6" w:rsidP="00F81BD6">
            <w:pPr>
              <w:jc w:val="center"/>
              <w:rPr>
                <w:rFonts w:ascii="Times New Roman" w:eastAsia="楷体_GB2312" w:hAnsi="Times New Roman" w:cs="Times New Roman"/>
                <w:color w:val="000000"/>
                <w:sz w:val="22"/>
              </w:rPr>
            </w:pPr>
            <w:r w:rsidRPr="00F81BD6">
              <w:rPr>
                <w:rFonts w:ascii="Times New Roman" w:eastAsia="楷体_GB2312" w:hAnsi="Times New Roman" w:cs="Times New Roman"/>
                <w:color w:val="000000"/>
                <w:sz w:val="22"/>
              </w:rPr>
              <w:t>1,716</w:t>
            </w:r>
          </w:p>
        </w:tc>
        <w:tc>
          <w:tcPr>
            <w:tcW w:w="1314" w:type="dxa"/>
            <w:vAlign w:val="center"/>
          </w:tcPr>
          <w:p w:rsidR="00F81BD6" w:rsidRPr="00F81BD6" w:rsidRDefault="00F81BD6" w:rsidP="00F81BD6">
            <w:pPr>
              <w:jc w:val="center"/>
              <w:rPr>
                <w:rFonts w:ascii="Times New Roman" w:eastAsia="楷体_GB2312" w:hAnsi="Times New Roman" w:cs="Times New Roman"/>
                <w:color w:val="000000"/>
                <w:sz w:val="22"/>
              </w:rPr>
            </w:pPr>
            <w:r w:rsidRPr="00F81BD6">
              <w:rPr>
                <w:rFonts w:ascii="Times New Roman" w:eastAsia="楷体_GB2312" w:hAnsi="Times New Roman" w:cs="Times New Roman"/>
                <w:color w:val="000000"/>
                <w:sz w:val="22"/>
              </w:rPr>
              <w:t>6,829.68</w:t>
            </w:r>
          </w:p>
        </w:tc>
      </w:tr>
      <w:tr w:rsidR="00F81BD6" w:rsidRPr="00F81BD6" w:rsidTr="00F81BD6">
        <w:trPr>
          <w:jc w:val="center"/>
        </w:trPr>
        <w:tc>
          <w:tcPr>
            <w:tcW w:w="5955" w:type="dxa"/>
            <w:vAlign w:val="center"/>
          </w:tcPr>
          <w:p w:rsidR="00F81BD6" w:rsidRPr="00F81BD6" w:rsidRDefault="00F81BD6">
            <w:pPr>
              <w:rPr>
                <w:rFonts w:ascii="Times New Roman" w:eastAsia="楷体_GB2312" w:hAnsi="Times New Roman" w:cs="Times New Roman"/>
                <w:sz w:val="22"/>
                <w:szCs w:val="20"/>
              </w:rPr>
            </w:pPr>
            <w:r w:rsidRPr="00F81BD6">
              <w:rPr>
                <w:rFonts w:ascii="Times New Roman" w:eastAsia="楷体_GB2312" w:hAnsi="Times New Roman" w:cs="Times New Roman"/>
                <w:sz w:val="22"/>
                <w:szCs w:val="20"/>
              </w:rPr>
              <w:t>中金瑞和灵活配置混合型证券投资基金</w:t>
            </w:r>
          </w:p>
        </w:tc>
        <w:tc>
          <w:tcPr>
            <w:tcW w:w="949" w:type="dxa"/>
            <w:vAlign w:val="center"/>
          </w:tcPr>
          <w:p w:rsidR="00F81BD6" w:rsidRPr="00F81BD6" w:rsidRDefault="00F81BD6" w:rsidP="00F81BD6">
            <w:pPr>
              <w:jc w:val="center"/>
              <w:rPr>
                <w:rFonts w:ascii="Times New Roman" w:eastAsia="楷体_GB2312" w:hAnsi="Times New Roman" w:cs="Times New Roman"/>
                <w:color w:val="000000"/>
                <w:sz w:val="22"/>
              </w:rPr>
            </w:pPr>
            <w:r w:rsidRPr="00F81BD6">
              <w:rPr>
                <w:rFonts w:ascii="Times New Roman" w:eastAsia="楷体_GB2312" w:hAnsi="Times New Roman" w:cs="Times New Roman"/>
                <w:color w:val="000000"/>
                <w:sz w:val="22"/>
              </w:rPr>
              <w:t>1,716</w:t>
            </w:r>
          </w:p>
        </w:tc>
        <w:tc>
          <w:tcPr>
            <w:tcW w:w="1314" w:type="dxa"/>
            <w:vAlign w:val="center"/>
          </w:tcPr>
          <w:p w:rsidR="00F81BD6" w:rsidRPr="00F81BD6" w:rsidRDefault="00F81BD6" w:rsidP="00F81BD6">
            <w:pPr>
              <w:jc w:val="center"/>
              <w:rPr>
                <w:rFonts w:ascii="Times New Roman" w:eastAsia="楷体_GB2312" w:hAnsi="Times New Roman" w:cs="Times New Roman"/>
                <w:color w:val="000000"/>
                <w:sz w:val="22"/>
              </w:rPr>
            </w:pPr>
            <w:r w:rsidRPr="00F81BD6">
              <w:rPr>
                <w:rFonts w:ascii="Times New Roman" w:eastAsia="楷体_GB2312" w:hAnsi="Times New Roman" w:cs="Times New Roman"/>
                <w:color w:val="000000"/>
                <w:sz w:val="22"/>
              </w:rPr>
              <w:t>6,829.68</w:t>
            </w:r>
          </w:p>
        </w:tc>
      </w:tr>
      <w:tr w:rsidR="00F81BD6" w:rsidRPr="00F81BD6" w:rsidTr="00F81BD6">
        <w:trPr>
          <w:jc w:val="center"/>
        </w:trPr>
        <w:tc>
          <w:tcPr>
            <w:tcW w:w="5955" w:type="dxa"/>
            <w:vAlign w:val="center"/>
          </w:tcPr>
          <w:p w:rsidR="00F81BD6" w:rsidRPr="00F81BD6" w:rsidRDefault="00F81BD6">
            <w:pPr>
              <w:rPr>
                <w:rFonts w:ascii="Times New Roman" w:eastAsia="楷体_GB2312" w:hAnsi="Times New Roman" w:cs="Times New Roman"/>
                <w:sz w:val="22"/>
                <w:szCs w:val="20"/>
              </w:rPr>
            </w:pPr>
            <w:r w:rsidRPr="00F81BD6">
              <w:rPr>
                <w:rFonts w:ascii="Times New Roman" w:eastAsia="楷体_GB2312" w:hAnsi="Times New Roman" w:cs="Times New Roman"/>
                <w:sz w:val="22"/>
                <w:szCs w:val="20"/>
              </w:rPr>
              <w:t>中金科创主题</w:t>
            </w:r>
            <w:r w:rsidRPr="00F81BD6">
              <w:rPr>
                <w:rFonts w:ascii="Times New Roman" w:eastAsia="楷体_GB2312" w:hAnsi="Times New Roman" w:cs="Times New Roman"/>
                <w:sz w:val="22"/>
                <w:szCs w:val="20"/>
              </w:rPr>
              <w:t>3</w:t>
            </w:r>
            <w:r w:rsidRPr="00F81BD6">
              <w:rPr>
                <w:rFonts w:ascii="Times New Roman" w:eastAsia="楷体_GB2312" w:hAnsi="Times New Roman" w:cs="Times New Roman"/>
                <w:sz w:val="22"/>
                <w:szCs w:val="20"/>
              </w:rPr>
              <w:t>年封闭运作灵活配置混合型证券投资基金</w:t>
            </w:r>
          </w:p>
        </w:tc>
        <w:tc>
          <w:tcPr>
            <w:tcW w:w="949" w:type="dxa"/>
            <w:vAlign w:val="center"/>
          </w:tcPr>
          <w:p w:rsidR="00F81BD6" w:rsidRPr="00F81BD6" w:rsidRDefault="00F81BD6" w:rsidP="00F81BD6">
            <w:pPr>
              <w:jc w:val="center"/>
              <w:rPr>
                <w:rFonts w:ascii="Times New Roman" w:eastAsia="楷体_GB2312" w:hAnsi="Times New Roman" w:cs="Times New Roman"/>
                <w:color w:val="000000"/>
                <w:sz w:val="22"/>
              </w:rPr>
            </w:pPr>
            <w:r w:rsidRPr="00F81BD6">
              <w:rPr>
                <w:rFonts w:ascii="Times New Roman" w:eastAsia="楷体_GB2312" w:hAnsi="Times New Roman" w:cs="Times New Roman"/>
                <w:color w:val="000000"/>
                <w:sz w:val="22"/>
              </w:rPr>
              <w:t>1,716</w:t>
            </w:r>
          </w:p>
        </w:tc>
        <w:tc>
          <w:tcPr>
            <w:tcW w:w="1314" w:type="dxa"/>
            <w:vAlign w:val="center"/>
          </w:tcPr>
          <w:p w:rsidR="00F81BD6" w:rsidRPr="00F81BD6" w:rsidRDefault="00F81BD6" w:rsidP="00F81BD6">
            <w:pPr>
              <w:jc w:val="center"/>
              <w:rPr>
                <w:rFonts w:ascii="Times New Roman" w:eastAsia="楷体_GB2312" w:hAnsi="Times New Roman" w:cs="Times New Roman"/>
                <w:color w:val="000000"/>
                <w:sz w:val="22"/>
              </w:rPr>
            </w:pPr>
            <w:r w:rsidRPr="00F81BD6">
              <w:rPr>
                <w:rFonts w:ascii="Times New Roman" w:eastAsia="楷体_GB2312" w:hAnsi="Times New Roman" w:cs="Times New Roman"/>
                <w:color w:val="000000"/>
                <w:sz w:val="22"/>
              </w:rPr>
              <w:t>6,829.68</w:t>
            </w:r>
          </w:p>
        </w:tc>
      </w:tr>
    </w:tbl>
    <w:p w:rsidR="0052668A" w:rsidRPr="0052668A" w:rsidRDefault="0052668A" w:rsidP="003B04C1">
      <w:pPr>
        <w:autoSpaceDE w:val="0"/>
        <w:autoSpaceDN w:val="0"/>
        <w:adjustRightInd w:val="0"/>
        <w:spacing w:beforeLines="50" w:line="360" w:lineRule="auto"/>
        <w:ind w:firstLineChars="200" w:firstLine="480"/>
        <w:jc w:val="left"/>
        <w:rPr>
          <w:rFonts w:ascii="Times New Roman" w:eastAsia="楷体_GB2312" w:hAnsi="Times New Roman" w:cs="Times New Roman"/>
          <w:kern w:val="0"/>
          <w:sz w:val="24"/>
          <w:szCs w:val="24"/>
        </w:rPr>
      </w:pPr>
      <w:r w:rsidRPr="00336A2F">
        <w:rPr>
          <w:rFonts w:ascii="Times New Roman" w:eastAsia="楷体_GB2312" w:hAnsi="Times New Roman" w:cs="Times New Roman"/>
          <w:kern w:val="0"/>
          <w:sz w:val="24"/>
          <w:szCs w:val="24"/>
        </w:rPr>
        <w:t>特此公告</w:t>
      </w:r>
    </w:p>
    <w:p w:rsidR="00336A2F" w:rsidRPr="00336A2F" w:rsidRDefault="00336A2F" w:rsidP="00336A2F">
      <w:pPr>
        <w:autoSpaceDE w:val="0"/>
        <w:autoSpaceDN w:val="0"/>
        <w:adjustRightInd w:val="0"/>
        <w:spacing w:line="360" w:lineRule="auto"/>
        <w:jc w:val="right"/>
        <w:rPr>
          <w:rFonts w:ascii="Times New Roman" w:eastAsia="楷体_GB2312" w:hAnsi="Times New Roman" w:cs="Times New Roman"/>
          <w:kern w:val="0"/>
          <w:sz w:val="24"/>
          <w:szCs w:val="24"/>
        </w:rPr>
      </w:pPr>
      <w:r>
        <w:rPr>
          <w:rFonts w:ascii="Times New Roman" w:eastAsia="楷体_GB2312" w:hAnsi="Times New Roman" w:cs="Times New Roman"/>
          <w:kern w:val="0"/>
          <w:sz w:val="24"/>
          <w:szCs w:val="24"/>
        </w:rPr>
        <w:t>中金</w:t>
      </w:r>
      <w:r w:rsidRPr="00336A2F">
        <w:rPr>
          <w:rFonts w:ascii="Times New Roman" w:eastAsia="楷体_GB2312" w:hAnsi="Times New Roman" w:cs="Times New Roman"/>
          <w:kern w:val="0"/>
          <w:sz w:val="24"/>
          <w:szCs w:val="24"/>
        </w:rPr>
        <w:t>基金管理有限公司</w:t>
      </w:r>
    </w:p>
    <w:p w:rsidR="00336A2F" w:rsidRPr="00336A2F" w:rsidRDefault="00B6558C" w:rsidP="00336A2F">
      <w:pPr>
        <w:spacing w:line="360" w:lineRule="auto"/>
        <w:jc w:val="right"/>
        <w:rPr>
          <w:rFonts w:ascii="Times New Roman" w:eastAsia="楷体_GB2312" w:hAnsi="Times New Roman" w:cs="Times New Roman"/>
          <w:sz w:val="24"/>
          <w:szCs w:val="24"/>
        </w:rPr>
      </w:pPr>
      <w:r>
        <w:rPr>
          <w:rFonts w:ascii="Times New Roman" w:eastAsia="楷体_GB2312" w:hAnsi="Times New Roman" w:cs="Times New Roman" w:hint="eastAsia"/>
          <w:kern w:val="0"/>
          <w:sz w:val="24"/>
          <w:szCs w:val="24"/>
        </w:rPr>
        <w:t>2020</w:t>
      </w:r>
      <w:r>
        <w:rPr>
          <w:rFonts w:ascii="Times New Roman" w:eastAsia="楷体_GB2312" w:hAnsi="Times New Roman" w:cs="Times New Roman"/>
          <w:kern w:val="0"/>
          <w:sz w:val="24"/>
          <w:szCs w:val="24"/>
        </w:rPr>
        <w:t>年</w:t>
      </w:r>
      <w:r w:rsidR="00162DE7">
        <w:rPr>
          <w:rFonts w:ascii="Times New Roman" w:eastAsia="楷体_GB2312" w:hAnsi="Times New Roman" w:cs="Times New Roman" w:hint="eastAsia"/>
          <w:kern w:val="0"/>
          <w:sz w:val="24"/>
          <w:szCs w:val="24"/>
        </w:rPr>
        <w:t>4</w:t>
      </w:r>
      <w:r w:rsidR="00336A2F">
        <w:rPr>
          <w:rFonts w:ascii="Times New Roman" w:eastAsia="楷体_GB2312" w:hAnsi="Times New Roman" w:cs="Times New Roman"/>
          <w:kern w:val="0"/>
          <w:sz w:val="24"/>
          <w:szCs w:val="24"/>
        </w:rPr>
        <w:t>月</w:t>
      </w:r>
      <w:r w:rsidR="00B46517">
        <w:rPr>
          <w:rFonts w:ascii="Times New Roman" w:eastAsia="楷体_GB2312" w:hAnsi="Times New Roman" w:cs="Times New Roman" w:hint="eastAsia"/>
          <w:kern w:val="0"/>
          <w:sz w:val="24"/>
          <w:szCs w:val="24"/>
        </w:rPr>
        <w:t>28</w:t>
      </w:r>
      <w:r w:rsidR="00336A2F" w:rsidRPr="00336A2F">
        <w:rPr>
          <w:rFonts w:ascii="Times New Roman" w:eastAsia="楷体_GB2312" w:hAnsi="Times New Roman" w:cs="Times New Roman"/>
          <w:kern w:val="0"/>
          <w:sz w:val="24"/>
          <w:szCs w:val="24"/>
        </w:rPr>
        <w:t>日</w:t>
      </w:r>
    </w:p>
    <w:sectPr w:rsidR="00336A2F" w:rsidRPr="00336A2F" w:rsidSect="001668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2A53" w:rsidRDefault="00982A53" w:rsidP="003730B8">
      <w:r>
        <w:separator/>
      </w:r>
    </w:p>
  </w:endnote>
  <w:endnote w:type="continuationSeparator" w:id="1">
    <w:p w:rsidR="00982A53" w:rsidRDefault="00982A53" w:rsidP="003730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2A53" w:rsidRDefault="00982A53" w:rsidP="003730B8">
      <w:r>
        <w:separator/>
      </w:r>
    </w:p>
  </w:footnote>
  <w:footnote w:type="continuationSeparator" w:id="1">
    <w:p w:rsidR="00982A53" w:rsidRDefault="00982A53" w:rsidP="003730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0C25"/>
    <w:rsid w:val="00002C5D"/>
    <w:rsid w:val="000476E7"/>
    <w:rsid w:val="00052929"/>
    <w:rsid w:val="0008360E"/>
    <w:rsid w:val="00097A2E"/>
    <w:rsid w:val="001064A8"/>
    <w:rsid w:val="0011212F"/>
    <w:rsid w:val="00156FEE"/>
    <w:rsid w:val="00162DE7"/>
    <w:rsid w:val="00163C7B"/>
    <w:rsid w:val="001643C7"/>
    <w:rsid w:val="00164CA7"/>
    <w:rsid w:val="001668CC"/>
    <w:rsid w:val="001729E7"/>
    <w:rsid w:val="001E01E1"/>
    <w:rsid w:val="00211571"/>
    <w:rsid w:val="00222668"/>
    <w:rsid w:val="002A2594"/>
    <w:rsid w:val="002B48F4"/>
    <w:rsid w:val="002E4436"/>
    <w:rsid w:val="002E57C9"/>
    <w:rsid w:val="003202E4"/>
    <w:rsid w:val="00336A2F"/>
    <w:rsid w:val="00351B6D"/>
    <w:rsid w:val="0037307F"/>
    <w:rsid w:val="003730B8"/>
    <w:rsid w:val="00383D43"/>
    <w:rsid w:val="00387283"/>
    <w:rsid w:val="003B0326"/>
    <w:rsid w:val="003B04C1"/>
    <w:rsid w:val="003C49CF"/>
    <w:rsid w:val="003D07E5"/>
    <w:rsid w:val="003E2578"/>
    <w:rsid w:val="003E25DA"/>
    <w:rsid w:val="004343C7"/>
    <w:rsid w:val="00454743"/>
    <w:rsid w:val="00495039"/>
    <w:rsid w:val="004B4629"/>
    <w:rsid w:val="004B7BC5"/>
    <w:rsid w:val="004E0EBE"/>
    <w:rsid w:val="005163E2"/>
    <w:rsid w:val="0052668A"/>
    <w:rsid w:val="00580073"/>
    <w:rsid w:val="006A26CC"/>
    <w:rsid w:val="006A36E9"/>
    <w:rsid w:val="006F0B07"/>
    <w:rsid w:val="00705D36"/>
    <w:rsid w:val="00722DD4"/>
    <w:rsid w:val="007D083F"/>
    <w:rsid w:val="007F1F31"/>
    <w:rsid w:val="008320EA"/>
    <w:rsid w:val="00851B64"/>
    <w:rsid w:val="008A6302"/>
    <w:rsid w:val="008D7962"/>
    <w:rsid w:val="008F4927"/>
    <w:rsid w:val="0097486C"/>
    <w:rsid w:val="00982A53"/>
    <w:rsid w:val="009D070A"/>
    <w:rsid w:val="009D6FA9"/>
    <w:rsid w:val="009F73EF"/>
    <w:rsid w:val="00A331EB"/>
    <w:rsid w:val="00A6528A"/>
    <w:rsid w:val="00A8230E"/>
    <w:rsid w:val="00A87330"/>
    <w:rsid w:val="00AA0CEA"/>
    <w:rsid w:val="00AC6C51"/>
    <w:rsid w:val="00B46517"/>
    <w:rsid w:val="00B50C25"/>
    <w:rsid w:val="00B6558C"/>
    <w:rsid w:val="00B91A14"/>
    <w:rsid w:val="00B96288"/>
    <w:rsid w:val="00BB5965"/>
    <w:rsid w:val="00BB6854"/>
    <w:rsid w:val="00C10FD9"/>
    <w:rsid w:val="00C46055"/>
    <w:rsid w:val="00C47181"/>
    <w:rsid w:val="00CA4101"/>
    <w:rsid w:val="00CB753C"/>
    <w:rsid w:val="00CD0251"/>
    <w:rsid w:val="00CE517E"/>
    <w:rsid w:val="00D26D4A"/>
    <w:rsid w:val="00D61AF3"/>
    <w:rsid w:val="00D70082"/>
    <w:rsid w:val="00D74989"/>
    <w:rsid w:val="00DC3E7B"/>
    <w:rsid w:val="00DF7ED7"/>
    <w:rsid w:val="00E1375C"/>
    <w:rsid w:val="00E53A60"/>
    <w:rsid w:val="00EF1EDA"/>
    <w:rsid w:val="00F72146"/>
    <w:rsid w:val="00F81BD6"/>
    <w:rsid w:val="00F9044B"/>
    <w:rsid w:val="00F94F4E"/>
    <w:rsid w:val="00FA33B2"/>
    <w:rsid w:val="00FF6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8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6A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336A2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36A2F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3730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730B8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3730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3730B8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3730B8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3730B8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3730B8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3730B8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3730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6A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336A2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36A2F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3730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730B8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3730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3730B8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3730B8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3730B8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3730B8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3730B8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3730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744</Characters>
  <Application>Microsoft Office Word</Application>
  <DocSecurity>4</DocSecurity>
  <Lines>6</Lines>
  <Paragraphs>1</Paragraphs>
  <ScaleCrop>false</ScaleCrop>
  <Company>HP Inc.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SXF</dc:creator>
  <cp:lastModifiedBy>JonMMx 2000</cp:lastModifiedBy>
  <cp:revision>2</cp:revision>
  <cp:lastPrinted>2020-04-27T03:21:00Z</cp:lastPrinted>
  <dcterms:created xsi:type="dcterms:W3CDTF">2020-04-27T16:44:00Z</dcterms:created>
  <dcterms:modified xsi:type="dcterms:W3CDTF">2020-04-27T16:44:00Z</dcterms:modified>
</cp:coreProperties>
</file>