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833" w:rsidRPr="00664EF9" w:rsidRDefault="00267AAD" w:rsidP="00624F69">
      <w:pPr>
        <w:pStyle w:val="Default"/>
        <w:jc w:val="center"/>
        <w:rPr>
          <w:rFonts w:ascii="宋体" w:eastAsia="宋体" w:hAnsi="宋体"/>
          <w:b/>
          <w:bCs/>
          <w:sz w:val="28"/>
          <w:szCs w:val="28"/>
        </w:rPr>
      </w:pPr>
      <w:r w:rsidRPr="00664EF9">
        <w:rPr>
          <w:rFonts w:ascii="宋体" w:eastAsia="宋体" w:hAnsi="宋体" w:hint="eastAsia"/>
          <w:b/>
          <w:bCs/>
          <w:sz w:val="28"/>
          <w:szCs w:val="28"/>
        </w:rPr>
        <w:t>泰达宏利基金管理有限公司关于旗下部分基金参加</w:t>
      </w:r>
      <w:r w:rsidR="00213FD8" w:rsidRPr="00664EF9">
        <w:rPr>
          <w:rFonts w:ascii="宋体" w:eastAsia="宋体" w:hAnsi="宋体" w:hint="eastAsia"/>
          <w:b/>
          <w:bCs/>
          <w:sz w:val="28"/>
          <w:szCs w:val="28"/>
        </w:rPr>
        <w:t>中信证券华南股份有限公司恢复申购</w:t>
      </w:r>
      <w:r w:rsidR="00D0228E" w:rsidRPr="00664EF9">
        <w:rPr>
          <w:rFonts w:ascii="宋体" w:eastAsia="宋体" w:hAnsi="宋体" w:hint="eastAsia"/>
          <w:b/>
          <w:bCs/>
          <w:sz w:val="28"/>
          <w:szCs w:val="28"/>
        </w:rPr>
        <w:t>（含定期定额）</w:t>
      </w:r>
      <w:r w:rsidRPr="00664EF9">
        <w:rPr>
          <w:rFonts w:ascii="宋体" w:eastAsia="宋体" w:hAnsi="宋体" w:hint="eastAsia"/>
          <w:b/>
          <w:bCs/>
          <w:sz w:val="28"/>
          <w:szCs w:val="28"/>
        </w:rPr>
        <w:t>费率的公告</w:t>
      </w:r>
    </w:p>
    <w:p w:rsidR="00267AAD" w:rsidRPr="00664EF9" w:rsidRDefault="00267AAD" w:rsidP="00EB3E84">
      <w:pPr>
        <w:autoSpaceDE w:val="0"/>
        <w:autoSpaceDN w:val="0"/>
        <w:adjustRightInd w:val="0"/>
        <w:spacing w:before="100" w:beforeAutospacing="1" w:line="360" w:lineRule="auto"/>
        <w:ind w:firstLine="465"/>
        <w:rPr>
          <w:rFonts w:ascii="宋体" w:eastAsia="宋体" w:hAnsi="宋体" w:cs="宋体"/>
          <w:color w:val="000000"/>
          <w:kern w:val="0"/>
          <w:szCs w:val="21"/>
        </w:rPr>
      </w:pPr>
    </w:p>
    <w:p w:rsidR="005932D0" w:rsidRPr="00664EF9" w:rsidRDefault="00267AAD" w:rsidP="00EB3E84">
      <w:pPr>
        <w:autoSpaceDE w:val="0"/>
        <w:autoSpaceDN w:val="0"/>
        <w:adjustRightInd w:val="0"/>
        <w:spacing w:before="100" w:beforeAutospacing="1" w:line="360" w:lineRule="auto"/>
        <w:ind w:firstLine="465"/>
        <w:rPr>
          <w:rFonts w:ascii="宋体" w:eastAsia="宋体" w:hAnsi="宋体" w:cs="宋体"/>
          <w:color w:val="000000"/>
          <w:kern w:val="0"/>
          <w:szCs w:val="21"/>
        </w:rPr>
      </w:pPr>
      <w:r w:rsidRPr="00664EF9">
        <w:rPr>
          <w:rFonts w:ascii="宋体" w:eastAsia="宋体" w:hAnsi="宋体" w:cs="宋体" w:hint="eastAsia"/>
          <w:color w:val="000000"/>
          <w:kern w:val="0"/>
          <w:sz w:val="24"/>
          <w:szCs w:val="24"/>
        </w:rPr>
        <w:t>经与</w:t>
      </w:r>
      <w:r w:rsidR="00502CA2" w:rsidRPr="00664EF9">
        <w:rPr>
          <w:rFonts w:ascii="宋体" w:eastAsia="宋体" w:hAnsi="宋体" w:cs="宋体" w:hint="eastAsia"/>
          <w:color w:val="000000"/>
          <w:kern w:val="0"/>
          <w:sz w:val="24"/>
          <w:szCs w:val="24"/>
        </w:rPr>
        <w:t>中信</w:t>
      </w:r>
      <w:r w:rsidR="00EC47D6" w:rsidRPr="00664EF9">
        <w:rPr>
          <w:rFonts w:ascii="宋体" w:eastAsia="宋体" w:hAnsi="宋体" w:cs="宋体" w:hint="eastAsia"/>
          <w:color w:val="000000"/>
          <w:kern w:val="0"/>
          <w:sz w:val="24"/>
          <w:szCs w:val="24"/>
        </w:rPr>
        <w:t>证券</w:t>
      </w:r>
      <w:r w:rsidR="004D6C18" w:rsidRPr="00664EF9">
        <w:rPr>
          <w:rFonts w:ascii="宋体" w:eastAsia="宋体" w:hAnsi="宋体" w:cs="宋体" w:hint="eastAsia"/>
          <w:color w:val="000000"/>
          <w:kern w:val="0"/>
          <w:sz w:val="24"/>
          <w:szCs w:val="24"/>
        </w:rPr>
        <w:t>华南</w:t>
      </w:r>
      <w:r w:rsidR="00502CA2" w:rsidRPr="00664EF9">
        <w:rPr>
          <w:rFonts w:ascii="宋体" w:eastAsia="宋体" w:hAnsi="宋体" w:cs="宋体" w:hint="eastAsia"/>
          <w:color w:val="000000"/>
          <w:kern w:val="0"/>
          <w:sz w:val="24"/>
          <w:szCs w:val="24"/>
        </w:rPr>
        <w:t>股份</w:t>
      </w:r>
      <w:r w:rsidRPr="00664EF9">
        <w:rPr>
          <w:rFonts w:ascii="宋体" w:eastAsia="宋体" w:hAnsi="宋体" w:cs="宋体" w:hint="eastAsia"/>
          <w:color w:val="000000"/>
          <w:kern w:val="0"/>
          <w:sz w:val="24"/>
          <w:szCs w:val="24"/>
        </w:rPr>
        <w:t>有限公司（以下简称“</w:t>
      </w:r>
      <w:r w:rsidR="004D6C18" w:rsidRPr="00664EF9">
        <w:rPr>
          <w:rFonts w:ascii="宋体" w:eastAsia="宋体" w:hAnsi="宋体" w:cs="宋体" w:hint="eastAsia"/>
          <w:color w:val="000000"/>
          <w:kern w:val="0"/>
          <w:sz w:val="24"/>
          <w:szCs w:val="24"/>
        </w:rPr>
        <w:t>中信证券华南</w:t>
      </w:r>
      <w:r w:rsidRPr="00664EF9">
        <w:rPr>
          <w:rFonts w:ascii="宋体" w:eastAsia="宋体" w:hAnsi="宋体" w:cs="宋体" w:hint="eastAsia"/>
          <w:color w:val="000000"/>
          <w:kern w:val="0"/>
          <w:sz w:val="24"/>
          <w:szCs w:val="24"/>
        </w:rPr>
        <w:t>”）协商一致，泰达宏利基金</w:t>
      </w:r>
      <w:r w:rsidR="007A30FD" w:rsidRPr="00664EF9">
        <w:rPr>
          <w:rFonts w:ascii="宋体" w:eastAsia="宋体" w:hAnsi="宋体" w:cs="宋体" w:hint="eastAsia"/>
          <w:color w:val="000000"/>
          <w:kern w:val="0"/>
          <w:sz w:val="24"/>
          <w:szCs w:val="24"/>
        </w:rPr>
        <w:t>管理</w:t>
      </w:r>
      <w:r w:rsidRPr="00664EF9">
        <w:rPr>
          <w:rFonts w:ascii="宋体" w:eastAsia="宋体" w:hAnsi="宋体" w:cs="宋体" w:hint="eastAsia"/>
          <w:color w:val="000000"/>
          <w:kern w:val="0"/>
          <w:sz w:val="24"/>
          <w:szCs w:val="24"/>
        </w:rPr>
        <w:t>有限公司（以下简称“本公司”）</w:t>
      </w:r>
      <w:r w:rsidR="00502CA2" w:rsidRPr="00664EF9">
        <w:rPr>
          <w:rFonts w:ascii="宋体" w:eastAsia="宋体" w:hAnsi="宋体" w:cs="宋体" w:hint="eastAsia"/>
          <w:color w:val="000000"/>
          <w:kern w:val="0"/>
          <w:sz w:val="24"/>
          <w:szCs w:val="24"/>
        </w:rPr>
        <w:t>决定自</w:t>
      </w:r>
      <w:r w:rsidR="00502CA2" w:rsidRPr="00664EF9">
        <w:rPr>
          <w:rFonts w:ascii="宋体" w:eastAsia="宋体" w:hAnsi="宋体" w:cs="宋体"/>
          <w:color w:val="000000"/>
          <w:kern w:val="0"/>
          <w:sz w:val="24"/>
          <w:szCs w:val="24"/>
        </w:rPr>
        <w:t>2020</w:t>
      </w:r>
      <w:r w:rsidR="00502CA2" w:rsidRPr="00664EF9">
        <w:rPr>
          <w:rFonts w:ascii="宋体" w:eastAsia="宋体" w:hAnsi="宋体" w:cs="宋体" w:hint="eastAsia"/>
          <w:color w:val="000000"/>
          <w:kern w:val="0"/>
          <w:sz w:val="24"/>
          <w:szCs w:val="24"/>
        </w:rPr>
        <w:t>年</w:t>
      </w:r>
      <w:r w:rsidR="00502CA2" w:rsidRPr="00664EF9">
        <w:rPr>
          <w:rFonts w:ascii="宋体" w:eastAsia="宋体" w:hAnsi="宋体" w:cs="宋体"/>
          <w:color w:val="000000"/>
          <w:kern w:val="0"/>
          <w:sz w:val="24"/>
          <w:szCs w:val="24"/>
        </w:rPr>
        <w:t>4月2</w:t>
      </w:r>
      <w:r w:rsidR="004D6C18" w:rsidRPr="00664EF9">
        <w:rPr>
          <w:rFonts w:ascii="宋体" w:eastAsia="宋体" w:hAnsi="宋体" w:cs="宋体"/>
          <w:color w:val="000000"/>
          <w:kern w:val="0"/>
          <w:sz w:val="24"/>
          <w:szCs w:val="24"/>
        </w:rPr>
        <w:t>8</w:t>
      </w:r>
      <w:r w:rsidR="00502CA2" w:rsidRPr="00664EF9">
        <w:rPr>
          <w:rFonts w:ascii="宋体" w:eastAsia="宋体" w:hAnsi="宋体" w:cs="宋体" w:hint="eastAsia"/>
          <w:color w:val="000000"/>
          <w:kern w:val="0"/>
          <w:sz w:val="24"/>
          <w:szCs w:val="24"/>
        </w:rPr>
        <w:t>日起，中信</w:t>
      </w:r>
      <w:r w:rsidR="004D6C18" w:rsidRPr="00664EF9">
        <w:rPr>
          <w:rFonts w:ascii="宋体" w:eastAsia="宋体" w:hAnsi="宋体" w:cs="宋体" w:hint="eastAsia"/>
          <w:color w:val="000000"/>
          <w:kern w:val="0"/>
          <w:sz w:val="24"/>
          <w:szCs w:val="24"/>
        </w:rPr>
        <w:t>证券华南恢复</w:t>
      </w:r>
      <w:r w:rsidRPr="00664EF9">
        <w:rPr>
          <w:rFonts w:ascii="宋体" w:eastAsia="宋体" w:hAnsi="宋体" w:cs="宋体" w:hint="eastAsia"/>
          <w:color w:val="000000"/>
          <w:kern w:val="0"/>
          <w:sz w:val="24"/>
          <w:szCs w:val="24"/>
        </w:rPr>
        <w:t>基金申购（含定期定额申购）费率</w:t>
      </w:r>
      <w:r w:rsidR="004D6C18" w:rsidRPr="00664EF9">
        <w:rPr>
          <w:rFonts w:ascii="宋体" w:eastAsia="宋体" w:hAnsi="宋体" w:cs="宋体" w:hint="eastAsia"/>
          <w:color w:val="000000"/>
          <w:kern w:val="0"/>
          <w:sz w:val="24"/>
          <w:szCs w:val="24"/>
        </w:rPr>
        <w:t>的</w:t>
      </w:r>
      <w:r w:rsidRPr="00664EF9">
        <w:rPr>
          <w:rFonts w:ascii="宋体" w:eastAsia="宋体" w:hAnsi="宋体" w:cs="宋体" w:hint="eastAsia"/>
          <w:color w:val="000000"/>
          <w:kern w:val="0"/>
          <w:sz w:val="24"/>
          <w:szCs w:val="24"/>
        </w:rPr>
        <w:t>活动。具体安排如下：</w:t>
      </w:r>
    </w:p>
    <w:p w:rsidR="00502CA2" w:rsidRPr="00664EF9" w:rsidRDefault="005932D0" w:rsidP="00AC2AE3">
      <w:pPr>
        <w:autoSpaceDE w:val="0"/>
        <w:autoSpaceDN w:val="0"/>
        <w:adjustRightInd w:val="0"/>
        <w:spacing w:before="100" w:beforeAutospacing="1" w:line="360" w:lineRule="auto"/>
        <w:ind w:firstLine="465"/>
        <w:rPr>
          <w:rFonts w:ascii="宋体" w:eastAsia="宋体" w:hAnsi="宋体" w:cs="宋体"/>
          <w:b/>
          <w:color w:val="000000"/>
          <w:kern w:val="0"/>
          <w:sz w:val="24"/>
          <w:szCs w:val="24"/>
        </w:rPr>
      </w:pPr>
      <w:r w:rsidRPr="00664EF9">
        <w:rPr>
          <w:rFonts w:ascii="宋体" w:eastAsia="宋体" w:hAnsi="宋体" w:cs="宋体" w:hint="eastAsia"/>
          <w:b/>
          <w:color w:val="000000"/>
          <w:kern w:val="0"/>
          <w:sz w:val="24"/>
          <w:szCs w:val="24"/>
        </w:rPr>
        <w:t>一、</w:t>
      </w:r>
      <w:r w:rsidR="00502CA2" w:rsidRPr="00664EF9">
        <w:rPr>
          <w:rFonts w:ascii="宋体" w:eastAsia="宋体" w:hAnsi="宋体" w:cs="宋体" w:hint="eastAsia"/>
          <w:b/>
          <w:color w:val="000000"/>
          <w:kern w:val="0"/>
          <w:sz w:val="24"/>
          <w:szCs w:val="24"/>
        </w:rPr>
        <w:t>适用投资者范围</w:t>
      </w:r>
    </w:p>
    <w:p w:rsidR="00502CA2" w:rsidRPr="00664EF9" w:rsidRDefault="00502CA2"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通过中信</w:t>
      </w:r>
      <w:r w:rsidR="004D6C18" w:rsidRPr="00664EF9">
        <w:rPr>
          <w:rFonts w:ascii="宋体" w:eastAsia="宋体" w:hAnsi="宋体" w:cs="宋体" w:hint="eastAsia"/>
          <w:color w:val="000000"/>
          <w:kern w:val="0"/>
          <w:sz w:val="24"/>
          <w:szCs w:val="24"/>
        </w:rPr>
        <w:t>证券华南</w:t>
      </w:r>
      <w:r w:rsidRPr="00664EF9">
        <w:rPr>
          <w:rFonts w:ascii="宋体" w:eastAsia="宋体" w:hAnsi="宋体" w:cs="宋体" w:hint="eastAsia"/>
          <w:color w:val="000000"/>
          <w:kern w:val="0"/>
          <w:sz w:val="24"/>
          <w:szCs w:val="24"/>
        </w:rPr>
        <w:t>网上及其营业部申购、定投本公司旗下开放式基金的投资者</w:t>
      </w:r>
      <w:r w:rsidR="00EF6F7A" w:rsidRPr="00664EF9">
        <w:rPr>
          <w:rFonts w:ascii="宋体" w:eastAsia="宋体" w:hAnsi="宋体" w:cs="宋体" w:hint="eastAsia"/>
          <w:color w:val="000000"/>
          <w:kern w:val="0"/>
          <w:sz w:val="24"/>
          <w:szCs w:val="24"/>
        </w:rPr>
        <w:t>。</w:t>
      </w:r>
    </w:p>
    <w:p w:rsidR="007A30FD" w:rsidRPr="00664EF9" w:rsidRDefault="005932D0" w:rsidP="00AC2AE3">
      <w:pPr>
        <w:autoSpaceDE w:val="0"/>
        <w:autoSpaceDN w:val="0"/>
        <w:adjustRightInd w:val="0"/>
        <w:spacing w:before="100" w:beforeAutospacing="1" w:line="360" w:lineRule="auto"/>
        <w:ind w:firstLineChars="200" w:firstLine="482"/>
        <w:rPr>
          <w:rFonts w:ascii="宋体" w:eastAsia="宋体" w:hAnsi="宋体" w:cs="宋体"/>
          <w:b/>
          <w:color w:val="000000"/>
          <w:kern w:val="0"/>
          <w:sz w:val="24"/>
          <w:szCs w:val="24"/>
        </w:rPr>
      </w:pPr>
      <w:r w:rsidRPr="00664EF9">
        <w:rPr>
          <w:rFonts w:ascii="宋体" w:eastAsia="宋体" w:hAnsi="宋体" w:cs="宋体" w:hint="eastAsia"/>
          <w:b/>
          <w:color w:val="000000"/>
          <w:kern w:val="0"/>
          <w:sz w:val="24"/>
          <w:szCs w:val="24"/>
        </w:rPr>
        <w:t>二、</w:t>
      </w:r>
      <w:r w:rsidR="00502CA2" w:rsidRPr="00664EF9">
        <w:rPr>
          <w:rFonts w:ascii="宋体" w:eastAsia="宋体" w:hAnsi="宋体" w:cs="宋体" w:hint="eastAsia"/>
          <w:b/>
          <w:color w:val="000000"/>
          <w:kern w:val="0"/>
          <w:sz w:val="24"/>
          <w:szCs w:val="24"/>
        </w:rPr>
        <w:t>适用基金</w:t>
      </w:r>
    </w:p>
    <w:p w:rsidR="00FC3FCF" w:rsidRPr="00664EF9" w:rsidRDefault="00502CA2"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与中信</w:t>
      </w:r>
      <w:r w:rsidR="004D6C18" w:rsidRPr="00664EF9">
        <w:rPr>
          <w:rFonts w:ascii="宋体" w:eastAsia="宋体" w:hAnsi="宋体" w:cs="宋体" w:hint="eastAsia"/>
          <w:color w:val="000000"/>
          <w:kern w:val="0"/>
          <w:sz w:val="24"/>
          <w:szCs w:val="24"/>
        </w:rPr>
        <w:t>证券华南</w:t>
      </w:r>
      <w:r w:rsidRPr="00664EF9">
        <w:rPr>
          <w:rFonts w:ascii="宋体" w:eastAsia="宋体" w:hAnsi="宋体" w:cs="宋体" w:hint="eastAsia"/>
          <w:color w:val="000000"/>
          <w:kern w:val="0"/>
          <w:sz w:val="24"/>
          <w:szCs w:val="24"/>
        </w:rPr>
        <w:t>合作销售的本公司旗下开放式基金均参与，具体</w:t>
      </w:r>
      <w:r w:rsidR="004D6C18" w:rsidRPr="00664EF9">
        <w:rPr>
          <w:rFonts w:ascii="宋体" w:eastAsia="宋体" w:hAnsi="宋体" w:cs="宋体" w:hint="eastAsia"/>
          <w:color w:val="000000"/>
          <w:kern w:val="0"/>
          <w:sz w:val="24"/>
          <w:szCs w:val="24"/>
        </w:rPr>
        <w:t>基金如下：</w:t>
      </w:r>
    </w:p>
    <w:tbl>
      <w:tblPr>
        <w:tblStyle w:val="a4"/>
        <w:tblW w:w="8222" w:type="dxa"/>
        <w:tblInd w:w="137" w:type="dxa"/>
        <w:tblLook w:val="04A0"/>
      </w:tblPr>
      <w:tblGrid>
        <w:gridCol w:w="1308"/>
        <w:gridCol w:w="3863"/>
        <w:gridCol w:w="3051"/>
      </w:tblGrid>
      <w:tr w:rsidR="009F0997" w:rsidRPr="00664EF9" w:rsidTr="00714280">
        <w:tc>
          <w:tcPr>
            <w:tcW w:w="1308"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序号</w:t>
            </w:r>
          </w:p>
        </w:tc>
        <w:tc>
          <w:tcPr>
            <w:tcW w:w="3863"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基金名称</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基金代码</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泰达宏利价值优化型成长类行业混合型证券投资基金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62201</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泰达宏利价值优化型周期类行业混合型证券投资基金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162202</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3</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泰达宏利价值优化型稳定类行业混合型证券投资基金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162203</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4</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泰达宏利行业精选混合型证券投资基金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162204</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5</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泰达宏利风险预算混合型证券投资基金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162205</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6</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泰达宏利货币市场基金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/B</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A：162206/B: 000700</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7</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泰达宏利效率优选混合型证券投资基金（LOF）</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162207</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8</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泰达宏利首选企业股票型证券投资基金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162208</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9</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泰达宏利市值优选混合型证券投资基金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162209</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0</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泰达宏利集利债券型证券投资基金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A：162210/C:162299</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1</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泰达宏利品质生活灵活配置混合型</w:t>
            </w:r>
            <w:r w:rsidRPr="00664EF9">
              <w:rPr>
                <w:rFonts w:ascii="宋体" w:eastAsia="宋体" w:hAnsi="宋体" w:cs="宋体"/>
                <w:color w:val="000000"/>
                <w:kern w:val="0"/>
                <w:sz w:val="24"/>
                <w:szCs w:val="24"/>
              </w:rPr>
              <w:lastRenderedPageBreak/>
              <w:t>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lastRenderedPageBreak/>
              <w:t>162211</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lastRenderedPageBreak/>
              <w:t>1</w:t>
            </w:r>
            <w:r w:rsidRPr="00664EF9">
              <w:rPr>
                <w:rFonts w:ascii="宋体" w:eastAsia="宋体" w:hAnsi="宋体" w:cs="宋体"/>
                <w:color w:val="000000"/>
                <w:kern w:val="0"/>
                <w:sz w:val="24"/>
                <w:szCs w:val="24"/>
              </w:rPr>
              <w:t>2</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泰达宏利红利先锋混合型证券投资基金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162212</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3</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泰达宏利沪深300指数增强型证券投资基金</w:t>
            </w:r>
            <w:r w:rsidRPr="00664EF9">
              <w:rPr>
                <w:rFonts w:ascii="宋体" w:eastAsia="宋体" w:hAnsi="宋体" w:cs="宋体" w:hint="eastAsia"/>
                <w:color w:val="000000"/>
                <w:kern w:val="0"/>
                <w:sz w:val="24"/>
                <w:szCs w:val="24"/>
              </w:rPr>
              <w:t>A</w:t>
            </w:r>
            <w:r w:rsidR="00714280" w:rsidRPr="00664EF9">
              <w:rPr>
                <w:rFonts w:ascii="宋体" w:eastAsia="宋体" w:hAnsi="宋体" w:cs="宋体"/>
                <w:color w:val="000000"/>
                <w:kern w:val="0"/>
                <w:sz w:val="24"/>
                <w:szCs w:val="24"/>
              </w:rPr>
              <w:t>/C</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A：162213</w:t>
            </w:r>
            <w:r w:rsidR="004C5FA3" w:rsidRPr="00664EF9">
              <w:rPr>
                <w:rFonts w:ascii="宋体" w:eastAsia="宋体" w:hAnsi="宋体" w:cs="宋体"/>
                <w:color w:val="000000"/>
                <w:kern w:val="0"/>
                <w:sz w:val="24"/>
                <w:szCs w:val="24"/>
              </w:rPr>
              <w:t>/C:003548</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4</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泰达宏利领先中小盘混合型证券投资基金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162214</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5</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泰达宏利聚利债券型证券投资基金（LOF）</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162215</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6</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泰达宏利中证500指数增强型证券投资基金（LOF）</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162216</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7</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泰达宏利逆向策略混合型证券投资基金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229002</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8</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泰达宏利宏达混合型证券投资基金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/B</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A：000507/B:000508</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w:t>
            </w:r>
            <w:r w:rsidRPr="00664EF9">
              <w:rPr>
                <w:rFonts w:ascii="宋体" w:eastAsia="宋体" w:hAnsi="宋体" w:cs="宋体"/>
                <w:color w:val="000000"/>
                <w:kern w:val="0"/>
                <w:sz w:val="24"/>
                <w:szCs w:val="24"/>
              </w:rPr>
              <w:t>9</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泰达宏利淘利债券型证券投资基金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A：000319/C:000320</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Pr="00664EF9">
              <w:rPr>
                <w:rFonts w:ascii="宋体" w:eastAsia="宋体" w:hAnsi="宋体" w:cs="宋体"/>
                <w:color w:val="000000"/>
                <w:kern w:val="0"/>
                <w:sz w:val="24"/>
                <w:szCs w:val="24"/>
              </w:rPr>
              <w:t>0</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泰达宏利转型机遇股票型证券投资基金</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000828</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21</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泰达宏利改革动力量化策略灵活配置混合型证券投资基金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A：001017/C:003550</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1C4721" w:rsidRPr="00664EF9">
              <w:rPr>
                <w:rFonts w:ascii="宋体" w:eastAsia="宋体" w:hAnsi="宋体" w:cs="宋体"/>
                <w:color w:val="000000"/>
                <w:kern w:val="0"/>
                <w:sz w:val="24"/>
                <w:szCs w:val="24"/>
              </w:rPr>
              <w:t>2</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泰达宏利复兴伟业灵活配置混合型证券投资基金</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001170</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1C4721" w:rsidRPr="00664EF9">
              <w:rPr>
                <w:rFonts w:ascii="宋体" w:eastAsia="宋体" w:hAnsi="宋体" w:cs="宋体"/>
                <w:color w:val="000000"/>
                <w:kern w:val="0"/>
                <w:sz w:val="24"/>
                <w:szCs w:val="24"/>
              </w:rPr>
              <w:t>3</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泰达宏利新起点灵活配置混合型证券投资基金A/B</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 001254/B:002313</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1C4721" w:rsidRPr="00664EF9">
              <w:rPr>
                <w:rFonts w:ascii="宋体" w:eastAsia="宋体" w:hAnsi="宋体" w:cs="宋体"/>
                <w:color w:val="000000"/>
                <w:kern w:val="0"/>
                <w:sz w:val="24"/>
                <w:szCs w:val="24"/>
              </w:rPr>
              <w:t>4</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泰达宏利蓝筹价值混合型证券投资基金</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001267</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1C4721" w:rsidRPr="00664EF9">
              <w:rPr>
                <w:rFonts w:ascii="宋体" w:eastAsia="宋体" w:hAnsi="宋体" w:cs="宋体"/>
                <w:color w:val="000000"/>
                <w:kern w:val="0"/>
                <w:sz w:val="24"/>
                <w:szCs w:val="24"/>
              </w:rPr>
              <w:t>5</w:t>
            </w:r>
          </w:p>
        </w:tc>
        <w:tc>
          <w:tcPr>
            <w:tcW w:w="3863"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泰达宏利新思路灵活配置混合型证券投资基金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/B</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A：001419/B:002314</w:t>
            </w:r>
          </w:p>
        </w:tc>
      </w:tr>
      <w:tr w:rsidR="009F0997" w:rsidRPr="00664EF9" w:rsidTr="00714280">
        <w:trPr>
          <w:trHeight w:val="481"/>
        </w:trPr>
        <w:tc>
          <w:tcPr>
            <w:tcW w:w="1308" w:type="dxa"/>
            <w:vAlign w:val="center"/>
          </w:tcPr>
          <w:p w:rsidR="009F0997" w:rsidRPr="00664EF9" w:rsidDel="002B517C"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D47C41" w:rsidRPr="00664EF9">
              <w:rPr>
                <w:rFonts w:ascii="宋体" w:eastAsia="宋体" w:hAnsi="宋体" w:cs="宋体"/>
                <w:color w:val="000000"/>
                <w:kern w:val="0"/>
                <w:sz w:val="24"/>
                <w:szCs w:val="24"/>
              </w:rPr>
              <w:t>6</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泰达宏利活期友货币市场基金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/B</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A：001894/B:001895</w:t>
            </w:r>
          </w:p>
        </w:tc>
      </w:tr>
      <w:tr w:rsidR="009F0997" w:rsidRPr="00664EF9" w:rsidTr="00714280">
        <w:trPr>
          <w:trHeight w:val="481"/>
        </w:trPr>
        <w:tc>
          <w:tcPr>
            <w:tcW w:w="1308" w:type="dxa"/>
            <w:vAlign w:val="center"/>
          </w:tcPr>
          <w:p w:rsidR="009F0997" w:rsidRPr="00664EF9" w:rsidDel="002B517C"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w:t>
            </w:r>
            <w:r w:rsidR="00D47C41" w:rsidRPr="00664EF9">
              <w:rPr>
                <w:rFonts w:ascii="宋体" w:eastAsia="宋体" w:hAnsi="宋体" w:cs="宋体"/>
                <w:color w:val="000000"/>
                <w:kern w:val="0"/>
                <w:sz w:val="24"/>
                <w:szCs w:val="24"/>
              </w:rPr>
              <w:t>7</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泰达宏利同顺大数据量化优选灵活配置混合型证券投资基金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A：002263/C:003554</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28</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泰达宏利量化增强股票型证券投资基金</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001733</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29</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泰达宏利定宏混合型证券投资基金</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003104</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30</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泰达宏利亚洲债券型证券投资基金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A：003463/C003464</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3</w:t>
            </w:r>
            <w:r w:rsidR="00D47C41" w:rsidRPr="00664EF9">
              <w:rPr>
                <w:rFonts w:ascii="宋体" w:eastAsia="宋体" w:hAnsi="宋体" w:cs="宋体"/>
                <w:color w:val="000000"/>
                <w:kern w:val="0"/>
                <w:sz w:val="24"/>
                <w:szCs w:val="24"/>
              </w:rPr>
              <w:t>1</w:t>
            </w:r>
          </w:p>
        </w:tc>
        <w:tc>
          <w:tcPr>
            <w:tcW w:w="3863" w:type="dxa"/>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泰达宏利睿智稳健灵活配置混合型证券投资基金</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003501</w:t>
            </w:r>
          </w:p>
        </w:tc>
      </w:tr>
      <w:tr w:rsidR="009F0997" w:rsidRPr="00664EF9" w:rsidTr="00714280">
        <w:tc>
          <w:tcPr>
            <w:tcW w:w="1308"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3</w:t>
            </w:r>
            <w:r w:rsidR="00D47C41" w:rsidRPr="00664EF9">
              <w:rPr>
                <w:rFonts w:ascii="宋体" w:eastAsia="宋体" w:hAnsi="宋体" w:cs="宋体"/>
                <w:color w:val="000000"/>
                <w:kern w:val="0"/>
                <w:sz w:val="24"/>
                <w:szCs w:val="24"/>
              </w:rPr>
              <w:t>2</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泰达宏利睿选稳健灵活配置混合型证券投资基金</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004000</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33</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泰达宏利业绩驱动量化股票型证券</w:t>
            </w:r>
            <w:r w:rsidRPr="00664EF9">
              <w:rPr>
                <w:rFonts w:ascii="宋体" w:eastAsia="宋体" w:hAnsi="宋体" w:cs="宋体" w:hint="eastAsia"/>
                <w:color w:val="000000"/>
                <w:kern w:val="0"/>
                <w:sz w:val="24"/>
                <w:szCs w:val="24"/>
              </w:rPr>
              <w:lastRenderedPageBreak/>
              <w:t>投资基金A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lastRenderedPageBreak/>
              <w:t>A: 004484</w:t>
            </w:r>
            <w:r w:rsidRPr="00664EF9">
              <w:rPr>
                <w:rFonts w:ascii="宋体" w:eastAsia="宋体" w:hAnsi="宋体" w:cs="宋体"/>
                <w:color w:val="000000"/>
                <w:kern w:val="0"/>
                <w:sz w:val="24"/>
                <w:szCs w:val="24"/>
              </w:rPr>
              <w:t>/</w:t>
            </w:r>
            <w:r w:rsidRPr="00664EF9">
              <w:rPr>
                <w:rFonts w:ascii="宋体" w:eastAsia="宋体" w:hAnsi="宋体" w:cs="宋体" w:hint="eastAsia"/>
                <w:color w:val="000000"/>
                <w:kern w:val="0"/>
                <w:sz w:val="24"/>
                <w:szCs w:val="24"/>
              </w:rPr>
              <w:t>C: 004485</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lastRenderedPageBreak/>
              <w:t>3</w:t>
            </w:r>
            <w:r w:rsidR="009F0997" w:rsidRPr="00664EF9">
              <w:rPr>
                <w:rFonts w:ascii="宋体" w:eastAsia="宋体" w:hAnsi="宋体" w:cs="宋体"/>
                <w:color w:val="000000"/>
                <w:kern w:val="0"/>
                <w:sz w:val="24"/>
                <w:szCs w:val="24"/>
              </w:rPr>
              <w:t>4</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泰达宏利全能优选混合型基金中基金（FOF）</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A：005221/C:005222</w:t>
            </w:r>
          </w:p>
        </w:tc>
      </w:tr>
      <w:tr w:rsidR="009F0997" w:rsidRPr="00664EF9" w:rsidTr="00714280">
        <w:tc>
          <w:tcPr>
            <w:tcW w:w="1308" w:type="dxa"/>
            <w:vAlign w:val="center"/>
          </w:tcPr>
          <w:p w:rsidR="009F0997" w:rsidRPr="00664EF9"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35</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泰达宏利印度机会股票型证券投资基金（QDII）</w:t>
            </w:r>
          </w:p>
        </w:tc>
        <w:tc>
          <w:tcPr>
            <w:tcW w:w="3051" w:type="dxa"/>
            <w:vAlign w:val="center"/>
          </w:tcPr>
          <w:p w:rsidR="009F0997" w:rsidRPr="00664EF9" w:rsidRDefault="009F0997"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006105</w:t>
            </w:r>
          </w:p>
        </w:tc>
      </w:tr>
      <w:tr w:rsidR="009F0997" w:rsidRPr="00664EF9" w:rsidTr="00714280">
        <w:tc>
          <w:tcPr>
            <w:tcW w:w="1308" w:type="dxa"/>
            <w:vAlign w:val="center"/>
          </w:tcPr>
          <w:p w:rsidR="009F0997" w:rsidRPr="00664EF9" w:rsidDel="00C11B1A"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w:t>
            </w:r>
            <w:r w:rsidR="00714280" w:rsidRPr="00664EF9">
              <w:rPr>
                <w:rFonts w:ascii="宋体" w:eastAsia="宋体" w:hAnsi="宋体" w:cs="宋体"/>
                <w:color w:val="000000"/>
                <w:kern w:val="0"/>
                <w:sz w:val="24"/>
                <w:szCs w:val="24"/>
              </w:rPr>
              <w:t>6</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泰达宏利品牌升级混合型证券投资基金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w:t>
            </w:r>
            <w:r w:rsidRPr="00664EF9">
              <w:rPr>
                <w:rFonts w:ascii="宋体" w:eastAsia="宋体" w:hAnsi="宋体" w:cs="宋体" w:hint="eastAsia"/>
                <w:color w:val="000000"/>
                <w:kern w:val="0"/>
                <w:sz w:val="24"/>
                <w:szCs w:val="24"/>
              </w:rPr>
              <w:t>:</w:t>
            </w:r>
            <w:r w:rsidRPr="00664EF9">
              <w:rPr>
                <w:rFonts w:ascii="宋体" w:eastAsia="宋体" w:hAnsi="宋体" w:cs="宋体"/>
                <w:color w:val="000000"/>
                <w:kern w:val="0"/>
                <w:sz w:val="24"/>
                <w:szCs w:val="24"/>
              </w:rPr>
              <w:t>007678/C:007679</w:t>
            </w:r>
          </w:p>
        </w:tc>
      </w:tr>
      <w:tr w:rsidR="009F0997" w:rsidRPr="00664EF9" w:rsidTr="00714280">
        <w:tc>
          <w:tcPr>
            <w:tcW w:w="1308" w:type="dxa"/>
            <w:vAlign w:val="center"/>
          </w:tcPr>
          <w:p w:rsidR="009F0997" w:rsidRPr="00664EF9" w:rsidDel="00C11B1A" w:rsidRDefault="00D47C41"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w:t>
            </w:r>
            <w:r w:rsidR="00714280" w:rsidRPr="00664EF9">
              <w:rPr>
                <w:rFonts w:ascii="宋体" w:eastAsia="宋体" w:hAnsi="宋体" w:cs="宋体"/>
                <w:color w:val="000000"/>
                <w:kern w:val="0"/>
                <w:sz w:val="24"/>
                <w:szCs w:val="24"/>
              </w:rPr>
              <w:t>7</w:t>
            </w:r>
          </w:p>
        </w:tc>
        <w:tc>
          <w:tcPr>
            <w:tcW w:w="3863" w:type="dxa"/>
            <w:vAlign w:val="center"/>
          </w:tcPr>
          <w:p w:rsidR="009F0997" w:rsidRPr="00664EF9" w:rsidRDefault="009F0997" w:rsidP="00A132AC">
            <w:pPr>
              <w:autoSpaceDE w:val="0"/>
              <w:autoSpaceDN w:val="0"/>
              <w:adjustRightInd w:val="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泰达宏利消费行业量化精选混合型证券投资基金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w:t>
            </w:r>
            <w:r w:rsidRPr="00664EF9">
              <w:rPr>
                <w:rFonts w:ascii="宋体" w:eastAsia="宋体" w:hAnsi="宋体" w:cs="宋体" w:hint="eastAsia"/>
                <w:color w:val="000000"/>
                <w:kern w:val="0"/>
                <w:sz w:val="24"/>
                <w:szCs w:val="24"/>
              </w:rPr>
              <w:t>:</w:t>
            </w:r>
            <w:r w:rsidRPr="00664EF9">
              <w:rPr>
                <w:rFonts w:ascii="宋体" w:eastAsia="宋体" w:hAnsi="宋体" w:cs="宋体"/>
                <w:color w:val="000000"/>
                <w:kern w:val="0"/>
                <w:sz w:val="24"/>
                <w:szCs w:val="24"/>
              </w:rPr>
              <w:t>008353/C:008354</w:t>
            </w:r>
          </w:p>
        </w:tc>
      </w:tr>
      <w:tr w:rsidR="009F0997" w:rsidRPr="00664EF9" w:rsidTr="00714280">
        <w:tc>
          <w:tcPr>
            <w:tcW w:w="1308" w:type="dxa"/>
            <w:vAlign w:val="center"/>
          </w:tcPr>
          <w:p w:rsidR="009F0997" w:rsidRPr="00664EF9" w:rsidRDefault="007310AD" w:rsidP="00A132AC">
            <w:pPr>
              <w:pStyle w:val="a3"/>
              <w:ind w:firstLineChars="0" w:firstLine="0"/>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3</w:t>
            </w:r>
            <w:r w:rsidR="00714280" w:rsidRPr="00664EF9">
              <w:rPr>
                <w:rFonts w:ascii="宋体" w:eastAsia="宋体" w:hAnsi="宋体" w:cs="宋体"/>
                <w:color w:val="000000"/>
                <w:kern w:val="0"/>
                <w:sz w:val="24"/>
                <w:szCs w:val="24"/>
              </w:rPr>
              <w:t>8</w:t>
            </w:r>
          </w:p>
        </w:tc>
        <w:tc>
          <w:tcPr>
            <w:tcW w:w="3863" w:type="dxa"/>
            <w:vAlign w:val="center"/>
          </w:tcPr>
          <w:p w:rsidR="009F0997" w:rsidRPr="00664EF9" w:rsidRDefault="009F0997" w:rsidP="00BB08EC">
            <w:pPr>
              <w:widowControl/>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泰达宏利中证主要消费红利指数型证券投资基金</w:t>
            </w:r>
            <w:r w:rsidRPr="00664EF9">
              <w:rPr>
                <w:rFonts w:ascii="宋体" w:eastAsia="宋体" w:hAnsi="宋体" w:cs="宋体" w:hint="eastAsia"/>
                <w:color w:val="000000"/>
                <w:kern w:val="0"/>
                <w:sz w:val="24"/>
                <w:szCs w:val="24"/>
              </w:rPr>
              <w:t>A</w:t>
            </w:r>
            <w:r w:rsidRPr="00664EF9">
              <w:rPr>
                <w:rFonts w:ascii="宋体" w:eastAsia="宋体" w:hAnsi="宋体" w:cs="宋体"/>
                <w:color w:val="000000"/>
                <w:kern w:val="0"/>
                <w:sz w:val="24"/>
                <w:szCs w:val="24"/>
              </w:rPr>
              <w:t>/C</w:t>
            </w:r>
          </w:p>
        </w:tc>
        <w:tc>
          <w:tcPr>
            <w:tcW w:w="3051" w:type="dxa"/>
            <w:vAlign w:val="center"/>
          </w:tcPr>
          <w:p w:rsidR="009F0997" w:rsidRPr="00664EF9" w:rsidRDefault="009F0997" w:rsidP="00A132AC">
            <w:pPr>
              <w:spacing w:line="500" w:lineRule="exact"/>
              <w:jc w:val="center"/>
              <w:rPr>
                <w:rFonts w:ascii="宋体" w:eastAsia="宋体" w:hAnsi="宋体" w:cs="宋体"/>
                <w:color w:val="000000"/>
                <w:kern w:val="0"/>
                <w:sz w:val="24"/>
                <w:szCs w:val="24"/>
              </w:rPr>
            </w:pPr>
            <w:r w:rsidRPr="00664EF9">
              <w:rPr>
                <w:rFonts w:ascii="宋体" w:eastAsia="宋体" w:hAnsi="宋体" w:cs="宋体"/>
                <w:color w:val="000000"/>
                <w:kern w:val="0"/>
                <w:sz w:val="24"/>
                <w:szCs w:val="24"/>
              </w:rPr>
              <w:t>A</w:t>
            </w:r>
            <w:r w:rsidRPr="00664EF9">
              <w:rPr>
                <w:rFonts w:ascii="宋体" w:eastAsia="宋体" w:hAnsi="宋体" w:cs="宋体" w:hint="eastAsia"/>
                <w:color w:val="000000"/>
                <w:kern w:val="0"/>
                <w:sz w:val="24"/>
                <w:szCs w:val="24"/>
              </w:rPr>
              <w:t>:</w:t>
            </w:r>
            <w:r w:rsidRPr="00664EF9">
              <w:rPr>
                <w:rFonts w:ascii="宋体" w:eastAsia="宋体" w:hAnsi="宋体" w:cs="宋体"/>
                <w:color w:val="000000"/>
                <w:kern w:val="0"/>
                <w:sz w:val="24"/>
                <w:szCs w:val="24"/>
              </w:rPr>
              <w:t>008928/C:008929</w:t>
            </w:r>
          </w:p>
        </w:tc>
      </w:tr>
    </w:tbl>
    <w:p w:rsidR="001E5C74" w:rsidRPr="00664EF9" w:rsidRDefault="005932D0" w:rsidP="00AC2AE3">
      <w:pPr>
        <w:autoSpaceDE w:val="0"/>
        <w:autoSpaceDN w:val="0"/>
        <w:adjustRightInd w:val="0"/>
        <w:spacing w:before="100" w:beforeAutospacing="1" w:line="360" w:lineRule="auto"/>
        <w:ind w:firstLineChars="200" w:firstLine="482"/>
        <w:rPr>
          <w:rFonts w:ascii="宋体" w:eastAsia="宋体" w:hAnsi="宋体" w:cs="宋体"/>
          <w:b/>
          <w:color w:val="000000"/>
          <w:kern w:val="0"/>
          <w:sz w:val="24"/>
          <w:szCs w:val="24"/>
        </w:rPr>
      </w:pPr>
      <w:r w:rsidRPr="00664EF9">
        <w:rPr>
          <w:rFonts w:ascii="宋体" w:eastAsia="宋体" w:hAnsi="宋体" w:cs="宋体" w:hint="eastAsia"/>
          <w:b/>
          <w:color w:val="000000"/>
          <w:kern w:val="0"/>
          <w:sz w:val="24"/>
          <w:szCs w:val="24"/>
        </w:rPr>
        <w:t>三、</w:t>
      </w:r>
      <w:r w:rsidR="004D6C18" w:rsidRPr="00664EF9">
        <w:rPr>
          <w:rFonts w:ascii="宋体" w:eastAsia="宋体" w:hAnsi="宋体" w:cs="宋体" w:hint="eastAsia"/>
          <w:b/>
          <w:color w:val="000000"/>
          <w:kern w:val="0"/>
          <w:sz w:val="24"/>
          <w:szCs w:val="24"/>
        </w:rPr>
        <w:t>恢复申购（含定期定额）费率具体内容</w:t>
      </w:r>
    </w:p>
    <w:p w:rsidR="004D6C18" w:rsidRPr="00664EF9" w:rsidRDefault="001E5C74" w:rsidP="00AC2AE3">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自</w:t>
      </w:r>
      <w:r w:rsidRPr="00664EF9">
        <w:rPr>
          <w:rFonts w:ascii="宋体" w:eastAsia="宋体" w:hAnsi="宋体" w:cs="宋体"/>
          <w:color w:val="000000"/>
          <w:kern w:val="0"/>
          <w:sz w:val="24"/>
          <w:szCs w:val="24"/>
        </w:rPr>
        <w:t>2020</w:t>
      </w:r>
      <w:r w:rsidRPr="00664EF9">
        <w:rPr>
          <w:rFonts w:ascii="宋体" w:eastAsia="宋体" w:hAnsi="宋体" w:cs="宋体" w:hint="eastAsia"/>
          <w:color w:val="000000"/>
          <w:kern w:val="0"/>
          <w:sz w:val="24"/>
          <w:szCs w:val="24"/>
        </w:rPr>
        <w:t>年</w:t>
      </w:r>
      <w:r w:rsidRPr="00664EF9">
        <w:rPr>
          <w:rFonts w:ascii="宋体" w:eastAsia="宋体" w:hAnsi="宋体" w:cs="宋体"/>
          <w:color w:val="000000"/>
          <w:kern w:val="0"/>
          <w:sz w:val="24"/>
          <w:szCs w:val="24"/>
        </w:rPr>
        <w:t>4月2</w:t>
      </w:r>
      <w:r w:rsidR="004D6C18" w:rsidRPr="00664EF9">
        <w:rPr>
          <w:rFonts w:ascii="宋体" w:eastAsia="宋体" w:hAnsi="宋体" w:cs="宋体"/>
          <w:color w:val="000000"/>
          <w:kern w:val="0"/>
          <w:sz w:val="24"/>
          <w:szCs w:val="24"/>
        </w:rPr>
        <w:t>8</w:t>
      </w:r>
      <w:r w:rsidRPr="00664EF9">
        <w:rPr>
          <w:rFonts w:ascii="宋体" w:eastAsia="宋体" w:hAnsi="宋体" w:cs="宋体" w:hint="eastAsia"/>
          <w:color w:val="000000"/>
          <w:kern w:val="0"/>
          <w:sz w:val="24"/>
          <w:szCs w:val="24"/>
        </w:rPr>
        <w:t>日（含</w:t>
      </w:r>
      <w:r w:rsidRPr="00664EF9">
        <w:rPr>
          <w:rFonts w:ascii="宋体" w:eastAsia="宋体" w:hAnsi="宋体" w:cs="宋体"/>
          <w:color w:val="000000"/>
          <w:kern w:val="0"/>
          <w:sz w:val="24"/>
          <w:szCs w:val="24"/>
        </w:rPr>
        <w:t>4月2</w:t>
      </w:r>
      <w:r w:rsidR="004D6C18" w:rsidRPr="00664EF9">
        <w:rPr>
          <w:rFonts w:ascii="宋体" w:eastAsia="宋体" w:hAnsi="宋体" w:cs="宋体"/>
          <w:color w:val="000000"/>
          <w:kern w:val="0"/>
          <w:sz w:val="24"/>
          <w:szCs w:val="24"/>
        </w:rPr>
        <w:t>8</w:t>
      </w:r>
      <w:r w:rsidRPr="00664EF9">
        <w:rPr>
          <w:rFonts w:ascii="宋体" w:eastAsia="宋体" w:hAnsi="宋体" w:cs="宋体" w:hint="eastAsia"/>
          <w:color w:val="000000"/>
          <w:kern w:val="0"/>
          <w:sz w:val="24"/>
          <w:szCs w:val="24"/>
        </w:rPr>
        <w:t>日）起，</w:t>
      </w:r>
      <w:r w:rsidR="004D6C18" w:rsidRPr="00664EF9">
        <w:rPr>
          <w:rFonts w:ascii="宋体" w:eastAsia="宋体" w:hAnsi="宋体" w:cs="宋体" w:hint="eastAsia"/>
          <w:color w:val="000000"/>
          <w:kern w:val="0"/>
          <w:sz w:val="24"/>
          <w:szCs w:val="24"/>
        </w:rPr>
        <w:t>暂停</w:t>
      </w:r>
      <w:r w:rsidR="004D6C18" w:rsidRPr="00664EF9">
        <w:rPr>
          <w:rFonts w:ascii="宋体" w:eastAsia="宋体" w:hAnsi="宋体" w:cs="宋体" w:hint="eastAsia"/>
          <w:bCs/>
          <w:color w:val="000000"/>
          <w:kern w:val="0"/>
          <w:sz w:val="24"/>
          <w:szCs w:val="24"/>
        </w:rPr>
        <w:t>以上基金申购及定投业务费率</w:t>
      </w:r>
      <w:r w:rsidR="004D6C18" w:rsidRPr="00664EF9">
        <w:rPr>
          <w:rFonts w:ascii="宋体" w:eastAsia="宋体" w:hAnsi="宋体" w:cs="宋体" w:hint="eastAsia"/>
          <w:color w:val="000000"/>
          <w:kern w:val="0"/>
          <w:sz w:val="24"/>
          <w:szCs w:val="24"/>
        </w:rPr>
        <w:t>优惠活动，申购（含定期定额）费率按开放式基金原申购费率执行。</w:t>
      </w:r>
    </w:p>
    <w:p w:rsidR="005B2836" w:rsidRPr="00664EF9" w:rsidRDefault="005B2836" w:rsidP="00617536">
      <w:pPr>
        <w:spacing w:beforeLines="50" w:line="360" w:lineRule="auto"/>
        <w:ind w:firstLineChars="200" w:firstLine="482"/>
        <w:rPr>
          <w:rFonts w:ascii="宋体" w:eastAsia="宋体" w:hAnsi="宋体" w:cs="宋体"/>
          <w:b/>
          <w:color w:val="000000"/>
          <w:kern w:val="0"/>
          <w:sz w:val="24"/>
          <w:szCs w:val="24"/>
        </w:rPr>
      </w:pPr>
      <w:r w:rsidRPr="00664EF9">
        <w:rPr>
          <w:rFonts w:ascii="宋体" w:eastAsia="宋体" w:hAnsi="宋体" w:cs="宋体" w:hint="eastAsia"/>
          <w:b/>
          <w:color w:val="000000"/>
          <w:kern w:val="0"/>
          <w:sz w:val="24"/>
          <w:szCs w:val="24"/>
        </w:rPr>
        <w:t>四、重要提示</w:t>
      </w:r>
    </w:p>
    <w:p w:rsidR="005B2836" w:rsidRPr="00664EF9" w:rsidRDefault="005B2836" w:rsidP="00617536">
      <w:pPr>
        <w:spacing w:beforeLines="50" w:line="360" w:lineRule="auto"/>
        <w:ind w:firstLineChars="200" w:firstLine="480"/>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1、本活动仅适用于本公司在中信证券华南申购业务的手续费，包括定期定额申购业务手续费（各基金定投开通情况以我司最新公告为准），不包括基金认购、赎回、转换业务等其他业务的手续费。</w:t>
      </w:r>
    </w:p>
    <w:p w:rsidR="005B2836" w:rsidRPr="00664EF9" w:rsidRDefault="005B2836" w:rsidP="00617536">
      <w:pPr>
        <w:spacing w:beforeLines="50" w:line="360" w:lineRule="auto"/>
        <w:ind w:firstLineChars="200" w:firstLine="480"/>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2、本活动期间，业务办理的规则和流程以中信证券华南的安排和规定为准。相关活动的具体规定如有变化，以其网站的最新公告为准，敬请投资者关注。</w:t>
      </w:r>
    </w:p>
    <w:p w:rsidR="00FC3FCF" w:rsidRPr="00664EF9" w:rsidRDefault="005B2836" w:rsidP="00EB3E84">
      <w:pPr>
        <w:autoSpaceDE w:val="0"/>
        <w:autoSpaceDN w:val="0"/>
        <w:adjustRightInd w:val="0"/>
        <w:spacing w:before="100" w:beforeAutospacing="1" w:line="360" w:lineRule="auto"/>
        <w:ind w:firstLine="465"/>
        <w:rPr>
          <w:rFonts w:ascii="宋体" w:eastAsia="宋体" w:hAnsi="宋体" w:cs="宋体"/>
          <w:b/>
          <w:color w:val="000000"/>
          <w:kern w:val="0"/>
          <w:sz w:val="24"/>
          <w:szCs w:val="24"/>
        </w:rPr>
      </w:pPr>
      <w:r w:rsidRPr="00664EF9">
        <w:rPr>
          <w:rFonts w:ascii="宋体" w:eastAsia="宋体" w:hAnsi="宋体" w:cs="宋体" w:hint="eastAsia"/>
          <w:b/>
          <w:color w:val="000000"/>
          <w:kern w:val="0"/>
          <w:sz w:val="24"/>
          <w:szCs w:val="24"/>
        </w:rPr>
        <w:t>五</w:t>
      </w:r>
      <w:r w:rsidR="005932D0" w:rsidRPr="00664EF9">
        <w:rPr>
          <w:rFonts w:ascii="宋体" w:eastAsia="宋体" w:hAnsi="宋体" w:cs="宋体" w:hint="eastAsia"/>
          <w:b/>
          <w:color w:val="000000"/>
          <w:kern w:val="0"/>
          <w:sz w:val="24"/>
          <w:szCs w:val="24"/>
        </w:rPr>
        <w:t>、</w:t>
      </w:r>
      <w:r w:rsidR="00FC3FCF" w:rsidRPr="00664EF9">
        <w:rPr>
          <w:rFonts w:ascii="宋体" w:eastAsia="宋体" w:hAnsi="宋体" w:cs="宋体" w:hint="eastAsia"/>
          <w:b/>
          <w:color w:val="000000"/>
          <w:kern w:val="0"/>
          <w:sz w:val="24"/>
          <w:szCs w:val="24"/>
        </w:rPr>
        <w:t>投资者可通过以下途径了解或咨询相关情况</w:t>
      </w:r>
    </w:p>
    <w:p w:rsidR="007E165F" w:rsidRPr="00664EF9" w:rsidRDefault="007E165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color w:val="000000"/>
          <w:kern w:val="0"/>
          <w:sz w:val="24"/>
          <w:szCs w:val="24"/>
        </w:rPr>
        <w:t>1、泰达宏利基金管理有限公司</w:t>
      </w:r>
    </w:p>
    <w:p w:rsidR="007E165F" w:rsidRPr="00664EF9" w:rsidRDefault="007E165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客服电话：</w:t>
      </w:r>
      <w:r w:rsidRPr="00664EF9">
        <w:rPr>
          <w:rFonts w:ascii="宋体" w:eastAsia="宋体" w:hAnsi="宋体" w:cs="宋体"/>
          <w:color w:val="000000"/>
          <w:kern w:val="0"/>
          <w:sz w:val="24"/>
          <w:szCs w:val="24"/>
        </w:rPr>
        <w:t>4006988888</w:t>
      </w:r>
    </w:p>
    <w:p w:rsidR="007E165F" w:rsidRPr="00664EF9" w:rsidRDefault="007E165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网站：</w:t>
      </w:r>
      <w:r w:rsidRPr="00664EF9">
        <w:rPr>
          <w:rFonts w:ascii="宋体" w:eastAsia="宋体" w:hAnsi="宋体" w:cs="宋体"/>
          <w:color w:val="000000"/>
          <w:kern w:val="0"/>
          <w:sz w:val="24"/>
          <w:szCs w:val="24"/>
        </w:rPr>
        <w:t>www.mfcteda.com</w:t>
      </w:r>
    </w:p>
    <w:p w:rsidR="007E165F" w:rsidRPr="00664EF9" w:rsidRDefault="007E165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color w:val="000000"/>
          <w:kern w:val="0"/>
          <w:sz w:val="24"/>
          <w:szCs w:val="24"/>
        </w:rPr>
        <w:t>2、中信证券</w:t>
      </w:r>
      <w:r w:rsidR="005B2836" w:rsidRPr="00664EF9">
        <w:rPr>
          <w:rFonts w:ascii="宋体" w:eastAsia="宋体" w:hAnsi="宋体" w:cs="宋体" w:hint="eastAsia"/>
          <w:color w:val="000000"/>
          <w:kern w:val="0"/>
          <w:sz w:val="24"/>
          <w:szCs w:val="24"/>
        </w:rPr>
        <w:t>华南</w:t>
      </w:r>
      <w:r w:rsidRPr="00664EF9">
        <w:rPr>
          <w:rFonts w:ascii="宋体" w:eastAsia="宋体" w:hAnsi="宋体" w:cs="宋体"/>
          <w:color w:val="000000"/>
          <w:kern w:val="0"/>
          <w:sz w:val="24"/>
          <w:szCs w:val="24"/>
        </w:rPr>
        <w:t>股份有限公司</w:t>
      </w:r>
    </w:p>
    <w:p w:rsidR="007E165F" w:rsidRPr="00664EF9" w:rsidRDefault="007E165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客户服务电话：</w:t>
      </w:r>
      <w:r w:rsidR="000C58C8" w:rsidRPr="00664EF9">
        <w:rPr>
          <w:rFonts w:ascii="宋体" w:eastAsia="宋体" w:hAnsi="宋体" w:cs="宋体" w:hint="eastAsia"/>
          <w:color w:val="000000"/>
          <w:kern w:val="0"/>
          <w:sz w:val="24"/>
          <w:szCs w:val="24"/>
        </w:rPr>
        <w:t>95396</w:t>
      </w:r>
    </w:p>
    <w:p w:rsidR="00FC3FCF" w:rsidRPr="00664EF9" w:rsidRDefault="007E165F">
      <w:pPr>
        <w:autoSpaceDE w:val="0"/>
        <w:autoSpaceDN w:val="0"/>
        <w:adjustRightInd w:val="0"/>
        <w:spacing w:before="100" w:beforeAutospacing="1" w:line="360" w:lineRule="auto"/>
        <w:ind w:firstLine="465"/>
        <w:rPr>
          <w:rFonts w:ascii="宋体" w:eastAsia="宋体" w:hAnsi="宋体" w:cs="宋体"/>
          <w:color w:val="000000"/>
          <w:kern w:val="0"/>
          <w:szCs w:val="21"/>
        </w:rPr>
      </w:pPr>
      <w:r w:rsidRPr="00664EF9">
        <w:rPr>
          <w:rFonts w:ascii="宋体" w:eastAsia="宋体" w:hAnsi="宋体" w:cs="宋体" w:hint="eastAsia"/>
          <w:color w:val="000000"/>
          <w:kern w:val="0"/>
          <w:sz w:val="24"/>
          <w:szCs w:val="24"/>
        </w:rPr>
        <w:t>网址：</w:t>
      </w:r>
      <w:r w:rsidR="000C58C8" w:rsidRPr="00664EF9">
        <w:rPr>
          <w:rFonts w:ascii="宋体" w:eastAsia="宋体" w:hAnsi="宋体" w:hint="eastAsia"/>
          <w:sz w:val="24"/>
          <w:szCs w:val="24"/>
        </w:rPr>
        <w:t>ww</w:t>
      </w:r>
      <w:r w:rsidR="000C58C8" w:rsidRPr="00664EF9">
        <w:rPr>
          <w:rFonts w:ascii="宋体" w:eastAsia="宋体" w:hAnsi="宋体"/>
          <w:sz w:val="24"/>
          <w:szCs w:val="24"/>
        </w:rPr>
        <w:t>w.</w:t>
      </w:r>
      <w:r w:rsidR="000C58C8" w:rsidRPr="00664EF9">
        <w:rPr>
          <w:rFonts w:ascii="宋体" w:eastAsia="宋体" w:hAnsi="宋体"/>
        </w:rPr>
        <w:t xml:space="preserve"> gzs.com.cn</w:t>
      </w:r>
    </w:p>
    <w:p w:rsidR="0033471A" w:rsidRPr="00664EF9" w:rsidRDefault="00FC3FCF" w:rsidP="007675F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风险提示：</w:t>
      </w:r>
      <w:r w:rsidR="0033471A" w:rsidRPr="00664EF9">
        <w:rPr>
          <w:rFonts w:ascii="宋体" w:eastAsia="宋体" w:hAnsi="宋体" w:cs="宋体" w:hint="eastAsia"/>
          <w:color w:val="000000"/>
          <w:kern w:val="0"/>
          <w:sz w:val="24"/>
          <w:szCs w:val="24"/>
        </w:rPr>
        <w:t>基金管理人承诺以诚实信用、勤勉尽责的原则管理和运用基金资产，但不保证基金一定盈利，也不保证最低收益。投资者投资于本公司旗下基金前应认真阅读各基金的基金合同和招募说明书。定期定额投资是引导投资人进行长期投资、平均投资成本的一种简单易行的投资方式。但是定期定额投资并不能规避基金投资所固有的风险，不能保证投资人获得收益，也不是替代储蓄的等效理财方式。敬请投资者注意投资风险。</w:t>
      </w:r>
    </w:p>
    <w:p w:rsidR="00FC3FCF" w:rsidRPr="00664EF9" w:rsidRDefault="00FC3FCF" w:rsidP="007675F4">
      <w:pPr>
        <w:autoSpaceDE w:val="0"/>
        <w:autoSpaceDN w:val="0"/>
        <w:adjustRightInd w:val="0"/>
        <w:spacing w:before="100" w:beforeAutospacing="1" w:line="360" w:lineRule="auto"/>
        <w:ind w:firstLine="465"/>
        <w:rPr>
          <w:rFonts w:ascii="宋体" w:eastAsia="宋体" w:hAnsi="宋体" w:cs="宋体"/>
          <w:color w:val="000000"/>
          <w:kern w:val="0"/>
          <w:szCs w:val="21"/>
        </w:rPr>
      </w:pPr>
    </w:p>
    <w:p w:rsidR="00231975" w:rsidRPr="00664EF9" w:rsidRDefault="00231975" w:rsidP="00EB3E8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特此公告。</w:t>
      </w:r>
    </w:p>
    <w:p w:rsidR="00231975" w:rsidRPr="00664EF9" w:rsidRDefault="00231975" w:rsidP="00EB3E8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hint="eastAsia"/>
          <w:color w:val="000000"/>
          <w:kern w:val="0"/>
          <w:sz w:val="24"/>
          <w:szCs w:val="24"/>
        </w:rPr>
        <w:t>泰达宏利基金管理有限公司</w:t>
      </w:r>
    </w:p>
    <w:p w:rsidR="00231975" w:rsidRPr="00664EF9" w:rsidRDefault="00231975" w:rsidP="00EB3E84">
      <w:pPr>
        <w:autoSpaceDE w:val="0"/>
        <w:autoSpaceDN w:val="0"/>
        <w:adjustRightInd w:val="0"/>
        <w:spacing w:before="100" w:beforeAutospacing="1" w:line="360" w:lineRule="auto"/>
        <w:ind w:firstLine="465"/>
        <w:rPr>
          <w:rFonts w:ascii="宋体" w:eastAsia="宋体" w:hAnsi="宋体" w:cs="宋体"/>
          <w:color w:val="000000"/>
          <w:kern w:val="0"/>
          <w:sz w:val="24"/>
          <w:szCs w:val="24"/>
        </w:rPr>
      </w:pPr>
      <w:r w:rsidRPr="00664EF9">
        <w:rPr>
          <w:rFonts w:ascii="宋体" w:eastAsia="宋体" w:hAnsi="宋体" w:cs="宋体"/>
          <w:color w:val="000000"/>
          <w:kern w:val="0"/>
          <w:sz w:val="24"/>
          <w:szCs w:val="24"/>
        </w:rPr>
        <w:t>20</w:t>
      </w:r>
      <w:r w:rsidR="001D0E6D" w:rsidRPr="00664EF9">
        <w:rPr>
          <w:rFonts w:ascii="宋体" w:eastAsia="宋体" w:hAnsi="宋体" w:cs="宋体"/>
          <w:color w:val="000000"/>
          <w:kern w:val="0"/>
          <w:sz w:val="24"/>
          <w:szCs w:val="24"/>
        </w:rPr>
        <w:t>20</w:t>
      </w:r>
      <w:r w:rsidRPr="00664EF9">
        <w:rPr>
          <w:rFonts w:ascii="宋体" w:eastAsia="宋体" w:hAnsi="宋体" w:cs="宋体" w:hint="eastAsia"/>
          <w:color w:val="000000"/>
          <w:kern w:val="0"/>
          <w:sz w:val="24"/>
          <w:szCs w:val="24"/>
        </w:rPr>
        <w:t>年</w:t>
      </w:r>
      <w:r w:rsidR="001D0E6D" w:rsidRPr="00664EF9">
        <w:rPr>
          <w:rFonts w:ascii="宋体" w:eastAsia="宋体" w:hAnsi="宋体" w:cs="宋体"/>
          <w:color w:val="000000"/>
          <w:kern w:val="0"/>
          <w:sz w:val="24"/>
          <w:szCs w:val="24"/>
        </w:rPr>
        <w:t>4</w:t>
      </w:r>
      <w:r w:rsidRPr="00664EF9">
        <w:rPr>
          <w:rFonts w:ascii="宋体" w:eastAsia="宋体" w:hAnsi="宋体" w:cs="宋体" w:hint="eastAsia"/>
          <w:color w:val="000000"/>
          <w:kern w:val="0"/>
          <w:sz w:val="24"/>
          <w:szCs w:val="24"/>
        </w:rPr>
        <w:t>月</w:t>
      </w:r>
      <w:r w:rsidRPr="00664EF9">
        <w:rPr>
          <w:rFonts w:ascii="宋体" w:eastAsia="宋体" w:hAnsi="宋体" w:cs="宋体"/>
          <w:color w:val="000000"/>
          <w:kern w:val="0"/>
          <w:sz w:val="24"/>
          <w:szCs w:val="24"/>
        </w:rPr>
        <w:t>2</w:t>
      </w:r>
      <w:r w:rsidR="003039C2">
        <w:rPr>
          <w:rFonts w:ascii="宋体" w:eastAsia="宋体" w:hAnsi="宋体" w:cs="宋体" w:hint="eastAsia"/>
          <w:color w:val="000000"/>
          <w:kern w:val="0"/>
          <w:sz w:val="24"/>
          <w:szCs w:val="24"/>
        </w:rPr>
        <w:t>8</w:t>
      </w:r>
      <w:bookmarkStart w:id="0" w:name="_GoBack"/>
      <w:bookmarkEnd w:id="0"/>
      <w:r w:rsidRPr="00664EF9">
        <w:rPr>
          <w:rFonts w:ascii="宋体" w:eastAsia="宋体" w:hAnsi="宋体" w:cs="宋体" w:hint="eastAsia"/>
          <w:color w:val="000000"/>
          <w:kern w:val="0"/>
          <w:sz w:val="24"/>
          <w:szCs w:val="24"/>
        </w:rPr>
        <w:t>日</w:t>
      </w:r>
    </w:p>
    <w:sectPr w:rsidR="00231975" w:rsidRPr="00664EF9" w:rsidSect="005D61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536" w:rsidRDefault="00617536" w:rsidP="00617536">
      <w:r>
        <w:separator/>
      </w:r>
    </w:p>
  </w:endnote>
  <w:endnote w:type="continuationSeparator" w:id="1">
    <w:p w:rsidR="00617536" w:rsidRDefault="00617536" w:rsidP="00617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536" w:rsidRDefault="00617536" w:rsidP="00617536">
      <w:r>
        <w:separator/>
      </w:r>
    </w:p>
  </w:footnote>
  <w:footnote w:type="continuationSeparator" w:id="1">
    <w:p w:rsidR="00617536" w:rsidRDefault="00617536" w:rsidP="00617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5F6B"/>
    <w:multiLevelType w:val="hybridMultilevel"/>
    <w:tmpl w:val="E6666C34"/>
    <w:lvl w:ilvl="0" w:tplc="4500875A">
      <w:start w:val="3"/>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
    <w:nsid w:val="2C600F8A"/>
    <w:multiLevelType w:val="hybridMultilevel"/>
    <w:tmpl w:val="AD40E69C"/>
    <w:lvl w:ilvl="0" w:tplc="FB70C428">
      <w:start w:val="1"/>
      <w:numFmt w:val="japaneseCounting"/>
      <w:lvlText w:val="%1、"/>
      <w:lvlJc w:val="left"/>
      <w:pPr>
        <w:ind w:left="105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2CB25481"/>
    <w:multiLevelType w:val="hybridMultilevel"/>
    <w:tmpl w:val="04C0A2D4"/>
    <w:lvl w:ilvl="0" w:tplc="1B888E0C">
      <w:start w:val="3"/>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BF2EB8"/>
    <w:multiLevelType w:val="hybridMultilevel"/>
    <w:tmpl w:val="DBC805BC"/>
    <w:lvl w:ilvl="0" w:tplc="A8066C1C">
      <w:start w:val="3"/>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57186E81"/>
    <w:multiLevelType w:val="hybridMultilevel"/>
    <w:tmpl w:val="5D7A807E"/>
    <w:lvl w:ilvl="0" w:tplc="BE08BE3A">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AA4295"/>
    <w:multiLevelType w:val="hybridMultilevel"/>
    <w:tmpl w:val="948EA3CA"/>
    <w:lvl w:ilvl="0" w:tplc="E572F1D8">
      <w:start w:val="1"/>
      <w:numFmt w:val="decimal"/>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nsid w:val="773A2F25"/>
    <w:multiLevelType w:val="hybridMultilevel"/>
    <w:tmpl w:val="A67C4B82"/>
    <w:lvl w:ilvl="0" w:tplc="69206030">
      <w:start w:val="1"/>
      <w:numFmt w:val="japaneseCounting"/>
      <w:lvlText w:val="%1、"/>
      <w:lvlJc w:val="left"/>
      <w:pPr>
        <w:ind w:left="910" w:hanging="45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7">
    <w:nsid w:val="7E596727"/>
    <w:multiLevelType w:val="hybridMultilevel"/>
    <w:tmpl w:val="5732A920"/>
    <w:lvl w:ilvl="0" w:tplc="A5960CFA">
      <w:start w:val="1"/>
      <w:numFmt w:val="japaneseCounting"/>
      <w:lvlText w:val="%1、"/>
      <w:lvlJc w:val="left"/>
      <w:pPr>
        <w:ind w:left="885" w:hanging="4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6"/>
  </w:num>
  <w:num w:numId="2">
    <w:abstractNumId w:val="5"/>
  </w:num>
  <w:num w:numId="3">
    <w:abstractNumId w:val="1"/>
  </w:num>
  <w:num w:numId="4">
    <w:abstractNumId w:val="7"/>
  </w:num>
  <w:num w:numId="5">
    <w:abstractNumId w:val="0"/>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6C0E"/>
    <w:rsid w:val="00095E66"/>
    <w:rsid w:val="000C58C8"/>
    <w:rsid w:val="001C1B42"/>
    <w:rsid w:val="001C4721"/>
    <w:rsid w:val="001D0E6D"/>
    <w:rsid w:val="001E5C74"/>
    <w:rsid w:val="00213FD8"/>
    <w:rsid w:val="002168FA"/>
    <w:rsid w:val="00231975"/>
    <w:rsid w:val="00267AAD"/>
    <w:rsid w:val="003039C2"/>
    <w:rsid w:val="0033471A"/>
    <w:rsid w:val="00367833"/>
    <w:rsid w:val="003F2992"/>
    <w:rsid w:val="004B1001"/>
    <w:rsid w:val="004C5FA3"/>
    <w:rsid w:val="004D6C18"/>
    <w:rsid w:val="00502CA2"/>
    <w:rsid w:val="00572CFD"/>
    <w:rsid w:val="005932D0"/>
    <w:rsid w:val="005B2836"/>
    <w:rsid w:val="005C7E9A"/>
    <w:rsid w:val="005D6168"/>
    <w:rsid w:val="00617536"/>
    <w:rsid w:val="00624516"/>
    <w:rsid w:val="00624F69"/>
    <w:rsid w:val="00664EF9"/>
    <w:rsid w:val="00714280"/>
    <w:rsid w:val="007310AD"/>
    <w:rsid w:val="007675F4"/>
    <w:rsid w:val="007A30FD"/>
    <w:rsid w:val="007A33AB"/>
    <w:rsid w:val="007B7943"/>
    <w:rsid w:val="007E0760"/>
    <w:rsid w:val="007E165F"/>
    <w:rsid w:val="007F0F01"/>
    <w:rsid w:val="008953F4"/>
    <w:rsid w:val="009A1E7A"/>
    <w:rsid w:val="009A5099"/>
    <w:rsid w:val="009F0997"/>
    <w:rsid w:val="00AB27F4"/>
    <w:rsid w:val="00AC2AE3"/>
    <w:rsid w:val="00B40979"/>
    <w:rsid w:val="00BB08EC"/>
    <w:rsid w:val="00C36302"/>
    <w:rsid w:val="00D0228E"/>
    <w:rsid w:val="00D47C41"/>
    <w:rsid w:val="00DA6A57"/>
    <w:rsid w:val="00EB3E84"/>
    <w:rsid w:val="00EC47D6"/>
    <w:rsid w:val="00EF6F7A"/>
    <w:rsid w:val="00F06C0E"/>
    <w:rsid w:val="00FC3FCF"/>
    <w:rsid w:val="00FD50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68"/>
    <w:pPr>
      <w:widowControl w:val="0"/>
      <w:jc w:val="both"/>
    </w:pPr>
  </w:style>
  <w:style w:type="paragraph" w:styleId="2">
    <w:name w:val="heading 2"/>
    <w:basedOn w:val="a"/>
    <w:next w:val="a"/>
    <w:link w:val="2Char"/>
    <w:uiPriority w:val="9"/>
    <w:unhideWhenUsed/>
    <w:qFormat/>
    <w:rsid w:val="00267AA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7AAD"/>
    <w:rPr>
      <w:rFonts w:asciiTheme="majorHAnsi" w:eastAsiaTheme="majorEastAsia" w:hAnsiTheme="majorHAnsi" w:cstheme="majorBidi"/>
      <w:b/>
      <w:bCs/>
      <w:sz w:val="32"/>
      <w:szCs w:val="32"/>
    </w:rPr>
  </w:style>
  <w:style w:type="paragraph" w:styleId="a3">
    <w:name w:val="List Paragraph"/>
    <w:basedOn w:val="a"/>
    <w:uiPriority w:val="34"/>
    <w:qFormat/>
    <w:rsid w:val="00267AAD"/>
    <w:pPr>
      <w:ind w:firstLineChars="200" w:firstLine="420"/>
    </w:pPr>
  </w:style>
  <w:style w:type="table" w:styleId="a4">
    <w:name w:val="Table Grid"/>
    <w:basedOn w:val="a1"/>
    <w:uiPriority w:val="39"/>
    <w:rsid w:val="00267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C3FCF"/>
    <w:rPr>
      <w:color w:val="0563C1" w:themeColor="hyperlink"/>
      <w:u w:val="single"/>
    </w:rPr>
  </w:style>
  <w:style w:type="character" w:customStyle="1" w:styleId="1">
    <w:name w:val="未处理的提及1"/>
    <w:basedOn w:val="a0"/>
    <w:uiPriority w:val="99"/>
    <w:semiHidden/>
    <w:unhideWhenUsed/>
    <w:rsid w:val="00FC3FCF"/>
    <w:rPr>
      <w:color w:val="605E5C"/>
      <w:shd w:val="clear" w:color="auto" w:fill="E1DFDD"/>
    </w:rPr>
  </w:style>
  <w:style w:type="paragraph" w:customStyle="1" w:styleId="Default">
    <w:name w:val="Default"/>
    <w:rsid w:val="00624F69"/>
    <w:pPr>
      <w:widowControl w:val="0"/>
      <w:autoSpaceDE w:val="0"/>
      <w:autoSpaceDN w:val="0"/>
      <w:adjustRightInd w:val="0"/>
    </w:pPr>
    <w:rPr>
      <w:rFonts w:ascii="微软雅黑" w:eastAsia="微软雅黑" w:cs="微软雅黑"/>
      <w:color w:val="000000"/>
      <w:kern w:val="0"/>
      <w:sz w:val="24"/>
      <w:szCs w:val="24"/>
    </w:rPr>
  </w:style>
  <w:style w:type="character" w:styleId="a6">
    <w:name w:val="annotation reference"/>
    <w:basedOn w:val="a0"/>
    <w:uiPriority w:val="99"/>
    <w:semiHidden/>
    <w:unhideWhenUsed/>
    <w:rsid w:val="005932D0"/>
    <w:rPr>
      <w:sz w:val="21"/>
      <w:szCs w:val="21"/>
    </w:rPr>
  </w:style>
  <w:style w:type="paragraph" w:styleId="a7">
    <w:name w:val="annotation text"/>
    <w:basedOn w:val="a"/>
    <w:link w:val="Char"/>
    <w:uiPriority w:val="99"/>
    <w:semiHidden/>
    <w:unhideWhenUsed/>
    <w:rsid w:val="005932D0"/>
    <w:pPr>
      <w:jc w:val="left"/>
    </w:pPr>
  </w:style>
  <w:style w:type="character" w:customStyle="1" w:styleId="Char">
    <w:name w:val="批注文字 Char"/>
    <w:basedOn w:val="a0"/>
    <w:link w:val="a7"/>
    <w:uiPriority w:val="99"/>
    <w:semiHidden/>
    <w:rsid w:val="005932D0"/>
  </w:style>
  <w:style w:type="paragraph" w:styleId="a8">
    <w:name w:val="annotation subject"/>
    <w:basedOn w:val="a7"/>
    <w:next w:val="a7"/>
    <w:link w:val="Char0"/>
    <w:uiPriority w:val="99"/>
    <w:semiHidden/>
    <w:unhideWhenUsed/>
    <w:rsid w:val="005932D0"/>
    <w:rPr>
      <w:b/>
      <w:bCs/>
    </w:rPr>
  </w:style>
  <w:style w:type="character" w:customStyle="1" w:styleId="Char0">
    <w:name w:val="批注主题 Char"/>
    <w:basedOn w:val="Char"/>
    <w:link w:val="a8"/>
    <w:uiPriority w:val="99"/>
    <w:semiHidden/>
    <w:rsid w:val="005932D0"/>
    <w:rPr>
      <w:b/>
      <w:bCs/>
    </w:rPr>
  </w:style>
  <w:style w:type="paragraph" w:styleId="a9">
    <w:name w:val="Balloon Text"/>
    <w:basedOn w:val="a"/>
    <w:link w:val="Char1"/>
    <w:uiPriority w:val="99"/>
    <w:semiHidden/>
    <w:unhideWhenUsed/>
    <w:rsid w:val="005932D0"/>
    <w:rPr>
      <w:sz w:val="18"/>
      <w:szCs w:val="18"/>
    </w:rPr>
  </w:style>
  <w:style w:type="character" w:customStyle="1" w:styleId="Char1">
    <w:name w:val="批注框文本 Char"/>
    <w:basedOn w:val="a0"/>
    <w:link w:val="a9"/>
    <w:uiPriority w:val="99"/>
    <w:semiHidden/>
    <w:rsid w:val="005932D0"/>
    <w:rPr>
      <w:sz w:val="18"/>
      <w:szCs w:val="18"/>
    </w:rPr>
  </w:style>
  <w:style w:type="character" w:styleId="aa">
    <w:name w:val="Strong"/>
    <w:basedOn w:val="a0"/>
    <w:uiPriority w:val="22"/>
    <w:qFormat/>
    <w:rsid w:val="004D6C18"/>
    <w:rPr>
      <w:b/>
      <w:bCs/>
    </w:rPr>
  </w:style>
  <w:style w:type="paragraph" w:styleId="ab">
    <w:name w:val="Revision"/>
    <w:hidden/>
    <w:uiPriority w:val="99"/>
    <w:semiHidden/>
    <w:rsid w:val="00714280"/>
  </w:style>
  <w:style w:type="paragraph" w:styleId="ac">
    <w:name w:val="header"/>
    <w:basedOn w:val="a"/>
    <w:link w:val="Char2"/>
    <w:uiPriority w:val="99"/>
    <w:semiHidden/>
    <w:unhideWhenUsed/>
    <w:rsid w:val="0061753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semiHidden/>
    <w:rsid w:val="00617536"/>
    <w:rPr>
      <w:sz w:val="18"/>
      <w:szCs w:val="18"/>
    </w:rPr>
  </w:style>
  <w:style w:type="paragraph" w:styleId="ad">
    <w:name w:val="footer"/>
    <w:basedOn w:val="a"/>
    <w:link w:val="Char3"/>
    <w:uiPriority w:val="99"/>
    <w:semiHidden/>
    <w:unhideWhenUsed/>
    <w:rsid w:val="00617536"/>
    <w:pPr>
      <w:tabs>
        <w:tab w:val="center" w:pos="4153"/>
        <w:tab w:val="right" w:pos="8306"/>
      </w:tabs>
      <w:snapToGrid w:val="0"/>
      <w:jc w:val="left"/>
    </w:pPr>
    <w:rPr>
      <w:sz w:val="18"/>
      <w:szCs w:val="18"/>
    </w:rPr>
  </w:style>
  <w:style w:type="character" w:customStyle="1" w:styleId="Char3">
    <w:name w:val="页脚 Char"/>
    <w:basedOn w:val="a0"/>
    <w:link w:val="ad"/>
    <w:uiPriority w:val="99"/>
    <w:semiHidden/>
    <w:rsid w:val="0061753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1912</Characters>
  <Application>Microsoft Office Word</Application>
  <DocSecurity>4</DocSecurity>
  <Lines>15</Lines>
  <Paragraphs>4</Paragraphs>
  <ScaleCrop>false</ScaleCrop>
  <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陈静红</dc:creator>
  <cp:keywords/>
  <dc:description/>
  <cp:lastModifiedBy>JonMMx 2000</cp:lastModifiedBy>
  <cp:revision>2</cp:revision>
  <dcterms:created xsi:type="dcterms:W3CDTF">2020-04-27T16:44:00Z</dcterms:created>
  <dcterms:modified xsi:type="dcterms:W3CDTF">2020-04-27T16:44:00Z</dcterms:modified>
</cp:coreProperties>
</file>