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08EE" w:rsidRDefault="00C06E4D" w:rsidP="00C06E4D">
      <w:pPr>
        <w:widowControl/>
        <w:spacing w:beforeLines="50" w:afterLines="50" w:line="360" w:lineRule="atLeast"/>
        <w:jc w:val="center"/>
        <w:rPr>
          <w:rFonts w:asciiTheme="minorEastAsia" w:hAnsiTheme="minorEastAsia" w:cs="Arial"/>
          <w:kern w:val="0"/>
          <w:sz w:val="24"/>
          <w:szCs w:val="24"/>
        </w:rPr>
      </w:pPr>
      <w:r>
        <w:rPr>
          <w:rFonts w:ascii="黑体" w:eastAsia="黑体" w:hAnsi="黑体" w:hint="eastAsia"/>
          <w:sz w:val="32"/>
          <w:szCs w:val="32"/>
        </w:rPr>
        <w:t>宝盈基金管理有限公司</w:t>
      </w:r>
      <w:r>
        <w:rPr>
          <w:rFonts w:ascii="黑体" w:eastAsia="黑体" w:hAnsi="黑体" w:hint="eastAsia"/>
          <w:sz w:val="32"/>
          <w:szCs w:val="32"/>
        </w:rPr>
        <w:t>关于旗下</w:t>
      </w:r>
      <w:r>
        <w:rPr>
          <w:rFonts w:ascii="黑体" w:eastAsia="黑体" w:hAnsi="黑体"/>
          <w:sz w:val="32"/>
          <w:szCs w:val="32"/>
        </w:rPr>
        <w:t>部分基金</w:t>
      </w:r>
      <w:r>
        <w:rPr>
          <w:rFonts w:ascii="黑体" w:eastAsia="黑体" w:hAnsi="黑体" w:hint="eastAsia"/>
          <w:sz w:val="32"/>
          <w:szCs w:val="32"/>
        </w:rPr>
        <w:t>参加</w:t>
      </w:r>
      <w:r>
        <w:rPr>
          <w:rFonts w:ascii="黑体" w:eastAsia="黑体" w:hAnsi="黑体" w:hint="eastAsia"/>
          <w:sz w:val="32"/>
          <w:szCs w:val="32"/>
        </w:rPr>
        <w:t>中信证券华南股份有限</w:t>
      </w:r>
      <w:r>
        <w:rPr>
          <w:rFonts w:ascii="黑体" w:eastAsia="黑体" w:hAnsi="黑体" w:hint="eastAsia"/>
          <w:sz w:val="32"/>
          <w:szCs w:val="32"/>
        </w:rPr>
        <w:t>公司相关</w:t>
      </w:r>
      <w:r>
        <w:rPr>
          <w:rFonts w:ascii="黑体" w:eastAsia="黑体" w:hAnsi="黑体" w:cs="Arial" w:hint="eastAsia"/>
          <w:kern w:val="0"/>
          <w:sz w:val="32"/>
          <w:szCs w:val="32"/>
        </w:rPr>
        <w:t>费率优惠活动的公告</w:t>
      </w:r>
    </w:p>
    <w:p w:rsidR="009E08EE" w:rsidRDefault="00C06E4D">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经</w:t>
      </w:r>
      <w:r>
        <w:rPr>
          <w:rFonts w:asciiTheme="minorEastAsia" w:hAnsiTheme="minorEastAsia" w:cs="Arial" w:hint="eastAsia"/>
          <w:kern w:val="0"/>
          <w:sz w:val="24"/>
          <w:szCs w:val="24"/>
        </w:rPr>
        <w:t>宝盈</w:t>
      </w:r>
      <w:r>
        <w:rPr>
          <w:rFonts w:asciiTheme="minorEastAsia" w:hAnsiTheme="minorEastAsia" w:cs="Arial" w:hint="eastAsia"/>
          <w:kern w:val="0"/>
          <w:sz w:val="24"/>
          <w:szCs w:val="24"/>
        </w:rPr>
        <w:t>基金管理有限公司（以下简称“本公司”）与中信证券华南股份有限公司（以下简称“中信证券（华南）”）协商，自</w:t>
      </w:r>
      <w:r>
        <w:rPr>
          <w:rFonts w:asciiTheme="minorEastAsia" w:hAnsiTheme="minorEastAsia" w:cs="Arial" w:hint="eastAsia"/>
          <w:kern w:val="0"/>
          <w:sz w:val="24"/>
          <w:szCs w:val="24"/>
        </w:rPr>
        <w:t>2020</w:t>
      </w:r>
      <w:r>
        <w:rPr>
          <w:rFonts w:asciiTheme="minorEastAsia" w:hAnsiTheme="minorEastAsia" w:cs="Arial" w:hint="eastAsia"/>
          <w:kern w:val="0"/>
          <w:sz w:val="24"/>
          <w:szCs w:val="24"/>
        </w:rPr>
        <w:t>年</w:t>
      </w:r>
      <w:r>
        <w:rPr>
          <w:rFonts w:asciiTheme="minorEastAsia" w:hAnsiTheme="minorEastAsia" w:cs="Arial" w:hint="eastAsia"/>
          <w:kern w:val="0"/>
          <w:sz w:val="24"/>
          <w:szCs w:val="24"/>
        </w:rPr>
        <w:t>4</w:t>
      </w:r>
      <w:r>
        <w:rPr>
          <w:rFonts w:asciiTheme="minorEastAsia" w:hAnsiTheme="minorEastAsia" w:cs="Arial" w:hint="eastAsia"/>
          <w:kern w:val="0"/>
          <w:sz w:val="24"/>
          <w:szCs w:val="24"/>
        </w:rPr>
        <w:t>月</w:t>
      </w:r>
      <w:r>
        <w:rPr>
          <w:rFonts w:asciiTheme="minorEastAsia" w:hAnsiTheme="minorEastAsia" w:cs="Arial" w:hint="eastAsia"/>
          <w:kern w:val="0"/>
          <w:sz w:val="24"/>
          <w:szCs w:val="24"/>
        </w:rPr>
        <w:t>28</w:t>
      </w:r>
      <w:r>
        <w:rPr>
          <w:rFonts w:asciiTheme="minorEastAsia" w:hAnsiTheme="minorEastAsia" w:cs="Arial" w:hint="eastAsia"/>
          <w:kern w:val="0"/>
          <w:sz w:val="24"/>
          <w:szCs w:val="24"/>
        </w:rPr>
        <w:t>日起本公司旗下部分开放式基金参加中信证券（华南）申购、定投费率优惠活动。现将具体事项公告如下：</w:t>
      </w:r>
    </w:p>
    <w:p w:rsidR="009E08EE" w:rsidRDefault="00C06E4D">
      <w:pPr>
        <w:widowControl/>
        <w:spacing w:line="336" w:lineRule="auto"/>
        <w:ind w:firstLine="480"/>
        <w:rPr>
          <w:rFonts w:asciiTheme="minorEastAsia" w:hAnsiTheme="minorEastAsia" w:cs="Arial"/>
          <w:kern w:val="0"/>
          <w:sz w:val="24"/>
          <w:szCs w:val="24"/>
        </w:rPr>
      </w:pPr>
      <w:r>
        <w:rPr>
          <w:rFonts w:asciiTheme="minorEastAsia" w:hAnsiTheme="minorEastAsia" w:cs="Arial" w:hint="eastAsia"/>
          <w:b/>
          <w:bCs/>
          <w:kern w:val="0"/>
          <w:sz w:val="24"/>
          <w:szCs w:val="24"/>
        </w:rPr>
        <w:t>一、</w:t>
      </w:r>
      <w:r>
        <w:rPr>
          <w:rFonts w:asciiTheme="minorEastAsia" w:hAnsiTheme="minorEastAsia" w:cs="Arial" w:hint="eastAsia"/>
          <w:b/>
          <w:bCs/>
          <w:kern w:val="0"/>
          <w:sz w:val="24"/>
          <w:szCs w:val="24"/>
        </w:rPr>
        <w:t xml:space="preserve"> </w:t>
      </w:r>
      <w:r>
        <w:rPr>
          <w:rFonts w:asciiTheme="minorEastAsia" w:hAnsiTheme="minorEastAsia" w:cs="Arial" w:hint="eastAsia"/>
          <w:b/>
          <w:bCs/>
          <w:kern w:val="0"/>
          <w:sz w:val="24"/>
          <w:szCs w:val="24"/>
        </w:rPr>
        <w:t>活动时间</w:t>
      </w:r>
    </w:p>
    <w:p w:rsidR="009E08EE" w:rsidRDefault="00C06E4D">
      <w:pPr>
        <w:widowControl/>
        <w:spacing w:line="336" w:lineRule="auto"/>
        <w:ind w:firstLine="480"/>
        <w:rPr>
          <w:rFonts w:asciiTheme="minorEastAsia" w:hAnsiTheme="minorEastAsia" w:cs="Arial"/>
          <w:kern w:val="0"/>
          <w:sz w:val="24"/>
          <w:szCs w:val="24"/>
        </w:rPr>
      </w:pPr>
      <w:r>
        <w:rPr>
          <w:rFonts w:ascii="Times New Roman" w:hAnsi="Times New Roman" w:cs="Times New Roman"/>
          <w:kern w:val="0"/>
          <w:sz w:val="24"/>
          <w:szCs w:val="24"/>
        </w:rPr>
        <w:t>20</w:t>
      </w:r>
      <w:r>
        <w:rPr>
          <w:rFonts w:ascii="Times New Roman" w:hAnsi="Times New Roman" w:cs="Times New Roman" w:hint="eastAsia"/>
          <w:kern w:val="0"/>
          <w:sz w:val="24"/>
          <w:szCs w:val="24"/>
        </w:rPr>
        <w:t>20</w:t>
      </w:r>
      <w:r>
        <w:rPr>
          <w:rFonts w:asciiTheme="minorEastAsia" w:hAnsiTheme="minorEastAsia" w:cs="Arial" w:hint="eastAsia"/>
          <w:kern w:val="0"/>
          <w:sz w:val="24"/>
          <w:szCs w:val="24"/>
        </w:rPr>
        <w:t>年</w:t>
      </w:r>
      <w:r>
        <w:rPr>
          <w:rFonts w:asciiTheme="minorEastAsia" w:hAnsiTheme="minorEastAsia" w:cs="Arial" w:hint="eastAsia"/>
          <w:kern w:val="0"/>
          <w:sz w:val="24"/>
          <w:szCs w:val="24"/>
        </w:rPr>
        <w:t>4</w:t>
      </w:r>
      <w:r>
        <w:rPr>
          <w:rFonts w:asciiTheme="minorEastAsia" w:hAnsiTheme="minorEastAsia" w:cs="Arial" w:hint="eastAsia"/>
          <w:kern w:val="0"/>
          <w:sz w:val="24"/>
          <w:szCs w:val="24"/>
        </w:rPr>
        <w:t>月</w:t>
      </w:r>
      <w:r>
        <w:rPr>
          <w:rFonts w:asciiTheme="minorEastAsia" w:hAnsiTheme="minorEastAsia" w:cs="Arial" w:hint="eastAsia"/>
          <w:kern w:val="0"/>
          <w:sz w:val="24"/>
          <w:szCs w:val="24"/>
        </w:rPr>
        <w:t>28</w:t>
      </w:r>
      <w:r>
        <w:rPr>
          <w:rFonts w:asciiTheme="minorEastAsia" w:hAnsiTheme="minorEastAsia" w:cs="Arial" w:hint="eastAsia"/>
          <w:kern w:val="0"/>
          <w:sz w:val="24"/>
          <w:szCs w:val="24"/>
        </w:rPr>
        <w:t>日起，</w:t>
      </w:r>
      <w:r>
        <w:rPr>
          <w:rFonts w:asciiTheme="minorEastAsia" w:hAnsiTheme="minorEastAsia" w:cs="Arial"/>
          <w:kern w:val="0"/>
          <w:sz w:val="24"/>
          <w:szCs w:val="24"/>
        </w:rPr>
        <w:t>活动截止时间以</w:t>
      </w:r>
      <w:r>
        <w:rPr>
          <w:rFonts w:asciiTheme="minorEastAsia" w:hAnsiTheme="minorEastAsia" w:cs="Arial" w:hint="eastAsia"/>
          <w:kern w:val="0"/>
          <w:sz w:val="24"/>
          <w:szCs w:val="24"/>
        </w:rPr>
        <w:t>中信</w:t>
      </w:r>
      <w:r>
        <w:rPr>
          <w:rFonts w:asciiTheme="minorEastAsia" w:hAnsiTheme="minorEastAsia" w:cs="Arial" w:hint="eastAsia"/>
          <w:kern w:val="0"/>
          <w:sz w:val="24"/>
          <w:szCs w:val="24"/>
        </w:rPr>
        <w:t>证券</w:t>
      </w:r>
      <w:r>
        <w:rPr>
          <w:rFonts w:asciiTheme="minorEastAsia" w:hAnsiTheme="minorEastAsia" w:cs="Arial" w:hint="eastAsia"/>
          <w:kern w:val="0"/>
          <w:sz w:val="24"/>
          <w:szCs w:val="24"/>
        </w:rPr>
        <w:t>（</w:t>
      </w:r>
      <w:r>
        <w:rPr>
          <w:rFonts w:asciiTheme="minorEastAsia" w:hAnsiTheme="minorEastAsia" w:cs="Arial" w:hint="eastAsia"/>
          <w:kern w:val="0"/>
          <w:sz w:val="24"/>
          <w:szCs w:val="24"/>
        </w:rPr>
        <w:t>华南）</w:t>
      </w:r>
      <w:r>
        <w:rPr>
          <w:rFonts w:asciiTheme="minorEastAsia" w:hAnsiTheme="minorEastAsia" w:cs="Arial" w:hint="eastAsia"/>
          <w:kern w:val="0"/>
          <w:sz w:val="24"/>
          <w:szCs w:val="24"/>
        </w:rPr>
        <w:t>最新</w:t>
      </w:r>
      <w:r>
        <w:rPr>
          <w:rFonts w:asciiTheme="minorEastAsia" w:hAnsiTheme="minorEastAsia" w:cs="Arial"/>
          <w:kern w:val="0"/>
          <w:sz w:val="24"/>
          <w:szCs w:val="24"/>
        </w:rPr>
        <w:t>公告为准。</w:t>
      </w:r>
    </w:p>
    <w:p w:rsidR="009E08EE" w:rsidRDefault="00C06E4D">
      <w:pPr>
        <w:widowControl/>
        <w:spacing w:line="336" w:lineRule="auto"/>
        <w:ind w:firstLine="480"/>
        <w:rPr>
          <w:rFonts w:asciiTheme="minorEastAsia" w:hAnsiTheme="minorEastAsia" w:cs="Arial"/>
          <w:kern w:val="0"/>
          <w:sz w:val="24"/>
          <w:szCs w:val="24"/>
        </w:rPr>
      </w:pPr>
      <w:r>
        <w:rPr>
          <w:rFonts w:asciiTheme="minorEastAsia" w:hAnsiTheme="minorEastAsia" w:cs="Arial" w:hint="eastAsia"/>
          <w:b/>
          <w:bCs/>
          <w:kern w:val="0"/>
          <w:sz w:val="24"/>
          <w:szCs w:val="24"/>
        </w:rPr>
        <w:t>二、适用基金</w:t>
      </w:r>
    </w:p>
    <w:tbl>
      <w:tblPr>
        <w:tblStyle w:val="a9"/>
        <w:tblW w:w="9574" w:type="dxa"/>
        <w:tblInd w:w="-174" w:type="dxa"/>
        <w:tblLayout w:type="fixed"/>
        <w:tblLook w:val="04A0"/>
      </w:tblPr>
      <w:tblGrid>
        <w:gridCol w:w="4977"/>
        <w:gridCol w:w="2700"/>
        <w:gridCol w:w="1897"/>
      </w:tblGrid>
      <w:tr w:rsidR="009E08EE">
        <w:trPr>
          <w:trHeight w:val="497"/>
        </w:trPr>
        <w:tc>
          <w:tcPr>
            <w:tcW w:w="4977" w:type="dxa"/>
            <w:vAlign w:val="center"/>
          </w:tcPr>
          <w:p w:rsidR="009E08EE" w:rsidRDefault="00C06E4D">
            <w:pPr>
              <w:widowControl/>
              <w:ind w:firstLine="75"/>
              <w:jc w:val="center"/>
              <w:rPr>
                <w:rFonts w:asciiTheme="minorEastAsia" w:hAnsiTheme="minorEastAsia" w:cs="Arial"/>
                <w:kern w:val="0"/>
                <w:szCs w:val="21"/>
              </w:rPr>
            </w:pPr>
            <w:r>
              <w:rPr>
                <w:rFonts w:asciiTheme="minorEastAsia" w:hAnsiTheme="minorEastAsia" w:cs="Arial" w:hint="eastAsia"/>
                <w:b/>
                <w:bCs/>
                <w:kern w:val="0"/>
                <w:szCs w:val="21"/>
              </w:rPr>
              <w:t>基金名称</w:t>
            </w:r>
          </w:p>
        </w:tc>
        <w:tc>
          <w:tcPr>
            <w:tcW w:w="2700" w:type="dxa"/>
            <w:vAlign w:val="center"/>
          </w:tcPr>
          <w:p w:rsidR="009E08EE" w:rsidRDefault="00C06E4D">
            <w:pPr>
              <w:widowControl/>
              <w:ind w:firstLine="75"/>
              <w:jc w:val="center"/>
              <w:rPr>
                <w:rFonts w:asciiTheme="minorEastAsia" w:hAnsiTheme="minorEastAsia" w:cs="Arial"/>
                <w:kern w:val="0"/>
                <w:szCs w:val="21"/>
              </w:rPr>
            </w:pPr>
            <w:r>
              <w:rPr>
                <w:rFonts w:asciiTheme="minorEastAsia" w:hAnsiTheme="minorEastAsia" w:cs="Arial" w:hint="eastAsia"/>
                <w:b/>
                <w:bCs/>
                <w:kern w:val="0"/>
                <w:szCs w:val="21"/>
              </w:rPr>
              <w:t>基金简称</w:t>
            </w:r>
          </w:p>
        </w:tc>
        <w:tc>
          <w:tcPr>
            <w:tcW w:w="1897" w:type="dxa"/>
            <w:vAlign w:val="center"/>
          </w:tcPr>
          <w:p w:rsidR="009E08EE" w:rsidRDefault="00C06E4D">
            <w:pPr>
              <w:widowControl/>
              <w:ind w:firstLine="75"/>
              <w:jc w:val="center"/>
              <w:rPr>
                <w:rFonts w:asciiTheme="minorEastAsia" w:hAnsiTheme="minorEastAsia" w:cs="Arial"/>
                <w:kern w:val="0"/>
                <w:szCs w:val="21"/>
              </w:rPr>
            </w:pPr>
            <w:r>
              <w:rPr>
                <w:rFonts w:asciiTheme="minorEastAsia" w:hAnsiTheme="minorEastAsia" w:cs="Arial" w:hint="eastAsia"/>
                <w:b/>
                <w:bCs/>
                <w:kern w:val="0"/>
                <w:szCs w:val="21"/>
              </w:rPr>
              <w:t>基金代码</w:t>
            </w:r>
          </w:p>
        </w:tc>
      </w:tr>
      <w:tr w:rsidR="009E08EE">
        <w:tc>
          <w:tcPr>
            <w:tcW w:w="4977" w:type="dxa"/>
            <w:vMerge w:val="restart"/>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宝盈安泰短债债券型证券投资基金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宝盈安泰短债债券</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006387</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宝盈安泰短债债券</w:t>
            </w:r>
            <w:r>
              <w:rPr>
                <w:rFonts w:ascii="宋体" w:eastAsia="宋体" w:hAnsi="宋体" w:cs="宋体" w:hint="eastAsia"/>
                <w:color w:val="000000"/>
                <w:kern w:val="0"/>
                <w:sz w:val="22"/>
                <w:lang/>
              </w:rPr>
              <w:t>C</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006388</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宝盈策略增长混合型证券投资基金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宝盈策略增长混合</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213003</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宝盈泛沿海区域增长混合型证券投资基金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宝盈泛沿海混合</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213002</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宝盈国家安全战略沪港深股票型证券投资基金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宝盈国家安全沪港深股票</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001877</w:t>
            </w:r>
          </w:p>
        </w:tc>
      </w:tr>
      <w:tr w:rsidR="009E08EE">
        <w:tc>
          <w:tcPr>
            <w:tcW w:w="4977" w:type="dxa"/>
            <w:vMerge w:val="restart"/>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宝盈核心优势灵活配置混合型证券投资基金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宝盈核心优势混合</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213006</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宝盈核心优势混合</w:t>
            </w:r>
            <w:r>
              <w:rPr>
                <w:rFonts w:ascii="宋体" w:eastAsia="宋体" w:hAnsi="宋体" w:cs="宋体" w:hint="eastAsia"/>
                <w:color w:val="000000"/>
                <w:kern w:val="0"/>
                <w:sz w:val="22"/>
                <w:lang/>
              </w:rPr>
              <w:t>C</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000241</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宝盈鸿利收益灵活配置混合型证券投资基金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宝盈鸿利收益混合</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213001</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宝盈互联网沪港深灵活配置混合型证券投资基金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宝盈互联网沪港深混合</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002482</w:t>
            </w:r>
          </w:p>
        </w:tc>
      </w:tr>
      <w:tr w:rsidR="009E08EE">
        <w:tc>
          <w:tcPr>
            <w:tcW w:w="4977" w:type="dxa"/>
            <w:vMerge w:val="restart"/>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宝盈货币市场证券投资基金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宝盈货币</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213009</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宝盈货币</w:t>
            </w:r>
            <w:r>
              <w:rPr>
                <w:rFonts w:ascii="宋体" w:eastAsia="宋体" w:hAnsi="宋体" w:cs="宋体" w:hint="eastAsia"/>
                <w:color w:val="000000"/>
                <w:kern w:val="0"/>
                <w:sz w:val="22"/>
                <w:lang/>
              </w:rPr>
              <w:t>B</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213909</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宝盈科技</w:t>
            </w:r>
            <w:r>
              <w:rPr>
                <w:rFonts w:ascii="宋体" w:eastAsia="宋体" w:hAnsi="宋体" w:cs="宋体" w:hint="eastAsia"/>
                <w:color w:val="000000"/>
                <w:kern w:val="0"/>
                <w:sz w:val="22"/>
                <w:lang/>
              </w:rPr>
              <w:t>30</w:t>
            </w:r>
            <w:r>
              <w:rPr>
                <w:rFonts w:ascii="宋体" w:eastAsia="宋体" w:hAnsi="宋体" w:cs="宋体" w:hint="eastAsia"/>
                <w:color w:val="000000"/>
                <w:kern w:val="0"/>
                <w:sz w:val="22"/>
                <w:lang/>
              </w:rPr>
              <w:t>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宝盈科技</w:t>
            </w:r>
            <w:r>
              <w:rPr>
                <w:rFonts w:ascii="宋体" w:eastAsia="宋体" w:hAnsi="宋体" w:cs="宋体" w:hint="eastAsia"/>
                <w:color w:val="000000"/>
                <w:kern w:val="0"/>
                <w:sz w:val="22"/>
                <w:lang/>
              </w:rPr>
              <w:t>30</w:t>
            </w:r>
            <w:r>
              <w:rPr>
                <w:rFonts w:ascii="宋体" w:eastAsia="宋体" w:hAnsi="宋体" w:cs="宋体" w:hint="eastAsia"/>
                <w:color w:val="000000"/>
                <w:kern w:val="0"/>
                <w:sz w:val="22"/>
                <w:lang/>
              </w:rPr>
              <w:t>混合</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000698</w:t>
            </w:r>
          </w:p>
        </w:tc>
      </w:tr>
      <w:tr w:rsidR="009E08EE">
        <w:tc>
          <w:tcPr>
            <w:tcW w:w="4977" w:type="dxa"/>
            <w:vMerge w:val="restart"/>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宝盈品牌消费股票型证券投资基金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宝盈品牌消费股票</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006675</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宝盈品牌消费股票</w:t>
            </w:r>
            <w:r>
              <w:rPr>
                <w:rFonts w:ascii="宋体" w:eastAsia="宋体" w:hAnsi="宋体" w:cs="宋体" w:hint="eastAsia"/>
                <w:color w:val="000000"/>
                <w:kern w:val="0"/>
                <w:sz w:val="22"/>
                <w:lang/>
              </w:rPr>
              <w:t>C</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006676</w:t>
            </w:r>
          </w:p>
        </w:tc>
      </w:tr>
      <w:tr w:rsidR="009E08EE">
        <w:tc>
          <w:tcPr>
            <w:tcW w:w="4977" w:type="dxa"/>
            <w:vMerge w:val="restart"/>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宝盈人工智能主题股票型证券投资基金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宝盈人工智能股票</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005962</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宝盈人工智能股票</w:t>
            </w:r>
            <w:r>
              <w:rPr>
                <w:rFonts w:ascii="宋体" w:eastAsia="宋体" w:hAnsi="宋体" w:cs="宋体" w:hint="eastAsia"/>
                <w:color w:val="000000"/>
                <w:kern w:val="0"/>
                <w:sz w:val="22"/>
                <w:lang/>
              </w:rPr>
              <w:t>C</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005963</w:t>
            </w:r>
          </w:p>
        </w:tc>
      </w:tr>
      <w:tr w:rsidR="009E08EE">
        <w:tc>
          <w:tcPr>
            <w:tcW w:w="4977" w:type="dxa"/>
            <w:vMerge w:val="restart"/>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宝盈睿丰创新灵活配置混合型证券投资基金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宝盈睿丰创新混合</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000794</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宝盈睿丰创新混合</w:t>
            </w:r>
            <w:r>
              <w:rPr>
                <w:rFonts w:ascii="宋体" w:eastAsia="宋体" w:hAnsi="宋体" w:cs="宋体" w:hint="eastAsia"/>
                <w:color w:val="000000"/>
                <w:kern w:val="0"/>
                <w:sz w:val="22"/>
                <w:lang/>
              </w:rPr>
              <w:t>B</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000795</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宝盈睿丰创新混合</w:t>
            </w:r>
            <w:r>
              <w:rPr>
                <w:rFonts w:ascii="宋体" w:eastAsia="宋体" w:hAnsi="宋体" w:cs="宋体" w:hint="eastAsia"/>
                <w:color w:val="000000"/>
                <w:kern w:val="0"/>
                <w:sz w:val="22"/>
                <w:lang/>
              </w:rPr>
              <w:t>C</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000796</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宝盈先进制造灵活配置混合型证券投资基金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宝盈先进制造混合</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000924</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宝盈祥瑞混合型证券投资基金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宝盈祥瑞混合</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000639</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宝盈祥泰混合型证券投资基金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宝盈祥泰混合</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001358</w:t>
            </w:r>
          </w:p>
        </w:tc>
      </w:tr>
      <w:tr w:rsidR="009E08EE">
        <w:tc>
          <w:tcPr>
            <w:tcW w:w="4977" w:type="dxa"/>
            <w:vMerge w:val="restart"/>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宝盈祥颐定期开放混合型证券投资基金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宝盈祥颐定期开放混合</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006398</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宝盈祥颐定期开放混合</w:t>
            </w:r>
            <w:r>
              <w:rPr>
                <w:rFonts w:ascii="宋体" w:eastAsia="宋体" w:hAnsi="宋体" w:cs="宋体" w:hint="eastAsia"/>
                <w:color w:val="000000"/>
                <w:kern w:val="0"/>
                <w:sz w:val="22"/>
                <w:lang/>
              </w:rPr>
              <w:t>C</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006399</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宝盈消费主题灵活配置混合型证券投资基金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宝盈消费主题混合</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003715</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宝盈新价值灵活配置混合型证券投资基金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宝盈新价值混合</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000574</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宝盈新锐灵活配置混合型证券投资基金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宝盈新锐混合</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001543</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宝盈新兴产业灵活配置混合型证券投资基金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宝盈新兴产业混合</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001128</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lastRenderedPageBreak/>
              <w:t>宝盈医疗健康沪港深股票型证券投资基金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宝盈医疗健康沪港深股票</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001915</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宝盈盈泰纯债债券型证券投资基金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宝盈盈泰纯债债券</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005846</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宝盈优势产业灵活配置混合型证券投资基金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宝盈优势产业混合</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001487</w:t>
            </w:r>
          </w:p>
        </w:tc>
      </w:tr>
      <w:tr w:rsidR="009E08EE">
        <w:tc>
          <w:tcPr>
            <w:tcW w:w="4977" w:type="dxa"/>
            <w:vMerge w:val="restart"/>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宝盈增强收益债券型证券投资基金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宝盈增强收益债券</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213007</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宝盈增强收益债券</w:t>
            </w:r>
            <w:r>
              <w:rPr>
                <w:rFonts w:ascii="宋体" w:eastAsia="宋体" w:hAnsi="宋体" w:cs="宋体" w:hint="eastAsia"/>
                <w:color w:val="000000"/>
                <w:kern w:val="0"/>
                <w:sz w:val="22"/>
                <w:lang/>
              </w:rPr>
              <w:t>B</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213907</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宝盈增强收益债券</w:t>
            </w:r>
            <w:r>
              <w:rPr>
                <w:rFonts w:ascii="宋体" w:eastAsia="宋体" w:hAnsi="宋体" w:cs="宋体" w:hint="eastAsia"/>
                <w:color w:val="000000"/>
                <w:kern w:val="0"/>
                <w:sz w:val="22"/>
                <w:lang/>
              </w:rPr>
              <w:t>C</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213917</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宝盈中证</w:t>
            </w:r>
            <w:r>
              <w:rPr>
                <w:rFonts w:ascii="宋体" w:eastAsia="宋体" w:hAnsi="宋体" w:cs="宋体" w:hint="eastAsia"/>
                <w:color w:val="000000"/>
                <w:kern w:val="0"/>
                <w:sz w:val="22"/>
                <w:lang/>
              </w:rPr>
              <w:t>100</w:t>
            </w:r>
            <w:r>
              <w:rPr>
                <w:rFonts w:ascii="宋体" w:eastAsia="宋体" w:hAnsi="宋体" w:cs="宋体" w:hint="eastAsia"/>
                <w:color w:val="000000"/>
                <w:kern w:val="0"/>
                <w:sz w:val="22"/>
                <w:lang/>
              </w:rPr>
              <w:t>指数增强型证券投资基金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宝盈中证</w:t>
            </w:r>
            <w:r>
              <w:rPr>
                <w:rFonts w:ascii="宋体" w:eastAsia="宋体" w:hAnsi="宋体" w:cs="宋体" w:hint="eastAsia"/>
                <w:color w:val="000000"/>
                <w:kern w:val="0"/>
                <w:sz w:val="22"/>
                <w:lang/>
              </w:rPr>
              <w:t>100</w:t>
            </w:r>
            <w:r>
              <w:rPr>
                <w:rFonts w:ascii="宋体" w:eastAsia="宋体" w:hAnsi="宋体" w:cs="宋体" w:hint="eastAsia"/>
                <w:color w:val="000000"/>
                <w:kern w:val="0"/>
                <w:sz w:val="22"/>
                <w:lang/>
              </w:rPr>
              <w:t>指数增强</w:t>
            </w:r>
            <w:r>
              <w:rPr>
                <w:rFonts w:ascii="宋体" w:eastAsia="宋体" w:hAnsi="宋体" w:cs="宋体" w:hint="eastAsia"/>
                <w:color w:val="000000"/>
                <w:kern w:val="0"/>
                <w:sz w:val="22"/>
                <w:lang/>
              </w:rPr>
              <w:t>A</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213010</w:t>
            </w:r>
          </w:p>
        </w:tc>
      </w:tr>
      <w:tr w:rsidR="009E08EE">
        <w:tc>
          <w:tcPr>
            <w:tcW w:w="497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宝盈转型动力灵活配置混合型证券投资基金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宝盈转型动力混合</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001075</w:t>
            </w:r>
          </w:p>
        </w:tc>
      </w:tr>
      <w:tr w:rsidR="009E08EE">
        <w:tc>
          <w:tcPr>
            <w:tcW w:w="4977" w:type="dxa"/>
            <w:vMerge w:val="restart"/>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宝盈资源优选混合型证券投资基金</w:t>
            </w: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宝盈资源优选混合</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213008</w:t>
            </w:r>
          </w:p>
        </w:tc>
      </w:tr>
      <w:tr w:rsidR="009E08EE">
        <w:tc>
          <w:tcPr>
            <w:tcW w:w="4977" w:type="dxa"/>
            <w:vMerge/>
            <w:vAlign w:val="center"/>
          </w:tcPr>
          <w:p w:rsidR="009E08EE" w:rsidRDefault="009E08EE">
            <w:pPr>
              <w:widowControl/>
              <w:jc w:val="center"/>
              <w:textAlignment w:val="center"/>
              <w:rPr>
                <w:rFonts w:asciiTheme="minorEastAsia" w:hAnsiTheme="minorEastAsia" w:cs="Arial"/>
                <w:b/>
                <w:bCs/>
                <w:kern w:val="0"/>
                <w:sz w:val="24"/>
                <w:szCs w:val="24"/>
              </w:rPr>
            </w:pPr>
          </w:p>
        </w:tc>
        <w:tc>
          <w:tcPr>
            <w:tcW w:w="2700"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宝盈资源优选混合</w:t>
            </w:r>
            <w:r>
              <w:rPr>
                <w:rFonts w:ascii="宋体" w:eastAsia="宋体" w:hAnsi="宋体" w:cs="宋体" w:hint="eastAsia"/>
                <w:color w:val="000000"/>
                <w:kern w:val="0"/>
                <w:sz w:val="22"/>
                <w:lang/>
              </w:rPr>
              <w:t>(</w:t>
            </w:r>
            <w:r>
              <w:rPr>
                <w:rFonts w:ascii="宋体" w:eastAsia="宋体" w:hAnsi="宋体" w:cs="宋体" w:hint="eastAsia"/>
                <w:color w:val="000000"/>
                <w:kern w:val="0"/>
                <w:sz w:val="22"/>
                <w:lang/>
              </w:rPr>
              <w:t>后端）</w:t>
            </w:r>
          </w:p>
        </w:tc>
        <w:tc>
          <w:tcPr>
            <w:tcW w:w="1897" w:type="dxa"/>
            <w:vAlign w:val="center"/>
          </w:tcPr>
          <w:p w:rsidR="009E08EE" w:rsidRDefault="00C06E4D">
            <w:pPr>
              <w:widowControl/>
              <w:jc w:val="center"/>
              <w:textAlignment w:val="center"/>
              <w:rPr>
                <w:rFonts w:asciiTheme="minorEastAsia" w:hAnsiTheme="minorEastAsia" w:cs="Arial"/>
                <w:b/>
                <w:bCs/>
                <w:kern w:val="0"/>
                <w:sz w:val="24"/>
                <w:szCs w:val="24"/>
              </w:rPr>
            </w:pPr>
            <w:r>
              <w:rPr>
                <w:rFonts w:ascii="宋体" w:eastAsia="宋体" w:hAnsi="宋体" w:cs="宋体" w:hint="eastAsia"/>
                <w:color w:val="000000"/>
                <w:kern w:val="0"/>
                <w:sz w:val="22"/>
                <w:lang/>
              </w:rPr>
              <w:t>213908</w:t>
            </w:r>
          </w:p>
        </w:tc>
      </w:tr>
    </w:tbl>
    <w:p w:rsidR="009E08EE" w:rsidRDefault="009E08EE">
      <w:pPr>
        <w:widowControl/>
        <w:spacing w:line="360" w:lineRule="auto"/>
        <w:rPr>
          <w:rFonts w:asciiTheme="minorEastAsia" w:hAnsiTheme="minorEastAsia" w:cs="Arial"/>
          <w:b/>
          <w:bCs/>
          <w:kern w:val="0"/>
          <w:sz w:val="24"/>
          <w:szCs w:val="24"/>
        </w:rPr>
      </w:pPr>
    </w:p>
    <w:p w:rsidR="009E08EE" w:rsidRDefault="00C06E4D">
      <w:pPr>
        <w:widowControl/>
        <w:spacing w:line="336" w:lineRule="auto"/>
        <w:ind w:firstLine="480"/>
        <w:rPr>
          <w:rFonts w:asciiTheme="minorEastAsia" w:hAnsiTheme="minorEastAsia" w:cs="Arial"/>
          <w:b/>
          <w:bCs/>
          <w:kern w:val="0"/>
          <w:sz w:val="24"/>
          <w:szCs w:val="24"/>
        </w:rPr>
      </w:pPr>
      <w:r>
        <w:rPr>
          <w:rFonts w:asciiTheme="minorEastAsia" w:hAnsiTheme="minorEastAsia" w:cs="Arial" w:hint="eastAsia"/>
          <w:b/>
          <w:bCs/>
          <w:kern w:val="0"/>
          <w:sz w:val="24"/>
          <w:szCs w:val="24"/>
        </w:rPr>
        <w:t>三、活动内容</w:t>
      </w:r>
    </w:p>
    <w:p w:rsidR="009E08EE" w:rsidRDefault="00C06E4D">
      <w:pPr>
        <w:widowControl/>
        <w:spacing w:line="336" w:lineRule="auto"/>
        <w:ind w:firstLine="480"/>
        <w:rPr>
          <w:rFonts w:ascii="Times New Roman" w:hAnsi="Times New Roman" w:cs="Times New Roman"/>
          <w:kern w:val="0"/>
          <w:sz w:val="24"/>
          <w:szCs w:val="24"/>
        </w:rPr>
      </w:pPr>
      <w:r>
        <w:rPr>
          <w:rFonts w:ascii="Times New Roman" w:hAnsi="Times New Roman" w:cs="Times New Roman" w:hint="eastAsia"/>
          <w:kern w:val="0"/>
          <w:sz w:val="24"/>
          <w:szCs w:val="24"/>
        </w:rPr>
        <w:t>投资者通过中信证券（华南）交易系统申购、定投上述基金</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只限前端收费模式）</w:t>
      </w:r>
      <w:r>
        <w:rPr>
          <w:rFonts w:ascii="Times New Roman" w:hAnsi="Times New Roman" w:cs="Times New Roman" w:hint="eastAsia"/>
          <w:kern w:val="0"/>
          <w:sz w:val="24"/>
          <w:szCs w:val="24"/>
        </w:rPr>
        <w:t>的，享受费率最低</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折优惠，各基金</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只限前端收费模式）</w:t>
      </w:r>
      <w:r>
        <w:rPr>
          <w:rFonts w:ascii="Times New Roman" w:hAnsi="Times New Roman" w:cs="Times New Roman" w:hint="eastAsia"/>
          <w:kern w:val="0"/>
          <w:sz w:val="24"/>
          <w:szCs w:val="24"/>
        </w:rPr>
        <w:t>具体折扣后费率及费率优惠活动期限以中信证券（华南）活动公告为准</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我司不再另行公告</w:t>
      </w:r>
      <w:r>
        <w:rPr>
          <w:rFonts w:ascii="Times New Roman" w:hAnsi="Times New Roman" w:cs="Times New Roman" w:hint="eastAsia"/>
          <w:kern w:val="0"/>
          <w:sz w:val="24"/>
          <w:szCs w:val="24"/>
        </w:rPr>
        <w:t>。若原申购费率是固定费用的，则按固定费用执行，不再享有费率折扣。</w:t>
      </w:r>
    </w:p>
    <w:p w:rsidR="009E08EE" w:rsidRDefault="00C06E4D">
      <w:pPr>
        <w:widowControl/>
        <w:spacing w:line="336" w:lineRule="auto"/>
        <w:ind w:firstLine="480"/>
        <w:rPr>
          <w:rFonts w:asciiTheme="minorEastAsia" w:hAnsiTheme="minorEastAsia" w:cs="Arial"/>
          <w:b/>
          <w:bCs/>
          <w:kern w:val="0"/>
          <w:sz w:val="24"/>
          <w:szCs w:val="24"/>
        </w:rPr>
      </w:pPr>
      <w:r>
        <w:rPr>
          <w:rFonts w:asciiTheme="minorEastAsia" w:hAnsiTheme="minorEastAsia" w:cs="Arial" w:hint="eastAsia"/>
          <w:b/>
          <w:bCs/>
          <w:kern w:val="0"/>
          <w:sz w:val="24"/>
          <w:szCs w:val="24"/>
        </w:rPr>
        <w:t>四、重要提示</w:t>
      </w:r>
    </w:p>
    <w:p w:rsidR="009E08EE" w:rsidRDefault="00C06E4D">
      <w:pPr>
        <w:widowControl/>
        <w:spacing w:line="336" w:lineRule="auto"/>
        <w:ind w:firstLine="480"/>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中信证券华南股份有限公司原名广州证券股份有限公司，本公司于</w:t>
      </w:r>
      <w:r>
        <w:rPr>
          <w:rFonts w:ascii="Times New Roman" w:hAnsi="Times New Roman" w:cs="Times New Roman" w:hint="eastAsia"/>
          <w:kern w:val="0"/>
          <w:sz w:val="24"/>
          <w:szCs w:val="24"/>
        </w:rPr>
        <w:t>2014</w:t>
      </w:r>
      <w:r>
        <w:rPr>
          <w:rFonts w:ascii="Times New Roman" w:hAnsi="Times New Roman" w:cs="Times New Roman" w:hint="eastAsia"/>
          <w:kern w:val="0"/>
          <w:sz w:val="24"/>
          <w:szCs w:val="24"/>
        </w:rPr>
        <w:t>年</w:t>
      </w:r>
      <w:r>
        <w:rPr>
          <w:rFonts w:ascii="Times New Roman" w:hAnsi="Times New Roman" w:cs="Times New Roman" w:hint="eastAsia"/>
          <w:kern w:val="0"/>
          <w:sz w:val="24"/>
          <w:szCs w:val="24"/>
        </w:rPr>
        <w:t>7</w:t>
      </w:r>
      <w:r>
        <w:rPr>
          <w:rFonts w:ascii="Times New Roman" w:hAnsi="Times New Roman" w:cs="Times New Roman" w:hint="eastAsia"/>
          <w:kern w:val="0"/>
          <w:sz w:val="24"/>
          <w:szCs w:val="24"/>
        </w:rPr>
        <w:t>月</w:t>
      </w:r>
      <w:r>
        <w:rPr>
          <w:rFonts w:ascii="Times New Roman" w:hAnsi="Times New Roman" w:cs="Times New Roman" w:hint="eastAsia"/>
          <w:kern w:val="0"/>
          <w:sz w:val="24"/>
          <w:szCs w:val="24"/>
        </w:rPr>
        <w:t>16</w:t>
      </w:r>
      <w:r>
        <w:rPr>
          <w:rFonts w:ascii="Times New Roman" w:hAnsi="Times New Roman" w:cs="Times New Roman" w:hint="eastAsia"/>
          <w:kern w:val="0"/>
          <w:sz w:val="24"/>
          <w:szCs w:val="24"/>
        </w:rPr>
        <w:t>日发布的《宝盈基金管理有限公司关于新增广州证券有限责任公司为旗下基金销售机构及参与申购费率优惠活动的公告》关于费率优惠活动部分不再有效，以本公告为准。</w:t>
      </w:r>
    </w:p>
    <w:p w:rsidR="009E08EE" w:rsidRDefault="00C06E4D">
      <w:pPr>
        <w:widowControl/>
        <w:spacing w:line="336" w:lineRule="auto"/>
        <w:ind w:firstLine="480"/>
        <w:rPr>
          <w:rFonts w:asciiTheme="minorEastAsia" w:hAnsiTheme="minorEastAsia" w:cs="Arial"/>
          <w:kern w:val="0"/>
          <w:sz w:val="24"/>
          <w:szCs w:val="24"/>
        </w:rPr>
      </w:pP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w:t>
      </w:r>
      <w:r>
        <w:rPr>
          <w:rFonts w:asciiTheme="minorEastAsia" w:hAnsiTheme="minorEastAsia" w:cs="Arial" w:hint="eastAsia"/>
          <w:kern w:val="0"/>
          <w:sz w:val="24"/>
          <w:szCs w:val="24"/>
        </w:rPr>
        <w:t>优惠活动的费率折扣由</w:t>
      </w:r>
      <w:r>
        <w:rPr>
          <w:rFonts w:ascii="Times New Roman" w:hAnsi="Times New Roman" w:cs="Times New Roman" w:hint="eastAsia"/>
          <w:kern w:val="0"/>
          <w:sz w:val="24"/>
          <w:szCs w:val="24"/>
        </w:rPr>
        <w:t>中信证券（华南）</w:t>
      </w:r>
      <w:r>
        <w:rPr>
          <w:rFonts w:asciiTheme="minorEastAsia" w:hAnsiTheme="minorEastAsia" w:cs="Arial" w:hint="eastAsia"/>
          <w:kern w:val="0"/>
          <w:sz w:val="24"/>
          <w:szCs w:val="24"/>
        </w:rPr>
        <w:t>决定和执行，优惠活动解释权归</w:t>
      </w:r>
      <w:r>
        <w:rPr>
          <w:rFonts w:ascii="Times New Roman" w:hAnsi="Times New Roman" w:cs="Times New Roman" w:hint="eastAsia"/>
          <w:kern w:val="0"/>
          <w:sz w:val="24"/>
          <w:szCs w:val="24"/>
        </w:rPr>
        <w:t>中信证券（华南）</w:t>
      </w:r>
      <w:r>
        <w:rPr>
          <w:rFonts w:asciiTheme="minorEastAsia" w:hAnsiTheme="minorEastAsia" w:cs="Arial" w:hint="eastAsia"/>
          <w:kern w:val="0"/>
          <w:sz w:val="24"/>
          <w:szCs w:val="24"/>
        </w:rPr>
        <w:t>所有，且其有权对上述优惠活动内容进行变更，有关优惠活动具体事宜，请咨询</w:t>
      </w:r>
      <w:r>
        <w:rPr>
          <w:rFonts w:ascii="Times New Roman" w:hAnsi="Times New Roman" w:cs="Times New Roman" w:hint="eastAsia"/>
          <w:kern w:val="0"/>
          <w:sz w:val="24"/>
          <w:szCs w:val="24"/>
        </w:rPr>
        <w:t>中信证券（华南）</w:t>
      </w:r>
      <w:r>
        <w:rPr>
          <w:rFonts w:asciiTheme="minorEastAsia" w:hAnsiTheme="minorEastAsia" w:cs="Arial" w:hint="eastAsia"/>
          <w:kern w:val="0"/>
          <w:sz w:val="24"/>
          <w:szCs w:val="24"/>
        </w:rPr>
        <w:t>。</w:t>
      </w:r>
    </w:p>
    <w:p w:rsidR="009E08EE" w:rsidRDefault="00C06E4D">
      <w:pPr>
        <w:widowControl/>
        <w:spacing w:line="336" w:lineRule="auto"/>
        <w:ind w:firstLine="480"/>
        <w:rPr>
          <w:rFonts w:asciiTheme="minorEastAsia" w:hAnsiTheme="minorEastAsia" w:cs="Arial"/>
          <w:kern w:val="0"/>
          <w:sz w:val="24"/>
          <w:szCs w:val="24"/>
        </w:rPr>
      </w:pPr>
      <w:r>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Pr>
          <w:rFonts w:asciiTheme="minorEastAsia" w:hAnsiTheme="minorEastAsia" w:cs="Arial" w:hint="eastAsia"/>
          <w:kern w:val="0"/>
          <w:sz w:val="24"/>
          <w:szCs w:val="24"/>
        </w:rPr>
        <w:t>投资者欲了解上述各只基</w:t>
      </w:r>
      <w:r>
        <w:rPr>
          <w:rFonts w:asciiTheme="minorEastAsia" w:hAnsiTheme="minorEastAsia" w:cs="Arial" w:hint="eastAsia"/>
          <w:kern w:val="0"/>
          <w:sz w:val="24"/>
          <w:szCs w:val="24"/>
        </w:rPr>
        <w:t>金产品的详细情况，请仔细阅读上述各只基金产品的基金合同、招募说明书等法律文件。上述各只基金产品的原申购费率以各基金产品的《基金合同》、《招募说明书》及相关最新公告为准。</w:t>
      </w:r>
    </w:p>
    <w:p w:rsidR="009E08EE" w:rsidRDefault="00C06E4D">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4</w:t>
      </w:r>
      <w:r>
        <w:rPr>
          <w:rFonts w:asciiTheme="minorEastAsia" w:hAnsiTheme="minorEastAsia" w:cs="Arial" w:hint="eastAsia"/>
          <w:kern w:val="0"/>
          <w:sz w:val="24"/>
          <w:szCs w:val="24"/>
        </w:rPr>
        <w:t>、</w:t>
      </w:r>
      <w:r>
        <w:rPr>
          <w:rFonts w:asciiTheme="minorEastAsia" w:hAnsiTheme="minorEastAsia" w:cs="Arial" w:hint="eastAsia"/>
          <w:kern w:val="0"/>
          <w:sz w:val="24"/>
          <w:szCs w:val="24"/>
        </w:rPr>
        <w:t>本次基金申购费率优惠活动不适用于基金转换业务等其他业务。</w:t>
      </w:r>
    </w:p>
    <w:p w:rsidR="009E08EE" w:rsidRDefault="00C06E4D">
      <w:pPr>
        <w:widowControl/>
        <w:spacing w:line="336" w:lineRule="auto"/>
        <w:ind w:firstLine="480"/>
        <w:rPr>
          <w:rFonts w:asciiTheme="minorEastAsia" w:hAnsiTheme="minorEastAsia" w:cs="Arial"/>
          <w:kern w:val="0"/>
          <w:sz w:val="24"/>
          <w:szCs w:val="24"/>
        </w:rPr>
      </w:pPr>
      <w:r>
        <w:rPr>
          <w:rFonts w:asciiTheme="minorEastAsia" w:hAnsiTheme="minorEastAsia" w:cs="Arial" w:hint="eastAsia"/>
          <w:b/>
          <w:bCs/>
          <w:kern w:val="0"/>
          <w:sz w:val="24"/>
          <w:szCs w:val="24"/>
        </w:rPr>
        <w:t>五、投资人可通过以下途径咨询详情</w:t>
      </w:r>
    </w:p>
    <w:p w:rsidR="009E08EE" w:rsidRDefault="00C06E4D">
      <w:pPr>
        <w:widowControl/>
        <w:spacing w:line="336" w:lineRule="auto"/>
        <w:ind w:firstLine="480"/>
        <w:rPr>
          <w:rFonts w:asciiTheme="minorEastAsia" w:hAnsiTheme="minorEastAsia" w:cs="Arial"/>
          <w:kern w:val="0"/>
          <w:sz w:val="24"/>
          <w:szCs w:val="24"/>
        </w:rPr>
      </w:pPr>
      <w:r>
        <w:rPr>
          <w:rFonts w:ascii="Times New Roman" w:hAnsi="Times New Roman" w:cs="Times New Roman"/>
          <w:kern w:val="0"/>
          <w:sz w:val="24"/>
          <w:szCs w:val="24"/>
        </w:rPr>
        <w:t>1</w:t>
      </w:r>
      <w:r>
        <w:rPr>
          <w:rFonts w:ascii="Times New Roman" w:hAnsi="Times New Roman" w:cs="Times New Roman" w:hint="eastAsia"/>
          <w:kern w:val="0"/>
          <w:sz w:val="24"/>
          <w:szCs w:val="24"/>
        </w:rPr>
        <w:t>、</w:t>
      </w:r>
      <w:r>
        <w:rPr>
          <w:rFonts w:asciiTheme="minorEastAsia" w:hAnsiTheme="minorEastAsia" w:cs="Arial" w:hint="eastAsia"/>
          <w:kern w:val="0"/>
          <w:sz w:val="24"/>
          <w:szCs w:val="24"/>
        </w:rPr>
        <w:t>宝盈基金管理有限公司</w:t>
      </w:r>
    </w:p>
    <w:p w:rsidR="009E08EE" w:rsidRDefault="00C06E4D">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网站：</w:t>
      </w:r>
      <w:r>
        <w:rPr>
          <w:rFonts w:ascii="Times New Roman" w:hAnsi="Times New Roman" w:cs="Times New Roman"/>
          <w:kern w:val="0"/>
          <w:sz w:val="24"/>
          <w:szCs w:val="24"/>
        </w:rPr>
        <w:t>www.byfunds.com</w:t>
      </w:r>
    </w:p>
    <w:p w:rsidR="009E08EE" w:rsidRDefault="00C06E4D">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客户服务电话：</w:t>
      </w:r>
      <w:r>
        <w:rPr>
          <w:rFonts w:ascii="Times New Roman" w:hAnsi="Times New Roman" w:cs="Times New Roman"/>
          <w:kern w:val="0"/>
          <w:sz w:val="24"/>
          <w:szCs w:val="24"/>
        </w:rPr>
        <w:t>400-8888-300</w:t>
      </w:r>
      <w:r>
        <w:rPr>
          <w:rFonts w:asciiTheme="minorEastAsia" w:hAnsiTheme="minorEastAsia" w:cs="Arial" w:hint="eastAsia"/>
          <w:kern w:val="0"/>
          <w:sz w:val="24"/>
          <w:szCs w:val="24"/>
        </w:rPr>
        <w:t>（免长途话费）</w:t>
      </w:r>
    </w:p>
    <w:p w:rsidR="009E08EE" w:rsidRDefault="00C06E4D">
      <w:pPr>
        <w:ind w:firstLineChars="200" w:firstLine="480"/>
        <w:rPr>
          <w:rFonts w:ascii="宋体" w:hAnsi="Calibri" w:cs="宋体"/>
          <w:kern w:val="0"/>
          <w:szCs w:val="21"/>
        </w:rPr>
      </w:pPr>
      <w:r>
        <w:rPr>
          <w:rFonts w:ascii="Times New Roman" w:hAnsi="Times New Roman" w:cs="Times New Roman"/>
          <w:kern w:val="0"/>
          <w:sz w:val="24"/>
          <w:szCs w:val="24"/>
        </w:rPr>
        <w:t>2</w:t>
      </w:r>
      <w:r>
        <w:rPr>
          <w:rFonts w:ascii="Times New Roman" w:hAnsi="Times New Roman" w:cs="Times New Roman" w:hint="eastAsia"/>
          <w:kern w:val="0"/>
          <w:sz w:val="24"/>
          <w:szCs w:val="24"/>
        </w:rPr>
        <w:t>、中信证券华南股份有限公司</w:t>
      </w:r>
    </w:p>
    <w:p w:rsidR="009E08EE" w:rsidRDefault="00C06E4D">
      <w:pPr>
        <w:pStyle w:val="CM1"/>
        <w:ind w:firstLine="422"/>
        <w:jc w:val="both"/>
        <w:rPr>
          <w:rFonts w:asciiTheme="minorEastAsia" w:eastAsiaTheme="minorEastAsia" w:hAnsiTheme="minorEastAsia" w:cs="Arial"/>
        </w:rPr>
      </w:pPr>
      <w:r>
        <w:rPr>
          <w:rFonts w:asciiTheme="minorEastAsia" w:eastAsiaTheme="minorEastAsia" w:hAnsiTheme="minorEastAsia" w:cs="Arial" w:hint="eastAsia"/>
        </w:rPr>
        <w:t>网址：</w:t>
      </w:r>
      <w:r>
        <w:rPr>
          <w:rFonts w:ascii="Times New Roman" w:eastAsiaTheme="minorEastAsia" w:hAnsi="Times New Roman" w:hint="eastAsia"/>
        </w:rPr>
        <w:t>www.gzs.com.cn</w:t>
      </w:r>
    </w:p>
    <w:p w:rsidR="009E08EE" w:rsidRDefault="00C06E4D">
      <w:pPr>
        <w:pStyle w:val="CM1"/>
        <w:ind w:firstLine="422"/>
        <w:jc w:val="both"/>
        <w:rPr>
          <w:rFonts w:ascii="Times New Roman" w:eastAsiaTheme="minorEastAsia" w:hAnsi="Times New Roman"/>
        </w:rPr>
      </w:pPr>
      <w:r>
        <w:rPr>
          <w:rFonts w:asciiTheme="minorEastAsia" w:eastAsiaTheme="minorEastAsia" w:hAnsiTheme="minorEastAsia" w:cs="Arial" w:hint="eastAsia"/>
        </w:rPr>
        <w:t>客服电话：</w:t>
      </w:r>
      <w:r>
        <w:rPr>
          <w:rFonts w:ascii="Times New Roman" w:eastAsiaTheme="minorEastAsia" w:hAnsi="Times New Roman" w:hint="eastAsia"/>
        </w:rPr>
        <w:t>95396</w:t>
      </w:r>
    </w:p>
    <w:p w:rsidR="009E08EE" w:rsidRDefault="00C06E4D">
      <w:pPr>
        <w:spacing w:line="360" w:lineRule="auto"/>
        <w:ind w:firstLineChars="200" w:firstLine="480"/>
        <w:textAlignment w:val="baseline"/>
        <w:rPr>
          <w:sz w:val="24"/>
          <w:szCs w:val="24"/>
        </w:rPr>
      </w:pPr>
      <w:r>
        <w:rPr>
          <w:rFonts w:hAnsi="宋体"/>
          <w:sz w:val="24"/>
          <w:szCs w:val="24"/>
        </w:rPr>
        <w:lastRenderedPageBreak/>
        <w:t>风险提示：</w:t>
      </w:r>
      <w:r>
        <w:rPr>
          <w:rFonts w:hint="eastAsia"/>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E08EE" w:rsidRDefault="00C06E4D">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特此公告。</w:t>
      </w:r>
      <w:r>
        <w:rPr>
          <w:rFonts w:asciiTheme="minorEastAsia" w:hAnsiTheme="minorEastAsia" w:cs="Arial" w:hint="eastAsia"/>
          <w:kern w:val="0"/>
          <w:sz w:val="24"/>
          <w:szCs w:val="24"/>
        </w:rPr>
        <w:t xml:space="preserve"> </w:t>
      </w:r>
    </w:p>
    <w:p w:rsidR="009E08EE" w:rsidRDefault="00C06E4D">
      <w:pPr>
        <w:widowControl/>
        <w:spacing w:line="336" w:lineRule="auto"/>
        <w:ind w:firstLine="480"/>
        <w:jc w:val="right"/>
        <w:rPr>
          <w:rFonts w:asciiTheme="minorEastAsia" w:hAnsiTheme="minorEastAsia" w:cs="Arial"/>
          <w:kern w:val="0"/>
          <w:sz w:val="24"/>
          <w:szCs w:val="24"/>
        </w:rPr>
      </w:pPr>
      <w:r>
        <w:rPr>
          <w:rFonts w:asciiTheme="minorEastAsia" w:hAnsiTheme="minorEastAsia" w:cs="Arial" w:hint="eastAsia"/>
          <w:kern w:val="0"/>
          <w:sz w:val="24"/>
          <w:szCs w:val="24"/>
        </w:rPr>
        <w:t>宝盈基金管理有限公司</w:t>
      </w:r>
    </w:p>
    <w:p w:rsidR="009E08EE" w:rsidRDefault="00C06E4D">
      <w:pPr>
        <w:widowControl/>
        <w:spacing w:line="360" w:lineRule="auto"/>
        <w:ind w:firstLine="480"/>
        <w:jc w:val="right"/>
        <w:rPr>
          <w:rFonts w:asciiTheme="minorEastAsia" w:hAnsiTheme="minorEastAsia" w:cs="Arial"/>
          <w:kern w:val="0"/>
          <w:sz w:val="24"/>
          <w:szCs w:val="24"/>
        </w:rPr>
      </w:pPr>
      <w:r>
        <w:rPr>
          <w:rFonts w:ascii="Times New Roman" w:hAnsi="Times New Roman" w:cs="Times New Roman"/>
          <w:kern w:val="0"/>
          <w:sz w:val="24"/>
          <w:szCs w:val="24"/>
        </w:rPr>
        <w:t>20</w:t>
      </w:r>
      <w:r>
        <w:rPr>
          <w:rFonts w:ascii="Times New Roman" w:hAnsi="Times New Roman" w:cs="Times New Roman" w:hint="eastAsia"/>
          <w:kern w:val="0"/>
          <w:sz w:val="24"/>
          <w:szCs w:val="24"/>
        </w:rPr>
        <w:t>20</w:t>
      </w:r>
      <w:bookmarkStart w:id="0" w:name="_GoBack"/>
      <w:bookmarkEnd w:id="0"/>
      <w:r>
        <w:rPr>
          <w:rFonts w:asciiTheme="minorEastAsia" w:hAnsiTheme="minorEastAsia" w:cs="Arial" w:hint="eastAsia"/>
          <w:kern w:val="0"/>
          <w:sz w:val="24"/>
          <w:szCs w:val="24"/>
        </w:rPr>
        <w:t>年</w:t>
      </w:r>
      <w:r>
        <w:rPr>
          <w:rFonts w:ascii="Times New Roman" w:hAnsi="Times New Roman" w:cs="Times New Roman" w:hint="eastAsia"/>
          <w:kern w:val="0"/>
          <w:sz w:val="24"/>
          <w:szCs w:val="24"/>
        </w:rPr>
        <w:t>4</w:t>
      </w:r>
      <w:r>
        <w:rPr>
          <w:rFonts w:asciiTheme="minorEastAsia" w:hAnsiTheme="minorEastAsia" w:cs="Arial" w:hint="eastAsia"/>
          <w:kern w:val="0"/>
          <w:sz w:val="24"/>
          <w:szCs w:val="24"/>
        </w:rPr>
        <w:t>月</w:t>
      </w:r>
      <w:r>
        <w:rPr>
          <w:rFonts w:ascii="Times New Roman" w:hAnsi="Times New Roman" w:cs="Times New Roman" w:hint="eastAsia"/>
          <w:kern w:val="0"/>
          <w:sz w:val="24"/>
          <w:szCs w:val="24"/>
        </w:rPr>
        <w:t>28</w:t>
      </w:r>
      <w:r>
        <w:rPr>
          <w:rFonts w:asciiTheme="minorEastAsia" w:hAnsiTheme="minorEastAsia" w:cs="Arial" w:hint="eastAsia"/>
          <w:kern w:val="0"/>
          <w:sz w:val="24"/>
          <w:szCs w:val="24"/>
        </w:rPr>
        <w:t>日</w:t>
      </w:r>
    </w:p>
    <w:sectPr w:rsidR="009E08EE" w:rsidSect="009E08EE">
      <w:pgSz w:w="11906" w:h="16838"/>
      <w:pgMar w:top="1440" w:right="1361" w:bottom="1440"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E4D" w:rsidRDefault="00C06E4D" w:rsidP="00C06E4D">
      <w:r>
        <w:separator/>
      </w:r>
    </w:p>
  </w:endnote>
  <w:endnote w:type="continuationSeparator" w:id="1">
    <w:p w:rsidR="00C06E4D" w:rsidRDefault="00C06E4D" w:rsidP="00C06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E4D" w:rsidRDefault="00C06E4D" w:rsidP="00C06E4D">
      <w:r>
        <w:separator/>
      </w:r>
    </w:p>
  </w:footnote>
  <w:footnote w:type="continuationSeparator" w:id="1">
    <w:p w:rsidR="00C06E4D" w:rsidRDefault="00C06E4D" w:rsidP="00C06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HorizontalSpacing w:val="105"/>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2012B"/>
    <w:rsid w:val="000712E8"/>
    <w:rsid w:val="000A1D49"/>
    <w:rsid w:val="000A4382"/>
    <w:rsid w:val="000F0657"/>
    <w:rsid w:val="000F48D7"/>
    <w:rsid w:val="00103598"/>
    <w:rsid w:val="0010420D"/>
    <w:rsid w:val="00126930"/>
    <w:rsid w:val="00151F2B"/>
    <w:rsid w:val="001947BF"/>
    <w:rsid w:val="001B3C16"/>
    <w:rsid w:val="001C7355"/>
    <w:rsid w:val="001F28B9"/>
    <w:rsid w:val="002163A6"/>
    <w:rsid w:val="00222E3B"/>
    <w:rsid w:val="002273EB"/>
    <w:rsid w:val="00292814"/>
    <w:rsid w:val="002B379A"/>
    <w:rsid w:val="003313CB"/>
    <w:rsid w:val="003705A4"/>
    <w:rsid w:val="003904D1"/>
    <w:rsid w:val="003C1831"/>
    <w:rsid w:val="003D0204"/>
    <w:rsid w:val="00410B63"/>
    <w:rsid w:val="004A4B60"/>
    <w:rsid w:val="00593FB1"/>
    <w:rsid w:val="005C1851"/>
    <w:rsid w:val="00625864"/>
    <w:rsid w:val="00625907"/>
    <w:rsid w:val="006546FA"/>
    <w:rsid w:val="006A1A55"/>
    <w:rsid w:val="00703935"/>
    <w:rsid w:val="007226BD"/>
    <w:rsid w:val="00753DFE"/>
    <w:rsid w:val="00790C11"/>
    <w:rsid w:val="00790F4C"/>
    <w:rsid w:val="007D57AB"/>
    <w:rsid w:val="007E2831"/>
    <w:rsid w:val="0082012B"/>
    <w:rsid w:val="00830CDA"/>
    <w:rsid w:val="008660A8"/>
    <w:rsid w:val="00891403"/>
    <w:rsid w:val="008A419F"/>
    <w:rsid w:val="008A4421"/>
    <w:rsid w:val="00904612"/>
    <w:rsid w:val="0093394C"/>
    <w:rsid w:val="009E08EE"/>
    <w:rsid w:val="00A13E66"/>
    <w:rsid w:val="00A4378D"/>
    <w:rsid w:val="00A51F74"/>
    <w:rsid w:val="00A952E3"/>
    <w:rsid w:val="00A96EE8"/>
    <w:rsid w:val="00B26961"/>
    <w:rsid w:val="00B44ABC"/>
    <w:rsid w:val="00B633E4"/>
    <w:rsid w:val="00BA396A"/>
    <w:rsid w:val="00BC6BE4"/>
    <w:rsid w:val="00BF5A95"/>
    <w:rsid w:val="00C06E4D"/>
    <w:rsid w:val="00C7700C"/>
    <w:rsid w:val="00CB496D"/>
    <w:rsid w:val="00CE5A2D"/>
    <w:rsid w:val="00D00134"/>
    <w:rsid w:val="00D138D7"/>
    <w:rsid w:val="00DC74AE"/>
    <w:rsid w:val="00DD096D"/>
    <w:rsid w:val="00E12B2E"/>
    <w:rsid w:val="00E21288"/>
    <w:rsid w:val="00E82263"/>
    <w:rsid w:val="00ED00D2"/>
    <w:rsid w:val="00EE660A"/>
    <w:rsid w:val="00EF4551"/>
    <w:rsid w:val="00F35103"/>
    <w:rsid w:val="00F44BE2"/>
    <w:rsid w:val="00F659F5"/>
    <w:rsid w:val="00F94FF8"/>
    <w:rsid w:val="00FB4B51"/>
    <w:rsid w:val="00FD4070"/>
    <w:rsid w:val="00FF76E1"/>
    <w:rsid w:val="02C40622"/>
    <w:rsid w:val="03855D46"/>
    <w:rsid w:val="06A71EE2"/>
    <w:rsid w:val="08F96E82"/>
    <w:rsid w:val="0B2A60F9"/>
    <w:rsid w:val="0D264931"/>
    <w:rsid w:val="0F430470"/>
    <w:rsid w:val="0FD22C8B"/>
    <w:rsid w:val="103B5D63"/>
    <w:rsid w:val="106946FA"/>
    <w:rsid w:val="10F658BC"/>
    <w:rsid w:val="10FE1134"/>
    <w:rsid w:val="162A7C9B"/>
    <w:rsid w:val="177C407C"/>
    <w:rsid w:val="18B56F9C"/>
    <w:rsid w:val="191404CC"/>
    <w:rsid w:val="19456FC5"/>
    <w:rsid w:val="21B535DD"/>
    <w:rsid w:val="224E2F49"/>
    <w:rsid w:val="23F92FC6"/>
    <w:rsid w:val="26D7378F"/>
    <w:rsid w:val="2AC06FF1"/>
    <w:rsid w:val="2DBE1C37"/>
    <w:rsid w:val="300459D0"/>
    <w:rsid w:val="3242085B"/>
    <w:rsid w:val="338F4F6B"/>
    <w:rsid w:val="33CF651B"/>
    <w:rsid w:val="35161CCC"/>
    <w:rsid w:val="3935746F"/>
    <w:rsid w:val="398A58F1"/>
    <w:rsid w:val="3CE93BD8"/>
    <w:rsid w:val="3F7A17D5"/>
    <w:rsid w:val="3FA405AA"/>
    <w:rsid w:val="3FC215A7"/>
    <w:rsid w:val="3FDF12E3"/>
    <w:rsid w:val="418661F6"/>
    <w:rsid w:val="42A262B9"/>
    <w:rsid w:val="46E7339A"/>
    <w:rsid w:val="476A07D6"/>
    <w:rsid w:val="47C47D87"/>
    <w:rsid w:val="486C0048"/>
    <w:rsid w:val="49842FDE"/>
    <w:rsid w:val="4D8A5623"/>
    <w:rsid w:val="4ED10A38"/>
    <w:rsid w:val="53E16C7A"/>
    <w:rsid w:val="54DF3583"/>
    <w:rsid w:val="57FF6D27"/>
    <w:rsid w:val="58652FE0"/>
    <w:rsid w:val="58CC0B02"/>
    <w:rsid w:val="5A2F0140"/>
    <w:rsid w:val="5A630C76"/>
    <w:rsid w:val="5CAA104B"/>
    <w:rsid w:val="5CF1652B"/>
    <w:rsid w:val="5D4D5AF4"/>
    <w:rsid w:val="5D8556CC"/>
    <w:rsid w:val="5F396B12"/>
    <w:rsid w:val="646569CE"/>
    <w:rsid w:val="65725138"/>
    <w:rsid w:val="663B201E"/>
    <w:rsid w:val="66F655DC"/>
    <w:rsid w:val="6866468B"/>
    <w:rsid w:val="69075050"/>
    <w:rsid w:val="6C90685D"/>
    <w:rsid w:val="6CA0712E"/>
    <w:rsid w:val="70C365D3"/>
    <w:rsid w:val="729E01BA"/>
    <w:rsid w:val="72F25DDA"/>
    <w:rsid w:val="7BF76FC4"/>
    <w:rsid w:val="7E1C2AB8"/>
    <w:rsid w:val="7EAF5D0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E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9E08EE"/>
    <w:pPr>
      <w:jc w:val="left"/>
    </w:pPr>
  </w:style>
  <w:style w:type="paragraph" w:styleId="a4">
    <w:name w:val="Balloon Text"/>
    <w:basedOn w:val="a"/>
    <w:link w:val="Char0"/>
    <w:uiPriority w:val="99"/>
    <w:semiHidden/>
    <w:unhideWhenUsed/>
    <w:qFormat/>
    <w:rsid w:val="009E08EE"/>
    <w:rPr>
      <w:sz w:val="18"/>
      <w:szCs w:val="18"/>
    </w:rPr>
  </w:style>
  <w:style w:type="paragraph" w:styleId="a5">
    <w:name w:val="footer"/>
    <w:basedOn w:val="a"/>
    <w:uiPriority w:val="99"/>
    <w:unhideWhenUsed/>
    <w:qFormat/>
    <w:rsid w:val="009E08EE"/>
    <w:pPr>
      <w:tabs>
        <w:tab w:val="center" w:pos="4153"/>
        <w:tab w:val="right" w:pos="8306"/>
      </w:tabs>
      <w:snapToGrid w:val="0"/>
      <w:jc w:val="left"/>
    </w:pPr>
    <w:rPr>
      <w:sz w:val="18"/>
    </w:rPr>
  </w:style>
  <w:style w:type="paragraph" w:styleId="a6">
    <w:name w:val="header"/>
    <w:basedOn w:val="a"/>
    <w:uiPriority w:val="99"/>
    <w:unhideWhenUsed/>
    <w:qFormat/>
    <w:rsid w:val="009E08E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uiPriority w:val="99"/>
    <w:semiHidden/>
    <w:unhideWhenUsed/>
    <w:rsid w:val="009E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paragraph" w:styleId="a7">
    <w:name w:val="Normal (Web)"/>
    <w:basedOn w:val="a"/>
    <w:uiPriority w:val="99"/>
    <w:unhideWhenUsed/>
    <w:qFormat/>
    <w:rsid w:val="009E08EE"/>
    <w:pPr>
      <w:jc w:val="left"/>
    </w:pPr>
    <w:rPr>
      <w:rFonts w:ascii="Arial" w:hAnsi="Arial" w:cs="Times New Roman" w:hint="eastAsia"/>
      <w:color w:val="464646"/>
      <w:kern w:val="0"/>
      <w:sz w:val="18"/>
      <w:szCs w:val="18"/>
    </w:rPr>
  </w:style>
  <w:style w:type="paragraph" w:styleId="a8">
    <w:name w:val="annotation subject"/>
    <w:basedOn w:val="a3"/>
    <w:next w:val="a3"/>
    <w:link w:val="Char1"/>
    <w:uiPriority w:val="99"/>
    <w:semiHidden/>
    <w:unhideWhenUsed/>
    <w:qFormat/>
    <w:rsid w:val="009E08EE"/>
    <w:rPr>
      <w:b/>
      <w:bCs/>
    </w:rPr>
  </w:style>
  <w:style w:type="table" w:styleId="a9">
    <w:name w:val="Table Grid"/>
    <w:basedOn w:val="a1"/>
    <w:uiPriority w:val="59"/>
    <w:rsid w:val="009E08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9E08EE"/>
    <w:rPr>
      <w:b/>
      <w:bCs/>
    </w:rPr>
  </w:style>
  <w:style w:type="character" w:styleId="ab">
    <w:name w:val="FollowedHyperlink"/>
    <w:basedOn w:val="a0"/>
    <w:uiPriority w:val="99"/>
    <w:unhideWhenUsed/>
    <w:qFormat/>
    <w:rsid w:val="009E08EE"/>
    <w:rPr>
      <w:color w:val="464646"/>
      <w:u w:val="none"/>
    </w:rPr>
  </w:style>
  <w:style w:type="character" w:styleId="ac">
    <w:name w:val="Emphasis"/>
    <w:basedOn w:val="a0"/>
    <w:uiPriority w:val="20"/>
    <w:qFormat/>
    <w:rsid w:val="009E08EE"/>
  </w:style>
  <w:style w:type="character" w:styleId="ad">
    <w:name w:val="Hyperlink"/>
    <w:basedOn w:val="a0"/>
    <w:uiPriority w:val="99"/>
    <w:unhideWhenUsed/>
    <w:qFormat/>
    <w:rsid w:val="009E08EE"/>
    <w:rPr>
      <w:color w:val="464646"/>
      <w:u w:val="none"/>
    </w:rPr>
  </w:style>
  <w:style w:type="character" w:styleId="ae">
    <w:name w:val="annotation reference"/>
    <w:basedOn w:val="a0"/>
    <w:uiPriority w:val="99"/>
    <w:semiHidden/>
    <w:unhideWhenUsed/>
    <w:rsid w:val="009E08EE"/>
    <w:rPr>
      <w:sz w:val="21"/>
      <w:szCs w:val="21"/>
    </w:rPr>
  </w:style>
  <w:style w:type="character" w:customStyle="1" w:styleId="Char0">
    <w:name w:val="批注框文本 Char"/>
    <w:basedOn w:val="a0"/>
    <w:link w:val="a4"/>
    <w:uiPriority w:val="99"/>
    <w:semiHidden/>
    <w:rsid w:val="009E08EE"/>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9E08EE"/>
    <w:rPr>
      <w:rFonts w:asciiTheme="minorHAnsi" w:eastAsiaTheme="minorEastAsia" w:hAnsiTheme="minorHAnsi" w:cstheme="minorBidi"/>
      <w:kern w:val="2"/>
      <w:sz w:val="21"/>
      <w:szCs w:val="22"/>
    </w:rPr>
  </w:style>
  <w:style w:type="character" w:customStyle="1" w:styleId="Char1">
    <w:name w:val="批注主题 Char"/>
    <w:basedOn w:val="Char"/>
    <w:link w:val="a8"/>
    <w:uiPriority w:val="99"/>
    <w:semiHidden/>
    <w:rsid w:val="009E08EE"/>
    <w:rPr>
      <w:rFonts w:asciiTheme="minorHAnsi" w:eastAsiaTheme="minorEastAsia" w:hAnsiTheme="minorHAnsi" w:cstheme="minorBidi"/>
      <w:b/>
      <w:bCs/>
      <w:kern w:val="2"/>
      <w:sz w:val="21"/>
      <w:szCs w:val="22"/>
    </w:rPr>
  </w:style>
  <w:style w:type="paragraph" w:customStyle="1" w:styleId="1">
    <w:name w:val="修订1"/>
    <w:hidden/>
    <w:uiPriority w:val="99"/>
    <w:semiHidden/>
    <w:qFormat/>
    <w:rsid w:val="009E08EE"/>
    <w:rPr>
      <w:rFonts w:asciiTheme="minorHAnsi" w:eastAsiaTheme="minorEastAsia" w:hAnsiTheme="minorHAnsi" w:cstheme="minorBidi"/>
      <w:kern w:val="2"/>
      <w:sz w:val="21"/>
      <w:szCs w:val="22"/>
    </w:rPr>
  </w:style>
  <w:style w:type="paragraph" w:customStyle="1" w:styleId="CM1">
    <w:name w:val="CM1"/>
    <w:basedOn w:val="a"/>
    <w:next w:val="a"/>
    <w:uiPriority w:val="99"/>
    <w:qFormat/>
    <w:rsid w:val="009E08EE"/>
    <w:pPr>
      <w:autoSpaceDE w:val="0"/>
      <w:autoSpaceDN w:val="0"/>
      <w:adjustRightInd w:val="0"/>
      <w:spacing w:line="468" w:lineRule="atLeast"/>
      <w:jc w:val="left"/>
    </w:pPr>
    <w:rPr>
      <w:rFonts w:ascii="宋体"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1916</Characters>
  <Application>Microsoft Office Word</Application>
  <DocSecurity>4</DocSecurity>
  <Lines>15</Lines>
  <Paragraphs>4</Paragraphs>
  <ScaleCrop>false</ScaleCrop>
  <Company>CNSTOCK</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yu2</dc:creator>
  <cp:lastModifiedBy>JonMMx 2000</cp:lastModifiedBy>
  <cp:revision>2</cp:revision>
  <cp:lastPrinted>2020-04-24T07:03:00Z</cp:lastPrinted>
  <dcterms:created xsi:type="dcterms:W3CDTF">2020-04-27T16:43:00Z</dcterms:created>
  <dcterms:modified xsi:type="dcterms:W3CDTF">2020-04-27T16:43:00Z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