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BA" w:rsidRPr="00F00F60" w:rsidRDefault="002C4CBA" w:rsidP="00F00F60">
      <w:pPr>
        <w:spacing w:line="360" w:lineRule="auto"/>
        <w:ind w:firstLineChars="50" w:firstLine="161"/>
        <w:jc w:val="center"/>
        <w:rPr>
          <w:rFonts w:ascii="Times New Roman" w:eastAsia="宋体" w:hAnsi="Times New Roman"/>
          <w:b/>
          <w:color w:val="000000" w:themeColor="text1"/>
          <w:sz w:val="32"/>
          <w:szCs w:val="32"/>
        </w:rPr>
      </w:pPr>
      <w:r w:rsidRPr="00F00F60">
        <w:rPr>
          <w:rFonts w:ascii="Times New Roman" w:eastAsia="宋体" w:hAnsi="Times New Roman" w:hint="eastAsia"/>
          <w:b/>
          <w:color w:val="000000" w:themeColor="text1"/>
          <w:sz w:val="32"/>
          <w:szCs w:val="32"/>
        </w:rPr>
        <w:t>上投摩根基金管理有限公司</w:t>
      </w:r>
      <w:r w:rsidR="005E088E" w:rsidRPr="00F00F60">
        <w:rPr>
          <w:rFonts w:ascii="Times New Roman" w:eastAsia="宋体" w:hAnsi="Times New Roman" w:hint="eastAsia"/>
          <w:b/>
          <w:color w:val="000000" w:themeColor="text1"/>
          <w:sz w:val="32"/>
          <w:szCs w:val="32"/>
        </w:rPr>
        <w:t>旗下</w:t>
      </w:r>
      <w:r w:rsidR="005E088E" w:rsidRPr="00F00F60">
        <w:rPr>
          <w:rFonts w:ascii="Times New Roman" w:eastAsia="宋体" w:hAnsi="Times New Roman"/>
          <w:b/>
          <w:color w:val="000000" w:themeColor="text1"/>
          <w:sz w:val="32"/>
          <w:szCs w:val="32"/>
        </w:rPr>
        <w:t>部分</w:t>
      </w:r>
      <w:r w:rsidR="005E088E" w:rsidRPr="00F00F60">
        <w:rPr>
          <w:rFonts w:ascii="Times New Roman" w:eastAsia="宋体" w:hAnsi="Times New Roman" w:hint="eastAsia"/>
          <w:b/>
          <w:color w:val="000000" w:themeColor="text1"/>
          <w:sz w:val="32"/>
          <w:szCs w:val="32"/>
        </w:rPr>
        <w:t>基金</w:t>
      </w:r>
    </w:p>
    <w:p w:rsidR="00BB3501" w:rsidRPr="00F00F60" w:rsidRDefault="002C4CBA" w:rsidP="00F00F60">
      <w:pPr>
        <w:spacing w:line="360" w:lineRule="auto"/>
        <w:ind w:firstLineChars="50" w:firstLine="161"/>
        <w:jc w:val="center"/>
        <w:rPr>
          <w:rFonts w:ascii="Times New Roman" w:eastAsia="宋体" w:hAnsi="Times New Roman"/>
          <w:b/>
          <w:color w:val="000000" w:themeColor="text1"/>
          <w:sz w:val="32"/>
          <w:szCs w:val="32"/>
        </w:rPr>
      </w:pPr>
      <w:r w:rsidRPr="00F00F60">
        <w:rPr>
          <w:rFonts w:ascii="Times New Roman" w:eastAsia="宋体" w:hAnsi="Times New Roman" w:hint="eastAsia"/>
          <w:b/>
          <w:color w:val="000000" w:themeColor="text1"/>
          <w:sz w:val="32"/>
          <w:szCs w:val="32"/>
        </w:rPr>
        <w:t>2</w:t>
      </w:r>
      <w:r w:rsidRPr="00F00F60">
        <w:rPr>
          <w:rFonts w:ascii="Times New Roman" w:eastAsia="宋体" w:hAnsi="Times New Roman"/>
          <w:b/>
          <w:color w:val="000000" w:themeColor="text1"/>
          <w:sz w:val="32"/>
          <w:szCs w:val="32"/>
        </w:rPr>
        <w:t>0</w:t>
      </w:r>
      <w:r w:rsidR="00E2038B">
        <w:rPr>
          <w:rFonts w:ascii="Times New Roman" w:eastAsia="宋体" w:hAnsi="Times New Roman"/>
          <w:b/>
          <w:color w:val="000000" w:themeColor="text1"/>
          <w:sz w:val="32"/>
          <w:szCs w:val="32"/>
        </w:rPr>
        <w:t>19</w:t>
      </w:r>
      <w:r w:rsidRPr="00F00F60">
        <w:rPr>
          <w:rFonts w:ascii="Times New Roman" w:eastAsia="宋体" w:hAnsi="Times New Roman" w:hint="eastAsia"/>
          <w:b/>
          <w:color w:val="000000" w:themeColor="text1"/>
          <w:sz w:val="32"/>
          <w:szCs w:val="32"/>
        </w:rPr>
        <w:t>年</w:t>
      </w:r>
      <w:r w:rsidR="008F6070">
        <w:rPr>
          <w:rFonts w:ascii="Times New Roman" w:eastAsia="宋体" w:hAnsi="Times New Roman" w:hint="eastAsia"/>
          <w:b/>
          <w:color w:val="000000" w:themeColor="text1"/>
          <w:sz w:val="32"/>
          <w:szCs w:val="32"/>
        </w:rPr>
        <w:t>年度</w:t>
      </w:r>
      <w:r w:rsidR="00BB3501" w:rsidRPr="00F00F60">
        <w:rPr>
          <w:rFonts w:ascii="Times New Roman" w:eastAsia="宋体" w:hAnsi="Times New Roman" w:hint="eastAsia"/>
          <w:b/>
          <w:color w:val="000000" w:themeColor="text1"/>
          <w:sz w:val="32"/>
          <w:szCs w:val="32"/>
        </w:rPr>
        <w:t>报告提示性公告</w:t>
      </w:r>
    </w:p>
    <w:p w:rsidR="00B16987" w:rsidRPr="00431516" w:rsidRDefault="00B16987" w:rsidP="00F00F60">
      <w:pPr>
        <w:spacing w:line="360" w:lineRule="auto"/>
        <w:ind w:firstLineChars="50" w:firstLine="120"/>
        <w:jc w:val="center"/>
        <w:rPr>
          <w:rFonts w:ascii="Times New Roman" w:eastAsia="宋体" w:hAnsi="Times New Roman"/>
          <w:b/>
          <w:color w:val="000000" w:themeColor="text1"/>
          <w:sz w:val="24"/>
          <w:szCs w:val="32"/>
        </w:rPr>
      </w:pPr>
    </w:p>
    <w:p w:rsidR="00BB3501" w:rsidRPr="00F00F60" w:rsidRDefault="00B16987" w:rsidP="00F00F60">
      <w:pPr>
        <w:spacing w:line="360" w:lineRule="auto"/>
        <w:ind w:firstLineChars="250" w:firstLine="600"/>
        <w:rPr>
          <w:rFonts w:ascii="Times New Roman" w:eastAsia="宋体" w:hAnsi="Times New Roman"/>
          <w:color w:val="000000" w:themeColor="text1"/>
          <w:sz w:val="24"/>
          <w:szCs w:val="32"/>
        </w:rPr>
      </w:pPr>
      <w:r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本公司董事会及董事保证基金</w:t>
      </w:r>
      <w:r w:rsidR="002C4CBA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20</w:t>
      </w:r>
      <w:r w:rsidR="00E2038B">
        <w:rPr>
          <w:rFonts w:ascii="Times New Roman" w:eastAsia="宋体" w:hAnsi="Times New Roman"/>
          <w:color w:val="000000" w:themeColor="text1"/>
          <w:sz w:val="24"/>
          <w:szCs w:val="32"/>
        </w:rPr>
        <w:t>19</w:t>
      </w:r>
      <w:bookmarkStart w:id="0" w:name="_GoBack"/>
      <w:bookmarkEnd w:id="0"/>
      <w:r w:rsidR="002C4CBA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年</w:t>
      </w:r>
      <w:r w:rsidR="008F6070">
        <w:rPr>
          <w:rFonts w:ascii="Times New Roman" w:eastAsia="宋体" w:hAnsi="Times New Roman" w:hint="eastAsia"/>
          <w:color w:val="000000" w:themeColor="text1"/>
          <w:sz w:val="24"/>
          <w:szCs w:val="32"/>
        </w:rPr>
        <w:t>年</w:t>
      </w:r>
      <w:r w:rsidR="002C4CBA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度报告</w:t>
      </w:r>
      <w:r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Pr="00F00F60" w:rsidRDefault="002C4CBA" w:rsidP="00F00F60">
      <w:pPr>
        <w:spacing w:line="360" w:lineRule="auto"/>
        <w:ind w:firstLineChars="250" w:firstLine="600"/>
        <w:rPr>
          <w:rFonts w:ascii="Times New Roman" w:eastAsia="宋体" w:hAnsi="Times New Roman"/>
          <w:color w:val="000000" w:themeColor="text1"/>
          <w:sz w:val="24"/>
          <w:szCs w:val="32"/>
        </w:rPr>
      </w:pPr>
      <w:r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上投摩根基金管理有限公司</w:t>
      </w:r>
      <w:r w:rsidR="00056EE0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旗下</w:t>
      </w:r>
      <w:r w:rsidR="00E46DC8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：</w:t>
      </w:r>
    </w:p>
    <w:tbl>
      <w:tblPr>
        <w:tblStyle w:val="ad"/>
        <w:tblW w:w="8784" w:type="dxa"/>
        <w:jc w:val="center"/>
        <w:tblLook w:val="04A0"/>
      </w:tblPr>
      <w:tblGrid>
        <w:gridCol w:w="988"/>
        <w:gridCol w:w="7796"/>
      </w:tblGrid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上投摩根中国优势证券投资基金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2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上投摩根货币市场基金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上投摩根阿尔法混合型证券投资基金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4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上投摩根双息平衡混合型证券投资基金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5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上投摩根成长先锋混合型证券投资基金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6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上投摩根内需动力混合型证券投资基金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7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上投摩根亚太优势混合型证券投资基金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8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上投摩根双核平衡混合型证券投资基金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9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上投摩根中小盘混合型证券投资基金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10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上投摩根纯债债券型证券投资基金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11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上投摩根行业轮动混合型证券投资基金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12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上投摩根大盘蓝筹股票型证券投资基金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13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上投摩根全球新兴市场混合型证券投资基金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14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上投摩根新兴动力混合型证券投资基金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15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上投摩根强化回报债券型证券投资基金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16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上投摩根健康品质生活混合型证券投资基金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17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上投摩根全球天然资源混合型证券投资基金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18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上投摩根分红添利债券型证券投资基金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19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上投摩根中证消费服务领先指数证券投资基金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20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上投摩根核心优选混合型证券投资基金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21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上投摩根智选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30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lastRenderedPageBreak/>
              <w:t>22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上投摩根成长动力混合型证券投资基金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23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上投摩根红利回报混合型证券投资基金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24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上投摩根转型动力灵活配置混合型证券投资基金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25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上投摩根双债增利债券型证券投资基金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26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上投摩根核心成长股票型证券投资基金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27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上投摩根民生需求股票型证券投资基金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28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上投摩根优信增利债券型证券投资基金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29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上投摩根纯债丰利债券型证券投资基金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30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上投摩根天添盈货币市场基金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31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上投摩根天添宝货币市场基金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32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上投摩根纯债添利债券型证券投资基金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33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上投摩根稳进回报混合型证券投资基金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34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上投摩根安全战略股票型证券投资基金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35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上投摩根卓越制造股票型证券投资基金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36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上投摩根整合驱动灵活配置混合型证券投资基金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37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上投摩根动态多因子策略灵活配置混合型证券投资基金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38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上投摩根智慧互联股票型证券投资基金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39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上投摩根科技前沿灵活配置混合型证券投资基金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40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上投摩根新兴服务股票型证券投资基金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41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上投摩根医疗健康股票型证券投资基金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42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上投摩根文体休闲灵活配置混合型证券投资基金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43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上投摩根中国生物医药混合型证券投资基金（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QDII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）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44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上投摩根策略精选灵活配置混合型证券投资基金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45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上投摩根安鑫回报混合型证券投资基金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46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上投摩根中国世纪灵活配置混合型证券投资基金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(QDII)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47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上投摩根全球多元配置证券投资基金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(QDII)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48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上投摩根安丰回报混合型证券投资基金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49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上投摩根安通回报混合型证券投资基金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lastRenderedPageBreak/>
              <w:t>50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上投摩根优选多因子股票型证券投资基金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51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上投摩根丰瑞债券型证券投资基金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52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上投摩根标普港股通低波红利指数型证券投资基金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53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上投摩根量化多因子灵活配置混合型证券投资基金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54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上投摩根岁岁益定期开放债券型证券投资基金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55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上投摩根安隆回报混合型证券投资基金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56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上投摩根创新商业模式灵活配置混合型证券投资基金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57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上投摩根富时发达市场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REITs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指数型证券投资基金（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QDII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）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58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上投摩根香港精选港股通混合型证券投资基金基金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59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上投摩根尚睿混合型基金中基金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(FOF)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60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上投摩根安裕回报混合型证券投资基金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61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上投摩根欧洲动力策略股票型证券投资基金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(QDII)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62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上投摩根核心精选股票型证券投资基金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63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上投摩根动力精选混合型证券投资基金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64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上投摩根领先优选混合型证券投资基金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65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上投摩根日本精选股票型证券投资基金（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QDII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）</w:t>
            </w:r>
          </w:p>
        </w:tc>
      </w:tr>
      <w:tr w:rsidR="002D074B" w:rsidRPr="00F00F60" w:rsidTr="00F00F60">
        <w:trPr>
          <w:jc w:val="center"/>
        </w:trPr>
        <w:tc>
          <w:tcPr>
            <w:tcW w:w="988" w:type="dxa"/>
          </w:tcPr>
          <w:p w:rsidR="002D074B" w:rsidRPr="00F00F60" w:rsidRDefault="002D074B" w:rsidP="00F00F60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6</w:t>
            </w:r>
            <w:r>
              <w:rPr>
                <w:rFonts w:ascii="Times New Roman" w:eastAsia="宋体" w:hAnsi="Times New Roman"/>
                <w:sz w:val="24"/>
              </w:rPr>
              <w:t>6</w:t>
            </w:r>
          </w:p>
        </w:tc>
        <w:tc>
          <w:tcPr>
            <w:tcW w:w="7796" w:type="dxa"/>
          </w:tcPr>
          <w:p w:rsidR="002D074B" w:rsidRPr="002D074B" w:rsidRDefault="002D074B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2D074B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上投摩根瑞利纯债债券型证券投资基金</w:t>
            </w:r>
          </w:p>
        </w:tc>
      </w:tr>
      <w:tr w:rsidR="002D074B" w:rsidRPr="00F00F60" w:rsidTr="00F00F60">
        <w:trPr>
          <w:jc w:val="center"/>
        </w:trPr>
        <w:tc>
          <w:tcPr>
            <w:tcW w:w="988" w:type="dxa"/>
          </w:tcPr>
          <w:p w:rsidR="002D074B" w:rsidRPr="00F00F60" w:rsidRDefault="002D074B" w:rsidP="00F00F60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6</w:t>
            </w:r>
            <w:r>
              <w:rPr>
                <w:rFonts w:ascii="Times New Roman" w:eastAsia="宋体" w:hAnsi="Times New Roman"/>
                <w:sz w:val="24"/>
              </w:rPr>
              <w:t>7</w:t>
            </w:r>
          </w:p>
        </w:tc>
        <w:tc>
          <w:tcPr>
            <w:tcW w:w="7796" w:type="dxa"/>
          </w:tcPr>
          <w:p w:rsidR="002D074B" w:rsidRPr="002D074B" w:rsidRDefault="002D074B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2D074B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上投摩根锦程均衡养老目标三年持有期混合型基金中基金（</w:t>
            </w:r>
            <w:r w:rsidRPr="002D074B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FOF</w:t>
            </w:r>
            <w:r w:rsidRPr="002D074B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）</w:t>
            </w:r>
          </w:p>
        </w:tc>
      </w:tr>
    </w:tbl>
    <w:p w:rsidR="00F00F60" w:rsidRPr="008F6070" w:rsidRDefault="00F00F60" w:rsidP="00F00F60">
      <w:pPr>
        <w:spacing w:line="360" w:lineRule="auto"/>
        <w:ind w:firstLineChars="250" w:firstLine="600"/>
        <w:rPr>
          <w:rFonts w:ascii="Times New Roman" w:eastAsia="宋体" w:hAnsi="Times New Roman"/>
          <w:color w:val="000000" w:themeColor="text1"/>
          <w:sz w:val="24"/>
          <w:szCs w:val="32"/>
        </w:rPr>
      </w:pPr>
    </w:p>
    <w:p w:rsidR="00BB3501" w:rsidRPr="00F00F60" w:rsidRDefault="00E46DC8" w:rsidP="00F00F60">
      <w:pPr>
        <w:spacing w:line="360" w:lineRule="auto"/>
        <w:ind w:firstLineChars="250" w:firstLine="600"/>
        <w:rPr>
          <w:rFonts w:ascii="Times New Roman" w:eastAsia="宋体" w:hAnsi="Times New Roman"/>
          <w:color w:val="000000" w:themeColor="text1"/>
          <w:sz w:val="24"/>
          <w:szCs w:val="32"/>
        </w:rPr>
      </w:pPr>
      <w:r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上述基金</w:t>
      </w:r>
      <w:r w:rsidR="00BB3501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的</w:t>
      </w:r>
      <w:r w:rsidR="004B1AE7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20</w:t>
      </w:r>
      <w:r w:rsidR="008F6070">
        <w:rPr>
          <w:rFonts w:ascii="Times New Roman" w:eastAsia="宋体" w:hAnsi="Times New Roman"/>
          <w:color w:val="000000" w:themeColor="text1"/>
          <w:sz w:val="24"/>
          <w:szCs w:val="32"/>
        </w:rPr>
        <w:t>19</w:t>
      </w:r>
      <w:r w:rsidR="004B1AE7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年</w:t>
      </w:r>
      <w:r w:rsidR="008F6070">
        <w:rPr>
          <w:rFonts w:ascii="Times New Roman" w:eastAsia="宋体" w:hAnsi="Times New Roman" w:hint="eastAsia"/>
          <w:color w:val="000000" w:themeColor="text1"/>
          <w:sz w:val="24"/>
          <w:szCs w:val="32"/>
        </w:rPr>
        <w:t>年</w:t>
      </w:r>
      <w:r w:rsidR="004B1AE7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度报告</w:t>
      </w:r>
      <w:r w:rsidR="00BB3501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全文</w:t>
      </w:r>
      <w:r w:rsidR="00BB3501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于</w:t>
      </w:r>
      <w:r w:rsidR="004B1AE7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2</w:t>
      </w:r>
      <w:r w:rsidR="004B1AE7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0</w:t>
      </w:r>
      <w:r w:rsidR="002D074B">
        <w:rPr>
          <w:rFonts w:ascii="Times New Roman" w:eastAsia="宋体" w:hAnsi="Times New Roman"/>
          <w:color w:val="000000" w:themeColor="text1"/>
          <w:sz w:val="24"/>
          <w:szCs w:val="32"/>
        </w:rPr>
        <w:t>20</w:t>
      </w:r>
      <w:r w:rsidR="00BB3501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年</w:t>
      </w:r>
      <w:r w:rsidR="00431516">
        <w:rPr>
          <w:rFonts w:ascii="Times New Roman" w:eastAsia="宋体" w:hAnsi="Times New Roman" w:hint="eastAsia"/>
          <w:color w:val="000000" w:themeColor="text1"/>
          <w:sz w:val="24"/>
          <w:szCs w:val="32"/>
        </w:rPr>
        <w:t>4</w:t>
      </w:r>
      <w:r w:rsidR="00BB3501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月</w:t>
      </w:r>
      <w:r w:rsidR="004B1AE7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2</w:t>
      </w:r>
      <w:r w:rsidR="008F6070">
        <w:rPr>
          <w:rFonts w:ascii="Times New Roman" w:eastAsia="宋体" w:hAnsi="Times New Roman"/>
          <w:color w:val="000000" w:themeColor="text1"/>
          <w:sz w:val="24"/>
          <w:szCs w:val="32"/>
        </w:rPr>
        <w:t>7</w:t>
      </w:r>
      <w:r w:rsidR="00BB3501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日在</w:t>
      </w:r>
      <w:r w:rsidR="00BB3501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本公司网站</w:t>
      </w:r>
      <w:r w:rsidR="004B1AE7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（</w:t>
      </w:r>
      <w:r w:rsidR="004B1AE7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www.cifm.com</w:t>
      </w:r>
      <w:r w:rsidR="004B1AE7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）</w:t>
      </w:r>
      <w:r w:rsidR="00BB3501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和中国证监会</w:t>
      </w:r>
      <w:r w:rsidR="00191702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基金</w:t>
      </w:r>
      <w:r w:rsidR="00BB3501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电子披露网站</w:t>
      </w:r>
      <w:r w:rsidR="000F07E6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（</w:t>
      </w:r>
      <w:hyperlink r:id="rId8" w:history="1">
        <w:r w:rsidR="000F07E6" w:rsidRPr="00F00F60">
          <w:rPr>
            <w:rStyle w:val="a7"/>
            <w:rFonts w:ascii="Times New Roman" w:eastAsia="宋体" w:hAnsi="Times New Roman" w:hint="eastAsia"/>
            <w:sz w:val="24"/>
            <w:szCs w:val="32"/>
          </w:rPr>
          <w:t>http://eid.csrc.gov.cn/fund</w:t>
        </w:r>
      </w:hyperlink>
      <w:r w:rsidR="000F07E6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）</w:t>
      </w:r>
      <w:r w:rsidR="00BB3501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披露，供投资者查阅。</w:t>
      </w:r>
      <w:r w:rsidR="00BB3501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如有疑问可拨打本公司客服电话（</w:t>
      </w:r>
      <w:r w:rsidR="006A09B5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4</w:t>
      </w:r>
      <w:r w:rsidR="006A09B5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00-889-4888</w:t>
      </w:r>
      <w:r w:rsidR="00BB3501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）咨询</w:t>
      </w:r>
      <w:r w:rsidR="00BB3501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。</w:t>
      </w:r>
    </w:p>
    <w:p w:rsidR="00BB3501" w:rsidRPr="00F00F60" w:rsidRDefault="00BB3501" w:rsidP="00F00F60">
      <w:pPr>
        <w:spacing w:line="360" w:lineRule="auto"/>
        <w:ind w:firstLineChars="200" w:firstLine="480"/>
        <w:rPr>
          <w:rFonts w:ascii="Times New Roman" w:eastAsia="宋体" w:hAnsi="Times New Roman"/>
          <w:color w:val="000000" w:themeColor="text1"/>
          <w:sz w:val="24"/>
          <w:szCs w:val="32"/>
        </w:rPr>
      </w:pPr>
      <w:r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本基金管</w:t>
      </w:r>
      <w:r w:rsidR="000C1032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理人承诺以诚实信用、勤勉尽责的原则管理和运用基金资产，但不保证</w:t>
      </w:r>
      <w:r w:rsidR="005A77EA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基金一定盈利，也不保证最低收益。请充分了解</w:t>
      </w:r>
      <w:r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基金的风险收益特征，审慎做出投资决定。</w:t>
      </w:r>
    </w:p>
    <w:p w:rsidR="00BB3501" w:rsidRPr="00F00F60" w:rsidRDefault="00BB3501" w:rsidP="00F00F60">
      <w:pPr>
        <w:spacing w:line="360" w:lineRule="auto"/>
        <w:ind w:firstLineChars="200" w:firstLine="480"/>
        <w:rPr>
          <w:rFonts w:ascii="Times New Roman" w:eastAsia="宋体" w:hAnsi="Times New Roman"/>
          <w:color w:val="000000" w:themeColor="text1"/>
          <w:sz w:val="24"/>
          <w:szCs w:val="32"/>
        </w:rPr>
      </w:pPr>
      <w:r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特此公告。</w:t>
      </w:r>
    </w:p>
    <w:p w:rsidR="00BB3501" w:rsidRPr="00F00F60" w:rsidRDefault="006A09B5" w:rsidP="00F00F60">
      <w:pPr>
        <w:spacing w:line="360" w:lineRule="auto"/>
        <w:ind w:firstLineChars="250" w:firstLine="600"/>
        <w:jc w:val="right"/>
        <w:rPr>
          <w:rFonts w:ascii="Times New Roman" w:eastAsia="宋体" w:hAnsi="Times New Roman"/>
          <w:color w:val="000000" w:themeColor="text1"/>
          <w:sz w:val="24"/>
          <w:szCs w:val="32"/>
        </w:rPr>
      </w:pPr>
      <w:r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上投摩根基金管理有限</w:t>
      </w:r>
      <w:r w:rsidR="00BB3501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公司</w:t>
      </w:r>
    </w:p>
    <w:p w:rsidR="00BB3501" w:rsidRPr="00F00F60" w:rsidRDefault="006A09B5" w:rsidP="00F00F60">
      <w:pPr>
        <w:spacing w:line="360" w:lineRule="auto"/>
        <w:ind w:firstLineChars="250" w:firstLine="600"/>
        <w:jc w:val="right"/>
        <w:rPr>
          <w:rFonts w:ascii="Times New Roman" w:eastAsia="宋体" w:hAnsi="Times New Roman"/>
          <w:color w:val="000000" w:themeColor="text1"/>
          <w:sz w:val="24"/>
          <w:szCs w:val="32"/>
        </w:rPr>
      </w:pPr>
      <w:r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2</w:t>
      </w:r>
      <w:r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0</w:t>
      </w:r>
      <w:r w:rsidR="002D074B">
        <w:rPr>
          <w:rFonts w:ascii="Times New Roman" w:eastAsia="宋体" w:hAnsi="Times New Roman"/>
          <w:color w:val="000000" w:themeColor="text1"/>
          <w:sz w:val="24"/>
          <w:szCs w:val="32"/>
        </w:rPr>
        <w:t>20</w:t>
      </w:r>
      <w:r w:rsidR="00BB3501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年</w:t>
      </w:r>
      <w:r w:rsidR="00431516">
        <w:rPr>
          <w:rFonts w:ascii="Times New Roman" w:eastAsia="宋体" w:hAnsi="Times New Roman"/>
          <w:color w:val="000000" w:themeColor="text1"/>
          <w:sz w:val="24"/>
          <w:szCs w:val="32"/>
        </w:rPr>
        <w:t>4</w:t>
      </w:r>
      <w:r w:rsidR="00BB3501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月</w:t>
      </w:r>
      <w:r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2</w:t>
      </w:r>
      <w:r w:rsidR="008F6070">
        <w:rPr>
          <w:rFonts w:ascii="Times New Roman" w:eastAsia="宋体" w:hAnsi="Times New Roman"/>
          <w:color w:val="000000" w:themeColor="text1"/>
          <w:sz w:val="24"/>
          <w:szCs w:val="32"/>
        </w:rPr>
        <w:t>7</w:t>
      </w:r>
      <w:r w:rsidR="00BB3501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日</w:t>
      </w:r>
    </w:p>
    <w:sectPr w:rsidR="00BB3501" w:rsidRPr="00F00F60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3BD" w:rsidRDefault="002343BD" w:rsidP="009A149B">
      <w:r>
        <w:separator/>
      </w:r>
    </w:p>
  </w:endnote>
  <w:endnote w:type="continuationSeparator" w:id="1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6088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E5068" w:rsidRPr="00BE506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6088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E5068" w:rsidRPr="00BE506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3BD" w:rsidRDefault="002343BD" w:rsidP="009A149B">
      <w:r>
        <w:separator/>
      </w:r>
    </w:p>
  </w:footnote>
  <w:footnote w:type="continuationSeparator" w:id="1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4CBA"/>
    <w:rsid w:val="002C5D36"/>
    <w:rsid w:val="002D074B"/>
    <w:rsid w:val="002E24D1"/>
    <w:rsid w:val="002E79D9"/>
    <w:rsid w:val="002E7B0A"/>
    <w:rsid w:val="002F2B53"/>
    <w:rsid w:val="00303860"/>
    <w:rsid w:val="0030733B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1516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1AE7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9B5"/>
    <w:rsid w:val="006A0BB0"/>
    <w:rsid w:val="006A72BD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0880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6070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5068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038B"/>
    <w:rsid w:val="00E32614"/>
    <w:rsid w:val="00E33250"/>
    <w:rsid w:val="00E3526B"/>
    <w:rsid w:val="00E46DC8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0F60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88E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F00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2DEB6-1BAA-4DA6-9279-750FB591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1678</Characters>
  <Application>Microsoft Office Word</Application>
  <DocSecurity>4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2020-04-26T16:15:00Z</dcterms:created>
  <dcterms:modified xsi:type="dcterms:W3CDTF">2020-04-26T16:15:00Z</dcterms:modified>
</cp:coreProperties>
</file>