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43" w:rsidRPr="001422D5" w:rsidRDefault="001F421B" w:rsidP="001F421B">
      <w:pPr>
        <w:jc w:val="center"/>
        <w:rPr>
          <w:rFonts w:ascii="宋体" w:hAnsi="宋体"/>
          <w:b/>
          <w:bCs/>
          <w:sz w:val="28"/>
          <w:szCs w:val="28"/>
        </w:rPr>
      </w:pPr>
      <w:r w:rsidRPr="001422D5">
        <w:rPr>
          <w:rFonts w:ascii="宋体" w:hAnsi="宋体" w:hint="eastAsia"/>
          <w:b/>
          <w:bCs/>
          <w:sz w:val="28"/>
          <w:szCs w:val="28"/>
        </w:rPr>
        <w:t>华融基金管理有限公司关于</w:t>
      </w:r>
      <w:r w:rsidR="00EB7343" w:rsidRPr="001422D5">
        <w:rPr>
          <w:rFonts w:ascii="宋体" w:hAnsi="宋体" w:hint="eastAsia"/>
          <w:b/>
          <w:bCs/>
          <w:sz w:val="28"/>
          <w:szCs w:val="28"/>
        </w:rPr>
        <w:t>新增</w:t>
      </w:r>
      <w:r w:rsidRPr="001422D5">
        <w:rPr>
          <w:rFonts w:ascii="宋体" w:hAnsi="宋体" w:hint="eastAsia"/>
          <w:b/>
          <w:bCs/>
          <w:sz w:val="28"/>
          <w:szCs w:val="28"/>
        </w:rPr>
        <w:t>华融证券股份有限公司</w:t>
      </w:r>
    </w:p>
    <w:p w:rsidR="001F421B" w:rsidRPr="001422D5" w:rsidRDefault="001F421B" w:rsidP="001F421B">
      <w:pPr>
        <w:jc w:val="center"/>
        <w:rPr>
          <w:rFonts w:ascii="宋体" w:hAnsi="宋体"/>
          <w:b/>
          <w:bCs/>
          <w:sz w:val="28"/>
          <w:szCs w:val="28"/>
        </w:rPr>
      </w:pPr>
      <w:r w:rsidRPr="001422D5">
        <w:rPr>
          <w:rFonts w:ascii="宋体" w:hAnsi="宋体" w:hint="eastAsia"/>
          <w:b/>
          <w:bCs/>
          <w:sz w:val="28"/>
          <w:szCs w:val="28"/>
        </w:rPr>
        <w:t>为</w:t>
      </w:r>
      <w:r w:rsidR="00EB7343" w:rsidRPr="001422D5">
        <w:rPr>
          <w:rFonts w:ascii="宋体" w:hAnsi="宋体" w:hint="eastAsia"/>
          <w:b/>
          <w:bCs/>
          <w:sz w:val="28"/>
          <w:szCs w:val="28"/>
        </w:rPr>
        <w:t>基金</w:t>
      </w:r>
      <w:r w:rsidRPr="001422D5">
        <w:rPr>
          <w:rFonts w:ascii="宋体" w:hAnsi="宋体" w:hint="eastAsia"/>
          <w:b/>
          <w:bCs/>
          <w:sz w:val="28"/>
          <w:szCs w:val="28"/>
        </w:rPr>
        <w:t>销售机构的公告</w:t>
      </w:r>
    </w:p>
    <w:p w:rsidR="001F421B" w:rsidRPr="001422D5" w:rsidRDefault="001F421B" w:rsidP="00A70ECB">
      <w:pPr>
        <w:spacing w:afterLines="50" w:line="360" w:lineRule="auto"/>
        <w:ind w:firstLineChars="200" w:firstLine="480"/>
        <w:rPr>
          <w:rFonts w:ascii="宋体" w:hAnsi="宋体"/>
          <w:sz w:val="24"/>
        </w:rPr>
      </w:pPr>
      <w:bookmarkStart w:id="0" w:name="_GoBack"/>
      <w:bookmarkEnd w:id="0"/>
      <w:r w:rsidRPr="001422D5">
        <w:rPr>
          <w:rFonts w:ascii="宋体" w:hAnsi="宋体" w:hint="eastAsia"/>
          <w:sz w:val="24"/>
        </w:rPr>
        <w:t>根据华融基金管理有限公司（以下简称“本公司”）与华融证券股份有限公司（以下简称“华融证券”）签署的销售服务协议，自2020年4月</w:t>
      </w:r>
      <w:r w:rsidR="00B23B09" w:rsidRPr="001422D5">
        <w:rPr>
          <w:rFonts w:ascii="宋体" w:hAnsi="宋体" w:hint="eastAsia"/>
          <w:sz w:val="24"/>
        </w:rPr>
        <w:t>27</w:t>
      </w:r>
      <w:r w:rsidRPr="001422D5">
        <w:rPr>
          <w:rFonts w:ascii="宋体" w:hAnsi="宋体" w:hint="eastAsia"/>
          <w:sz w:val="24"/>
        </w:rPr>
        <w:t>日</w:t>
      </w:r>
      <w:r w:rsidR="00EB7343" w:rsidRPr="001422D5">
        <w:rPr>
          <w:rFonts w:ascii="宋体" w:hAnsi="宋体" w:hint="eastAsia"/>
          <w:sz w:val="24"/>
        </w:rPr>
        <w:t>起</w:t>
      </w:r>
      <w:r w:rsidRPr="001422D5">
        <w:rPr>
          <w:rFonts w:ascii="宋体" w:hAnsi="宋体" w:hint="eastAsia"/>
          <w:sz w:val="24"/>
        </w:rPr>
        <w:t>，本公司旗下部分基金在华融证券开通申购、赎回</w:t>
      </w:r>
      <w:r w:rsidR="00C534F2" w:rsidRPr="001422D5">
        <w:rPr>
          <w:rFonts w:ascii="宋体" w:hAnsi="宋体" w:hint="eastAsia"/>
          <w:sz w:val="24"/>
        </w:rPr>
        <w:t>等业务</w:t>
      </w:r>
      <w:r w:rsidR="00855F01" w:rsidRPr="001422D5">
        <w:rPr>
          <w:rFonts w:ascii="宋体" w:hAnsi="宋体" w:hint="eastAsia"/>
          <w:sz w:val="24"/>
        </w:rPr>
        <w:t>。具体情况如下：</w:t>
      </w:r>
    </w:p>
    <w:p w:rsidR="00855F01" w:rsidRPr="001422D5" w:rsidRDefault="00C534F2" w:rsidP="00A70ECB">
      <w:pPr>
        <w:spacing w:afterLines="50" w:line="360" w:lineRule="auto"/>
        <w:ind w:firstLineChars="201" w:firstLine="484"/>
        <w:rPr>
          <w:rFonts w:ascii="宋体" w:hAnsi="宋体"/>
          <w:b/>
          <w:sz w:val="24"/>
        </w:rPr>
      </w:pPr>
      <w:r w:rsidRPr="001422D5">
        <w:rPr>
          <w:rFonts w:ascii="宋体" w:hAnsi="宋体" w:hint="eastAsia"/>
          <w:b/>
          <w:sz w:val="24"/>
        </w:rPr>
        <w:t>一、</w:t>
      </w:r>
      <w:r w:rsidR="00043E3C" w:rsidRPr="001422D5">
        <w:rPr>
          <w:rFonts w:ascii="宋体" w:hAnsi="宋体" w:hint="eastAsia"/>
          <w:b/>
          <w:sz w:val="24"/>
        </w:rPr>
        <w:t>适用基金及业务范围</w:t>
      </w:r>
    </w:p>
    <w:tbl>
      <w:tblPr>
        <w:tblStyle w:val="a5"/>
        <w:tblW w:w="8577" w:type="dxa"/>
        <w:tblInd w:w="-34" w:type="dxa"/>
        <w:tblLook w:val="04A0"/>
      </w:tblPr>
      <w:tblGrid>
        <w:gridCol w:w="3794"/>
        <w:gridCol w:w="1275"/>
        <w:gridCol w:w="1452"/>
        <w:gridCol w:w="958"/>
        <w:gridCol w:w="1098"/>
      </w:tblGrid>
      <w:tr w:rsidR="00C534F2" w:rsidRPr="001422D5" w:rsidTr="001422D5">
        <w:tc>
          <w:tcPr>
            <w:tcW w:w="3794" w:type="dxa"/>
            <w:noWrap/>
            <w:vAlign w:val="center"/>
            <w:hideMark/>
          </w:tcPr>
          <w:p w:rsidR="00C534F2" w:rsidRPr="001422D5" w:rsidRDefault="00C534F2" w:rsidP="00C534F2">
            <w:pPr>
              <w:widowControl/>
              <w:spacing w:line="360" w:lineRule="atLeast"/>
              <w:jc w:val="center"/>
              <w:rPr>
                <w:rFonts w:ascii="宋体" w:hAnsi="宋体"/>
                <w:sz w:val="24"/>
              </w:rPr>
            </w:pPr>
            <w:r w:rsidRPr="001422D5">
              <w:rPr>
                <w:rFonts w:ascii="宋体" w:hAnsi="宋体" w:hint="eastAsia"/>
                <w:sz w:val="24"/>
              </w:rPr>
              <w:t>基金名称</w:t>
            </w:r>
          </w:p>
        </w:tc>
        <w:tc>
          <w:tcPr>
            <w:tcW w:w="1275" w:type="dxa"/>
            <w:noWrap/>
            <w:vAlign w:val="center"/>
            <w:hideMark/>
          </w:tcPr>
          <w:p w:rsidR="00C534F2" w:rsidRPr="001422D5" w:rsidRDefault="00C534F2" w:rsidP="00C534F2">
            <w:pPr>
              <w:widowControl/>
              <w:spacing w:line="360" w:lineRule="atLeast"/>
              <w:jc w:val="center"/>
              <w:rPr>
                <w:rFonts w:ascii="宋体" w:hAnsi="宋体"/>
                <w:sz w:val="24"/>
              </w:rPr>
            </w:pPr>
            <w:r w:rsidRPr="001422D5">
              <w:rPr>
                <w:rFonts w:ascii="宋体" w:hAnsi="宋体" w:hint="eastAsia"/>
                <w:sz w:val="24"/>
              </w:rPr>
              <w:t>基金代码</w:t>
            </w:r>
          </w:p>
        </w:tc>
        <w:tc>
          <w:tcPr>
            <w:tcW w:w="1452" w:type="dxa"/>
            <w:vAlign w:val="center"/>
          </w:tcPr>
          <w:p w:rsidR="00C534F2" w:rsidRPr="001422D5" w:rsidRDefault="00C534F2" w:rsidP="00C534F2">
            <w:pPr>
              <w:widowControl/>
              <w:spacing w:line="360" w:lineRule="atLeast"/>
              <w:jc w:val="center"/>
              <w:rPr>
                <w:rFonts w:ascii="宋体" w:hAnsi="宋体"/>
                <w:sz w:val="24"/>
              </w:rPr>
            </w:pPr>
            <w:r w:rsidRPr="001422D5">
              <w:rPr>
                <w:rFonts w:ascii="宋体" w:hAnsi="宋体" w:hint="eastAsia"/>
                <w:sz w:val="24"/>
              </w:rPr>
              <w:t>是否开通申购、赎回</w:t>
            </w:r>
          </w:p>
        </w:tc>
        <w:tc>
          <w:tcPr>
            <w:tcW w:w="958" w:type="dxa"/>
            <w:vAlign w:val="center"/>
          </w:tcPr>
          <w:p w:rsidR="00C534F2" w:rsidRPr="001422D5" w:rsidRDefault="00C534F2" w:rsidP="00C534F2">
            <w:pPr>
              <w:widowControl/>
              <w:spacing w:line="360" w:lineRule="atLeast"/>
              <w:jc w:val="center"/>
              <w:rPr>
                <w:rFonts w:ascii="宋体" w:hAnsi="宋体"/>
                <w:sz w:val="24"/>
              </w:rPr>
            </w:pPr>
            <w:r w:rsidRPr="001422D5">
              <w:rPr>
                <w:rFonts w:ascii="宋体" w:hAnsi="宋体" w:hint="eastAsia"/>
                <w:sz w:val="24"/>
              </w:rPr>
              <w:t>是否开通转换</w:t>
            </w:r>
          </w:p>
        </w:tc>
        <w:tc>
          <w:tcPr>
            <w:tcW w:w="1098" w:type="dxa"/>
            <w:vAlign w:val="center"/>
          </w:tcPr>
          <w:p w:rsidR="00C534F2" w:rsidRPr="001422D5" w:rsidRDefault="00C534F2" w:rsidP="00C534F2">
            <w:pPr>
              <w:widowControl/>
              <w:spacing w:line="360" w:lineRule="atLeast"/>
              <w:jc w:val="center"/>
              <w:rPr>
                <w:rFonts w:ascii="宋体" w:hAnsi="宋体"/>
                <w:sz w:val="24"/>
              </w:rPr>
            </w:pPr>
            <w:r w:rsidRPr="001422D5">
              <w:rPr>
                <w:rFonts w:ascii="宋体" w:hAnsi="宋体" w:hint="eastAsia"/>
                <w:sz w:val="24"/>
              </w:rPr>
              <w:t>是否开通定投</w:t>
            </w:r>
          </w:p>
        </w:tc>
      </w:tr>
      <w:tr w:rsidR="00C534F2" w:rsidRPr="001422D5" w:rsidTr="001422D5">
        <w:tc>
          <w:tcPr>
            <w:tcW w:w="3794" w:type="dxa"/>
            <w:noWrap/>
            <w:vAlign w:val="center"/>
            <w:hideMark/>
          </w:tcPr>
          <w:p w:rsidR="00C534F2" w:rsidRPr="001422D5" w:rsidRDefault="00C534F2" w:rsidP="00C534F2">
            <w:pPr>
              <w:widowControl/>
              <w:spacing w:line="360" w:lineRule="atLeast"/>
              <w:jc w:val="center"/>
              <w:rPr>
                <w:rFonts w:ascii="宋体" w:hAnsi="宋体"/>
                <w:sz w:val="24"/>
              </w:rPr>
            </w:pPr>
            <w:r w:rsidRPr="001422D5">
              <w:rPr>
                <w:rFonts w:ascii="宋体" w:hAnsi="宋体" w:hint="eastAsia"/>
                <w:sz w:val="24"/>
              </w:rPr>
              <w:t>华融现金增利货币市场基金</w:t>
            </w:r>
          </w:p>
        </w:tc>
        <w:tc>
          <w:tcPr>
            <w:tcW w:w="1275" w:type="dxa"/>
            <w:noWrap/>
            <w:vAlign w:val="center"/>
            <w:hideMark/>
          </w:tcPr>
          <w:p w:rsidR="00C534F2" w:rsidRPr="001422D5" w:rsidRDefault="00C534F2" w:rsidP="00C534F2">
            <w:pPr>
              <w:widowControl/>
              <w:spacing w:line="360" w:lineRule="atLeast"/>
              <w:jc w:val="center"/>
              <w:rPr>
                <w:rFonts w:ascii="宋体" w:hAnsi="宋体"/>
                <w:sz w:val="24"/>
              </w:rPr>
            </w:pPr>
            <w:r w:rsidRPr="001422D5">
              <w:rPr>
                <w:rFonts w:ascii="Arial" w:hAnsi="Arial" w:cs="Arial" w:hint="eastAsia"/>
                <w:sz w:val="24"/>
                <w:shd w:val="clear" w:color="auto" w:fill="FFFFFF"/>
              </w:rPr>
              <w:t>C</w:t>
            </w:r>
            <w:r w:rsidRPr="001422D5">
              <w:rPr>
                <w:rFonts w:ascii="Arial" w:hAnsi="Arial" w:cs="Arial"/>
                <w:sz w:val="24"/>
                <w:shd w:val="clear" w:color="auto" w:fill="FFFFFF"/>
              </w:rPr>
              <w:t>类</w:t>
            </w:r>
            <w:r w:rsidRPr="001422D5">
              <w:rPr>
                <w:rFonts w:ascii="Arial" w:hAnsi="Arial" w:cs="Arial" w:hint="eastAsia"/>
                <w:sz w:val="24"/>
                <w:shd w:val="clear" w:color="auto" w:fill="FFFFFF"/>
              </w:rPr>
              <w:t>000787</w:t>
            </w:r>
          </w:p>
        </w:tc>
        <w:tc>
          <w:tcPr>
            <w:tcW w:w="1452" w:type="dxa"/>
            <w:vAlign w:val="center"/>
          </w:tcPr>
          <w:p w:rsidR="00C534F2" w:rsidRPr="001422D5" w:rsidRDefault="00C534F2" w:rsidP="00C534F2">
            <w:pPr>
              <w:widowControl/>
              <w:spacing w:line="360" w:lineRule="atLeast"/>
              <w:jc w:val="center"/>
              <w:rPr>
                <w:rFonts w:ascii="Arial" w:hAnsi="Arial" w:cs="Arial"/>
                <w:sz w:val="24"/>
                <w:shd w:val="clear" w:color="auto" w:fill="FFFFFF"/>
              </w:rPr>
            </w:pPr>
            <w:r w:rsidRPr="001422D5">
              <w:rPr>
                <w:rFonts w:ascii="Arial" w:hAnsi="Arial" w:cs="Arial" w:hint="eastAsia"/>
                <w:sz w:val="24"/>
                <w:shd w:val="clear" w:color="auto" w:fill="FFFFFF"/>
              </w:rPr>
              <w:t>是</w:t>
            </w:r>
          </w:p>
        </w:tc>
        <w:tc>
          <w:tcPr>
            <w:tcW w:w="958" w:type="dxa"/>
            <w:vAlign w:val="center"/>
          </w:tcPr>
          <w:p w:rsidR="00C534F2" w:rsidRPr="001422D5" w:rsidRDefault="00C534F2" w:rsidP="00C534F2">
            <w:pPr>
              <w:widowControl/>
              <w:spacing w:line="360" w:lineRule="atLeast"/>
              <w:jc w:val="center"/>
              <w:rPr>
                <w:rFonts w:ascii="Arial" w:hAnsi="Arial" w:cs="Arial"/>
                <w:sz w:val="24"/>
                <w:shd w:val="clear" w:color="auto" w:fill="FFFFFF"/>
              </w:rPr>
            </w:pPr>
            <w:r w:rsidRPr="001422D5">
              <w:rPr>
                <w:rFonts w:ascii="Arial" w:hAnsi="Arial" w:cs="Arial" w:hint="eastAsia"/>
                <w:sz w:val="24"/>
                <w:shd w:val="clear" w:color="auto" w:fill="FFFFFF"/>
              </w:rPr>
              <w:t>否</w:t>
            </w:r>
          </w:p>
        </w:tc>
        <w:tc>
          <w:tcPr>
            <w:tcW w:w="1098" w:type="dxa"/>
            <w:vAlign w:val="center"/>
          </w:tcPr>
          <w:p w:rsidR="00C534F2" w:rsidRPr="001422D5" w:rsidRDefault="00C534F2" w:rsidP="00C534F2">
            <w:pPr>
              <w:widowControl/>
              <w:spacing w:line="360" w:lineRule="atLeast"/>
              <w:jc w:val="center"/>
              <w:rPr>
                <w:rFonts w:ascii="Arial" w:hAnsi="Arial" w:cs="Arial"/>
                <w:sz w:val="24"/>
                <w:shd w:val="clear" w:color="auto" w:fill="FFFFFF"/>
              </w:rPr>
            </w:pPr>
            <w:r w:rsidRPr="001422D5">
              <w:rPr>
                <w:rFonts w:ascii="Arial" w:hAnsi="Arial" w:cs="Arial" w:hint="eastAsia"/>
                <w:sz w:val="24"/>
                <w:shd w:val="clear" w:color="auto" w:fill="FFFFFF"/>
              </w:rPr>
              <w:t>否</w:t>
            </w:r>
          </w:p>
        </w:tc>
      </w:tr>
      <w:tr w:rsidR="00C534F2" w:rsidRPr="001422D5" w:rsidTr="001422D5">
        <w:tc>
          <w:tcPr>
            <w:tcW w:w="3794" w:type="dxa"/>
            <w:noWrap/>
            <w:vAlign w:val="center"/>
          </w:tcPr>
          <w:p w:rsidR="00C534F2" w:rsidRPr="001422D5" w:rsidRDefault="00C534F2" w:rsidP="00C534F2">
            <w:pPr>
              <w:widowControl/>
              <w:spacing w:line="360" w:lineRule="atLeast"/>
              <w:jc w:val="center"/>
              <w:rPr>
                <w:rFonts w:ascii="宋体" w:hAnsi="宋体"/>
                <w:sz w:val="24"/>
              </w:rPr>
            </w:pPr>
            <w:r w:rsidRPr="001422D5">
              <w:rPr>
                <w:rFonts w:ascii="宋体" w:hAnsi="宋体" w:hint="eastAsia"/>
                <w:sz w:val="24"/>
              </w:rPr>
              <w:t>华融新锐灵活配置混合型证券投资基金</w:t>
            </w:r>
          </w:p>
        </w:tc>
        <w:tc>
          <w:tcPr>
            <w:tcW w:w="1275" w:type="dxa"/>
            <w:noWrap/>
            <w:vAlign w:val="center"/>
          </w:tcPr>
          <w:p w:rsidR="00C534F2" w:rsidRPr="001422D5" w:rsidRDefault="00C534F2" w:rsidP="00C534F2">
            <w:pPr>
              <w:widowControl/>
              <w:spacing w:line="360" w:lineRule="atLeast"/>
              <w:jc w:val="center"/>
              <w:rPr>
                <w:rFonts w:ascii="Arial" w:hAnsi="Arial" w:cs="Arial"/>
                <w:sz w:val="24"/>
                <w:shd w:val="clear" w:color="auto" w:fill="FFFFFF"/>
              </w:rPr>
            </w:pPr>
            <w:r w:rsidRPr="001422D5">
              <w:rPr>
                <w:rFonts w:ascii="Arial" w:hAnsi="Arial" w:cs="Arial" w:hint="eastAsia"/>
                <w:sz w:val="24"/>
                <w:shd w:val="clear" w:color="auto" w:fill="FFFFFF"/>
              </w:rPr>
              <w:t>001068</w:t>
            </w:r>
          </w:p>
        </w:tc>
        <w:tc>
          <w:tcPr>
            <w:tcW w:w="1452" w:type="dxa"/>
            <w:vAlign w:val="center"/>
          </w:tcPr>
          <w:p w:rsidR="00C534F2" w:rsidRPr="001422D5" w:rsidRDefault="00C534F2" w:rsidP="00C534F2">
            <w:pPr>
              <w:widowControl/>
              <w:spacing w:line="360" w:lineRule="atLeast"/>
              <w:jc w:val="center"/>
              <w:rPr>
                <w:rFonts w:ascii="Arial" w:hAnsi="Arial" w:cs="Arial"/>
                <w:sz w:val="24"/>
                <w:shd w:val="clear" w:color="auto" w:fill="FFFFFF"/>
              </w:rPr>
            </w:pPr>
            <w:r w:rsidRPr="001422D5">
              <w:rPr>
                <w:rFonts w:ascii="Arial" w:hAnsi="Arial" w:cs="Arial" w:hint="eastAsia"/>
                <w:sz w:val="24"/>
                <w:shd w:val="clear" w:color="auto" w:fill="FFFFFF"/>
              </w:rPr>
              <w:t>是</w:t>
            </w:r>
          </w:p>
        </w:tc>
        <w:tc>
          <w:tcPr>
            <w:tcW w:w="958" w:type="dxa"/>
            <w:vAlign w:val="center"/>
          </w:tcPr>
          <w:p w:rsidR="00C534F2" w:rsidRPr="001422D5" w:rsidRDefault="00C534F2" w:rsidP="00C534F2">
            <w:pPr>
              <w:widowControl/>
              <w:spacing w:line="360" w:lineRule="atLeast"/>
              <w:jc w:val="center"/>
              <w:rPr>
                <w:rFonts w:ascii="Arial" w:hAnsi="Arial" w:cs="Arial"/>
                <w:sz w:val="24"/>
                <w:shd w:val="clear" w:color="auto" w:fill="FFFFFF"/>
              </w:rPr>
            </w:pPr>
            <w:r w:rsidRPr="001422D5">
              <w:rPr>
                <w:rFonts w:ascii="Arial" w:hAnsi="Arial" w:cs="Arial" w:hint="eastAsia"/>
                <w:sz w:val="24"/>
                <w:shd w:val="clear" w:color="auto" w:fill="FFFFFF"/>
              </w:rPr>
              <w:t>是</w:t>
            </w:r>
          </w:p>
        </w:tc>
        <w:tc>
          <w:tcPr>
            <w:tcW w:w="1098" w:type="dxa"/>
            <w:vAlign w:val="center"/>
          </w:tcPr>
          <w:p w:rsidR="00C534F2" w:rsidRPr="001422D5" w:rsidRDefault="00C534F2" w:rsidP="00C534F2">
            <w:pPr>
              <w:widowControl/>
              <w:spacing w:line="360" w:lineRule="atLeast"/>
              <w:jc w:val="center"/>
              <w:rPr>
                <w:rFonts w:ascii="Arial" w:hAnsi="Arial" w:cs="Arial"/>
                <w:sz w:val="24"/>
                <w:shd w:val="clear" w:color="auto" w:fill="FFFFFF"/>
              </w:rPr>
            </w:pPr>
            <w:r w:rsidRPr="001422D5">
              <w:rPr>
                <w:rFonts w:ascii="Arial" w:hAnsi="Arial" w:cs="Arial" w:hint="eastAsia"/>
                <w:sz w:val="24"/>
                <w:shd w:val="clear" w:color="auto" w:fill="FFFFFF"/>
              </w:rPr>
              <w:t>是</w:t>
            </w:r>
          </w:p>
        </w:tc>
      </w:tr>
      <w:tr w:rsidR="00C534F2" w:rsidRPr="001422D5" w:rsidTr="001422D5">
        <w:tc>
          <w:tcPr>
            <w:tcW w:w="3794" w:type="dxa"/>
            <w:noWrap/>
            <w:vAlign w:val="center"/>
          </w:tcPr>
          <w:p w:rsidR="00C534F2" w:rsidRPr="001422D5" w:rsidRDefault="00C534F2" w:rsidP="00C534F2">
            <w:pPr>
              <w:widowControl/>
              <w:spacing w:line="360" w:lineRule="atLeast"/>
              <w:jc w:val="center"/>
              <w:rPr>
                <w:rFonts w:ascii="宋体" w:hAnsi="宋体"/>
                <w:sz w:val="24"/>
              </w:rPr>
            </w:pPr>
            <w:r w:rsidRPr="001422D5">
              <w:rPr>
                <w:rFonts w:ascii="宋体" w:hAnsi="宋体" w:hint="eastAsia"/>
                <w:sz w:val="24"/>
              </w:rPr>
              <w:t>华融新利灵活配置混合型证券投资基金</w:t>
            </w:r>
          </w:p>
        </w:tc>
        <w:tc>
          <w:tcPr>
            <w:tcW w:w="1275" w:type="dxa"/>
            <w:noWrap/>
            <w:vAlign w:val="center"/>
          </w:tcPr>
          <w:p w:rsidR="00C534F2" w:rsidRPr="001422D5" w:rsidRDefault="00C534F2" w:rsidP="00C534F2">
            <w:pPr>
              <w:widowControl/>
              <w:spacing w:line="360" w:lineRule="atLeast"/>
              <w:jc w:val="center"/>
              <w:rPr>
                <w:rFonts w:ascii="Arial" w:hAnsi="Arial" w:cs="Arial"/>
                <w:sz w:val="24"/>
                <w:shd w:val="clear" w:color="auto" w:fill="FFFFFF"/>
              </w:rPr>
            </w:pPr>
            <w:r w:rsidRPr="001422D5">
              <w:rPr>
                <w:rFonts w:ascii="Arial" w:hAnsi="Arial" w:cs="Arial" w:hint="eastAsia"/>
                <w:sz w:val="24"/>
                <w:shd w:val="clear" w:color="auto" w:fill="FFFFFF"/>
              </w:rPr>
              <w:t>001797</w:t>
            </w:r>
          </w:p>
        </w:tc>
        <w:tc>
          <w:tcPr>
            <w:tcW w:w="1452" w:type="dxa"/>
            <w:vAlign w:val="center"/>
          </w:tcPr>
          <w:p w:rsidR="00C534F2" w:rsidRPr="001422D5" w:rsidRDefault="00C534F2" w:rsidP="00C534F2">
            <w:pPr>
              <w:widowControl/>
              <w:spacing w:line="360" w:lineRule="atLeast"/>
              <w:jc w:val="center"/>
              <w:rPr>
                <w:rFonts w:ascii="Arial" w:hAnsi="Arial" w:cs="Arial"/>
                <w:sz w:val="24"/>
                <w:shd w:val="clear" w:color="auto" w:fill="FFFFFF"/>
              </w:rPr>
            </w:pPr>
            <w:r w:rsidRPr="001422D5">
              <w:rPr>
                <w:rFonts w:ascii="Arial" w:hAnsi="Arial" w:cs="Arial" w:hint="eastAsia"/>
                <w:sz w:val="24"/>
                <w:shd w:val="clear" w:color="auto" w:fill="FFFFFF"/>
              </w:rPr>
              <w:t>是</w:t>
            </w:r>
          </w:p>
        </w:tc>
        <w:tc>
          <w:tcPr>
            <w:tcW w:w="958" w:type="dxa"/>
            <w:vAlign w:val="center"/>
          </w:tcPr>
          <w:p w:rsidR="00C534F2" w:rsidRPr="001422D5" w:rsidRDefault="00C534F2" w:rsidP="00C534F2">
            <w:pPr>
              <w:widowControl/>
              <w:spacing w:line="360" w:lineRule="atLeast"/>
              <w:jc w:val="center"/>
              <w:rPr>
                <w:rFonts w:ascii="Arial" w:hAnsi="Arial" w:cs="Arial"/>
                <w:sz w:val="24"/>
                <w:shd w:val="clear" w:color="auto" w:fill="FFFFFF"/>
              </w:rPr>
            </w:pPr>
            <w:r w:rsidRPr="001422D5">
              <w:rPr>
                <w:rFonts w:ascii="Arial" w:hAnsi="Arial" w:cs="Arial" w:hint="eastAsia"/>
                <w:sz w:val="24"/>
                <w:shd w:val="clear" w:color="auto" w:fill="FFFFFF"/>
              </w:rPr>
              <w:t>是</w:t>
            </w:r>
          </w:p>
        </w:tc>
        <w:tc>
          <w:tcPr>
            <w:tcW w:w="1098" w:type="dxa"/>
            <w:vAlign w:val="center"/>
          </w:tcPr>
          <w:p w:rsidR="00C534F2" w:rsidRPr="001422D5" w:rsidRDefault="00C534F2" w:rsidP="00C534F2">
            <w:pPr>
              <w:widowControl/>
              <w:spacing w:line="360" w:lineRule="atLeast"/>
              <w:jc w:val="center"/>
              <w:rPr>
                <w:rFonts w:ascii="Arial" w:hAnsi="Arial" w:cs="Arial"/>
                <w:sz w:val="24"/>
                <w:shd w:val="clear" w:color="auto" w:fill="FFFFFF"/>
              </w:rPr>
            </w:pPr>
            <w:r w:rsidRPr="001422D5">
              <w:rPr>
                <w:rFonts w:ascii="Arial" w:hAnsi="Arial" w:cs="Arial" w:hint="eastAsia"/>
                <w:sz w:val="24"/>
                <w:shd w:val="clear" w:color="auto" w:fill="FFFFFF"/>
              </w:rPr>
              <w:t>是</w:t>
            </w:r>
          </w:p>
        </w:tc>
      </w:tr>
    </w:tbl>
    <w:p w:rsidR="00855F01" w:rsidRPr="001422D5" w:rsidRDefault="00855F01" w:rsidP="004B2866">
      <w:pPr>
        <w:pStyle w:val="a4"/>
        <w:tabs>
          <w:tab w:val="left" w:pos="709"/>
        </w:tabs>
        <w:spacing w:line="360" w:lineRule="auto"/>
        <w:ind w:firstLineChars="202" w:firstLine="485"/>
        <w:rPr>
          <w:rFonts w:ascii="宋体" w:hAnsi="宋体"/>
          <w:sz w:val="24"/>
        </w:rPr>
      </w:pPr>
      <w:r w:rsidRPr="001422D5">
        <w:rPr>
          <w:rFonts w:ascii="宋体" w:hAnsi="宋体" w:hint="eastAsia"/>
          <w:sz w:val="24"/>
        </w:rPr>
        <w:t>如上述基金尚未开放、暂停办理相关业务或对其进行限制的，请遵循本公司发布的相关公告执行。投资者在华融证券办理上述基金相关业务的数额限制、具体流程、规则以及投资者需要提交的文件等信息，请遵循上述基金的基金合同、招募说明书及其更新、本公司发布的相关公告及华融证券的有关规定。华融证券的业务办理</w:t>
      </w:r>
      <w:r w:rsidR="00C534F2" w:rsidRPr="001422D5">
        <w:rPr>
          <w:rFonts w:ascii="宋体" w:hAnsi="宋体" w:hint="eastAsia"/>
          <w:sz w:val="24"/>
        </w:rPr>
        <w:t>情况</w:t>
      </w:r>
      <w:r w:rsidRPr="001422D5">
        <w:rPr>
          <w:rFonts w:ascii="宋体" w:hAnsi="宋体" w:hint="eastAsia"/>
          <w:sz w:val="24"/>
        </w:rPr>
        <w:t>亦请遵循其规定执行。</w:t>
      </w:r>
    </w:p>
    <w:p w:rsidR="001F421B" w:rsidRDefault="00C534F2" w:rsidP="00A70ECB">
      <w:pPr>
        <w:spacing w:beforeLines="50" w:line="360" w:lineRule="auto"/>
        <w:ind w:firstLineChars="201" w:firstLine="484"/>
        <w:rPr>
          <w:rFonts w:ascii="宋体" w:hAnsi="宋体"/>
          <w:b/>
          <w:sz w:val="24"/>
        </w:rPr>
      </w:pPr>
      <w:r w:rsidRPr="001422D5">
        <w:rPr>
          <w:rFonts w:ascii="宋体" w:hAnsi="宋体" w:hint="eastAsia"/>
          <w:b/>
          <w:sz w:val="24"/>
        </w:rPr>
        <w:t>二、</w:t>
      </w:r>
      <w:r w:rsidR="00855F01" w:rsidRPr="001422D5">
        <w:rPr>
          <w:rFonts w:ascii="宋体" w:hAnsi="宋体" w:hint="eastAsia"/>
          <w:b/>
          <w:sz w:val="24"/>
        </w:rPr>
        <w:t>咨询</w:t>
      </w:r>
      <w:r w:rsidR="004B2866">
        <w:rPr>
          <w:rFonts w:ascii="宋体" w:hAnsi="宋体" w:hint="eastAsia"/>
          <w:b/>
          <w:sz w:val="24"/>
        </w:rPr>
        <w:t>方式</w:t>
      </w:r>
    </w:p>
    <w:p w:rsidR="004B2866" w:rsidRPr="004B2866" w:rsidRDefault="004B2866" w:rsidP="004B2866">
      <w:pPr>
        <w:pStyle w:val="a4"/>
        <w:tabs>
          <w:tab w:val="left" w:pos="709"/>
        </w:tabs>
        <w:spacing w:line="360" w:lineRule="auto"/>
        <w:ind w:firstLineChars="202" w:firstLine="485"/>
        <w:rPr>
          <w:rFonts w:ascii="宋体" w:hAnsi="宋体"/>
          <w:sz w:val="24"/>
        </w:rPr>
      </w:pPr>
      <w:r w:rsidRPr="004B2866">
        <w:rPr>
          <w:rFonts w:ascii="宋体" w:hAnsi="宋体" w:hint="eastAsia"/>
          <w:sz w:val="24"/>
        </w:rPr>
        <w:t>投资者可通过以下途径咨询详情：</w:t>
      </w:r>
    </w:p>
    <w:p w:rsidR="001F421B" w:rsidRPr="001422D5" w:rsidRDefault="00855F01" w:rsidP="004B2866">
      <w:pPr>
        <w:pStyle w:val="a4"/>
        <w:numPr>
          <w:ilvl w:val="0"/>
          <w:numId w:val="2"/>
        </w:numPr>
        <w:spacing w:line="360" w:lineRule="auto"/>
        <w:ind w:firstLineChars="0"/>
        <w:jc w:val="left"/>
        <w:rPr>
          <w:rFonts w:ascii="宋体" w:hAnsi="宋体"/>
          <w:sz w:val="24"/>
        </w:rPr>
      </w:pPr>
      <w:r w:rsidRPr="001422D5">
        <w:rPr>
          <w:rFonts w:ascii="宋体" w:hAnsi="宋体" w:hint="eastAsia"/>
          <w:sz w:val="24"/>
        </w:rPr>
        <w:t>华融证券客户服务电话：</w:t>
      </w:r>
      <w:r w:rsidR="00794331" w:rsidRPr="001422D5">
        <w:rPr>
          <w:rFonts w:ascii="宋体" w:hAnsi="宋体" w:hint="eastAsia"/>
          <w:sz w:val="24"/>
        </w:rPr>
        <w:t>95390</w:t>
      </w:r>
    </w:p>
    <w:p w:rsidR="00855F01" w:rsidRPr="001422D5" w:rsidRDefault="00794331" w:rsidP="004B2866">
      <w:pPr>
        <w:pStyle w:val="a4"/>
        <w:spacing w:line="360" w:lineRule="auto"/>
        <w:ind w:left="1140" w:firstLineChars="0" w:firstLine="0"/>
        <w:jc w:val="left"/>
        <w:rPr>
          <w:rFonts w:ascii="宋体" w:hAnsi="宋体"/>
          <w:sz w:val="24"/>
        </w:rPr>
      </w:pPr>
      <w:r w:rsidRPr="001422D5">
        <w:rPr>
          <w:rFonts w:ascii="宋体" w:hAnsi="宋体" w:hint="eastAsia"/>
          <w:sz w:val="24"/>
        </w:rPr>
        <w:t>华融证券网址</w:t>
      </w:r>
      <w:r w:rsidR="00855F01" w:rsidRPr="001422D5">
        <w:rPr>
          <w:rFonts w:ascii="宋体" w:hAnsi="宋体" w:hint="eastAsia"/>
          <w:sz w:val="24"/>
        </w:rPr>
        <w:t>：</w:t>
      </w:r>
      <w:r w:rsidRPr="001422D5">
        <w:rPr>
          <w:rFonts w:ascii="宋体" w:hAnsi="宋体" w:hint="eastAsia"/>
          <w:sz w:val="24"/>
        </w:rPr>
        <w:t>www.hrsec.com.cn</w:t>
      </w:r>
    </w:p>
    <w:p w:rsidR="00855F01" w:rsidRPr="001422D5" w:rsidRDefault="00855F01" w:rsidP="00855F01">
      <w:pPr>
        <w:pStyle w:val="a4"/>
        <w:numPr>
          <w:ilvl w:val="0"/>
          <w:numId w:val="2"/>
        </w:numPr>
        <w:spacing w:line="360" w:lineRule="auto"/>
        <w:ind w:firstLineChars="0"/>
        <w:jc w:val="left"/>
        <w:rPr>
          <w:rFonts w:ascii="宋体" w:hAnsi="宋体"/>
          <w:sz w:val="24"/>
        </w:rPr>
      </w:pPr>
      <w:r w:rsidRPr="001422D5">
        <w:rPr>
          <w:rFonts w:ascii="宋体" w:hAnsi="宋体" w:hint="eastAsia"/>
          <w:sz w:val="24"/>
        </w:rPr>
        <w:t>本公司客户服务电话：</w:t>
      </w:r>
      <w:r w:rsidR="00794331" w:rsidRPr="001422D5">
        <w:rPr>
          <w:rFonts w:ascii="宋体" w:hAnsi="宋体" w:hint="eastAsia"/>
          <w:sz w:val="24"/>
        </w:rPr>
        <w:t>400-819-0789</w:t>
      </w:r>
    </w:p>
    <w:p w:rsidR="00855F01" w:rsidRPr="001422D5" w:rsidRDefault="00794331" w:rsidP="00C534F2">
      <w:pPr>
        <w:pStyle w:val="a4"/>
        <w:spacing w:after="240" w:line="360" w:lineRule="auto"/>
        <w:ind w:left="1140" w:firstLineChars="0" w:firstLine="0"/>
        <w:jc w:val="left"/>
        <w:rPr>
          <w:rFonts w:ascii="宋体" w:hAnsi="宋体"/>
          <w:sz w:val="24"/>
        </w:rPr>
      </w:pPr>
      <w:r w:rsidRPr="001422D5">
        <w:rPr>
          <w:rFonts w:ascii="宋体" w:hAnsi="宋体" w:hint="eastAsia"/>
          <w:sz w:val="24"/>
        </w:rPr>
        <w:t>本公司网址</w:t>
      </w:r>
      <w:r w:rsidR="00855F01" w:rsidRPr="001422D5">
        <w:rPr>
          <w:rFonts w:ascii="宋体" w:hAnsi="宋体" w:hint="eastAsia"/>
          <w:sz w:val="24"/>
        </w:rPr>
        <w:t>：</w:t>
      </w:r>
      <w:r w:rsidRPr="001422D5">
        <w:rPr>
          <w:rFonts w:ascii="宋体" w:hAnsi="宋体" w:hint="eastAsia"/>
          <w:sz w:val="24"/>
        </w:rPr>
        <w:t>www.hr-fund.com.cn</w:t>
      </w:r>
    </w:p>
    <w:p w:rsidR="00794331" w:rsidRPr="001422D5" w:rsidRDefault="00C534F2" w:rsidP="00A70ECB">
      <w:pPr>
        <w:spacing w:before="240" w:afterLines="50" w:line="360" w:lineRule="auto"/>
        <w:ind w:firstLineChars="201" w:firstLine="484"/>
        <w:rPr>
          <w:rFonts w:ascii="宋体" w:hAnsi="宋体"/>
          <w:b/>
          <w:sz w:val="24"/>
        </w:rPr>
      </w:pPr>
      <w:r w:rsidRPr="001422D5">
        <w:rPr>
          <w:rFonts w:ascii="宋体" w:hAnsi="宋体"/>
          <w:b/>
          <w:sz w:val="24"/>
        </w:rPr>
        <w:t>三</w:t>
      </w:r>
      <w:r w:rsidRPr="001422D5">
        <w:rPr>
          <w:rFonts w:ascii="宋体" w:hAnsi="宋体" w:hint="eastAsia"/>
          <w:b/>
          <w:sz w:val="24"/>
        </w:rPr>
        <w:t>、</w:t>
      </w:r>
      <w:r w:rsidR="00794331" w:rsidRPr="001422D5">
        <w:rPr>
          <w:rFonts w:ascii="宋体" w:hAnsi="宋体"/>
          <w:b/>
          <w:sz w:val="24"/>
        </w:rPr>
        <w:t>风险提示</w:t>
      </w:r>
    </w:p>
    <w:p w:rsidR="00855F01" w:rsidRPr="001422D5" w:rsidRDefault="001422D5" w:rsidP="001422D5">
      <w:pPr>
        <w:spacing w:line="360" w:lineRule="auto"/>
        <w:ind w:firstLineChars="200" w:firstLine="480"/>
        <w:jc w:val="left"/>
        <w:rPr>
          <w:rFonts w:ascii="宋体" w:hAnsi="宋体"/>
          <w:sz w:val="24"/>
        </w:rPr>
      </w:pPr>
      <w:r w:rsidRPr="001422D5">
        <w:rPr>
          <w:sz w:val="24"/>
        </w:rPr>
        <w:t>（</w:t>
      </w:r>
      <w:r w:rsidRPr="001422D5">
        <w:rPr>
          <w:rFonts w:hint="eastAsia"/>
          <w:sz w:val="24"/>
        </w:rPr>
        <w:t>一</w:t>
      </w:r>
      <w:r w:rsidRPr="001422D5">
        <w:rPr>
          <w:sz w:val="24"/>
        </w:rPr>
        <w:t>）</w:t>
      </w:r>
      <w:r w:rsidR="00794331" w:rsidRPr="001422D5">
        <w:rPr>
          <w:rFonts w:hint="eastAsia"/>
          <w:sz w:val="24"/>
        </w:rPr>
        <w:t>本公司</w:t>
      </w:r>
      <w:r w:rsidR="00794331" w:rsidRPr="001422D5">
        <w:rPr>
          <w:sz w:val="24"/>
        </w:rPr>
        <w:t>承诺以诚实信用、勤勉尽责的原则管理和运用基金资产，</w:t>
      </w:r>
      <w:r w:rsidR="001C7B70" w:rsidRPr="001422D5">
        <w:rPr>
          <w:rFonts w:hint="eastAsia"/>
          <w:sz w:val="24"/>
        </w:rPr>
        <w:t>但不保证基金一定盈利，也不保证最低收益。投资者</w:t>
      </w:r>
      <w:r w:rsidR="00794331" w:rsidRPr="001422D5">
        <w:rPr>
          <w:sz w:val="24"/>
        </w:rPr>
        <w:t>购买货币市场基金并不等于将资金作为存款存放在银行或者存款类金融机构。</w:t>
      </w:r>
      <w:r w:rsidR="001C7B70" w:rsidRPr="001422D5">
        <w:rPr>
          <w:rFonts w:hint="eastAsia"/>
          <w:sz w:val="24"/>
        </w:rPr>
        <w:t>基金管理人与股东之间实行业务隔</w:t>
      </w:r>
      <w:r w:rsidR="001C7B70" w:rsidRPr="001422D5">
        <w:rPr>
          <w:rFonts w:hint="eastAsia"/>
          <w:sz w:val="24"/>
        </w:rPr>
        <w:lastRenderedPageBreak/>
        <w:t>离制度，股东并不直接参与基金财产的投资运作。</w:t>
      </w:r>
      <w:r w:rsidR="00794331" w:rsidRPr="001422D5">
        <w:rPr>
          <w:sz w:val="24"/>
        </w:rPr>
        <w:t>本公司提醒投资者，投资者投资基金前应认真阅读基金合同、招募说明书等文件</w:t>
      </w:r>
      <w:r w:rsidR="00CD5C55">
        <w:rPr>
          <w:sz w:val="24"/>
        </w:rPr>
        <w:t>，</w:t>
      </w:r>
      <w:r w:rsidR="00794331" w:rsidRPr="001422D5">
        <w:rPr>
          <w:sz w:val="24"/>
        </w:rPr>
        <w:t>注意投资风险</w:t>
      </w:r>
      <w:r w:rsidR="00794331" w:rsidRPr="001422D5">
        <w:rPr>
          <w:rFonts w:hint="eastAsia"/>
          <w:sz w:val="24"/>
        </w:rPr>
        <w:t>，</w:t>
      </w:r>
      <w:r w:rsidR="00794331" w:rsidRPr="001422D5">
        <w:rPr>
          <w:sz w:val="24"/>
        </w:rPr>
        <w:t>并选择适合自身风险承受能力的投资品种进行投资。基金的过往业绩不预示未来表现，基金管理人管理的其他基金的业绩并不构成基金业绩表现的保证。</w:t>
      </w:r>
    </w:p>
    <w:p w:rsidR="00794331" w:rsidRPr="001422D5" w:rsidRDefault="001422D5" w:rsidP="001422D5">
      <w:pPr>
        <w:spacing w:line="360" w:lineRule="auto"/>
        <w:ind w:firstLineChars="200" w:firstLine="480"/>
        <w:jc w:val="left"/>
        <w:rPr>
          <w:sz w:val="24"/>
        </w:rPr>
      </w:pPr>
      <w:r w:rsidRPr="001422D5">
        <w:rPr>
          <w:sz w:val="24"/>
        </w:rPr>
        <w:t>（</w:t>
      </w:r>
      <w:r w:rsidRPr="001422D5">
        <w:rPr>
          <w:rFonts w:hint="eastAsia"/>
          <w:sz w:val="24"/>
        </w:rPr>
        <w:t>二</w:t>
      </w:r>
      <w:r w:rsidRPr="001422D5">
        <w:rPr>
          <w:sz w:val="24"/>
        </w:rPr>
        <w:t>）</w:t>
      </w:r>
      <w:r w:rsidR="00794331" w:rsidRPr="001422D5">
        <w:rPr>
          <w:sz w:val="24"/>
        </w:rPr>
        <w:t>投资</w:t>
      </w:r>
      <w:r w:rsidR="003856FC">
        <w:rPr>
          <w:rFonts w:hint="eastAsia"/>
          <w:sz w:val="24"/>
        </w:rPr>
        <w:t>者</w:t>
      </w:r>
      <w:r w:rsidR="00794331" w:rsidRPr="001422D5">
        <w:rPr>
          <w:sz w:val="24"/>
        </w:rPr>
        <w:t>应当充分了解基金定期定额投资和零存整取等储蓄方式的区别。定期定额投资是引导投资</w:t>
      </w:r>
      <w:r w:rsidR="003856FC">
        <w:rPr>
          <w:rFonts w:hint="eastAsia"/>
          <w:sz w:val="24"/>
        </w:rPr>
        <w:t>者</w:t>
      </w:r>
      <w:r w:rsidR="00794331" w:rsidRPr="001422D5">
        <w:rPr>
          <w:sz w:val="24"/>
        </w:rPr>
        <w:t>进行长期投资、平均投资成本的一种简单易行的投资方式</w:t>
      </w:r>
      <w:r w:rsidR="003856FC">
        <w:rPr>
          <w:sz w:val="24"/>
        </w:rPr>
        <w:t>。但是定期定额投资并不能规避基金投资所固有的风险，不能保证投资</w:t>
      </w:r>
      <w:r w:rsidR="003856FC">
        <w:rPr>
          <w:rFonts w:hint="eastAsia"/>
          <w:sz w:val="24"/>
        </w:rPr>
        <w:t>者</w:t>
      </w:r>
      <w:r w:rsidR="00794331" w:rsidRPr="001422D5">
        <w:rPr>
          <w:sz w:val="24"/>
        </w:rPr>
        <w:t>获得收益，也不是替代储蓄的等效理财方式。</w:t>
      </w:r>
    </w:p>
    <w:p w:rsidR="00794331" w:rsidRPr="001422D5" w:rsidRDefault="00794331" w:rsidP="001422D5">
      <w:pPr>
        <w:spacing w:line="360" w:lineRule="auto"/>
        <w:ind w:firstLineChars="200" w:firstLine="480"/>
        <w:jc w:val="left"/>
        <w:rPr>
          <w:sz w:val="24"/>
        </w:rPr>
      </w:pPr>
    </w:p>
    <w:p w:rsidR="00855F01" w:rsidRPr="001422D5" w:rsidRDefault="00794331" w:rsidP="001422D5">
      <w:pPr>
        <w:spacing w:line="360" w:lineRule="auto"/>
        <w:ind w:firstLineChars="200" w:firstLine="480"/>
        <w:jc w:val="left"/>
        <w:rPr>
          <w:rFonts w:ascii="宋体" w:hAnsi="宋体"/>
          <w:sz w:val="24"/>
        </w:rPr>
      </w:pPr>
      <w:r w:rsidRPr="001422D5">
        <w:rPr>
          <w:rFonts w:ascii="宋体" w:hAnsi="宋体" w:hint="eastAsia"/>
          <w:sz w:val="24"/>
        </w:rPr>
        <w:t>特此公告。</w:t>
      </w:r>
    </w:p>
    <w:p w:rsidR="00794331" w:rsidRPr="001422D5" w:rsidRDefault="00794331" w:rsidP="001422D5">
      <w:pPr>
        <w:spacing w:line="360" w:lineRule="auto"/>
        <w:ind w:firstLineChars="200" w:firstLine="480"/>
        <w:jc w:val="left"/>
        <w:rPr>
          <w:rFonts w:ascii="宋体" w:hAnsi="宋体"/>
          <w:sz w:val="24"/>
        </w:rPr>
      </w:pPr>
    </w:p>
    <w:p w:rsidR="00794331" w:rsidRPr="001422D5" w:rsidRDefault="00794331" w:rsidP="001422D5">
      <w:pPr>
        <w:spacing w:line="360" w:lineRule="auto"/>
        <w:ind w:firstLineChars="200" w:firstLine="480"/>
        <w:jc w:val="left"/>
        <w:rPr>
          <w:rFonts w:ascii="宋体" w:hAnsi="宋体"/>
          <w:sz w:val="24"/>
        </w:rPr>
      </w:pPr>
    </w:p>
    <w:p w:rsidR="00794331" w:rsidRPr="001422D5" w:rsidRDefault="00794331" w:rsidP="001422D5">
      <w:pPr>
        <w:spacing w:line="360" w:lineRule="auto"/>
        <w:ind w:firstLineChars="200" w:firstLine="480"/>
        <w:jc w:val="right"/>
        <w:rPr>
          <w:rFonts w:ascii="宋体" w:hAnsi="宋体"/>
          <w:sz w:val="24"/>
        </w:rPr>
      </w:pPr>
      <w:r w:rsidRPr="001422D5">
        <w:rPr>
          <w:rFonts w:ascii="宋体" w:hAnsi="宋体" w:hint="eastAsia"/>
          <w:sz w:val="24"/>
        </w:rPr>
        <w:t>华融基金管理有限公司</w:t>
      </w:r>
    </w:p>
    <w:p w:rsidR="00855F01" w:rsidRPr="001422D5" w:rsidRDefault="00CD5C55" w:rsidP="001422D5">
      <w:pPr>
        <w:spacing w:line="360" w:lineRule="auto"/>
        <w:ind w:firstLineChars="200" w:firstLine="480"/>
        <w:jc w:val="right"/>
        <w:rPr>
          <w:rFonts w:ascii="宋体" w:hAnsi="宋体"/>
          <w:sz w:val="24"/>
        </w:rPr>
      </w:pPr>
      <w:r>
        <w:rPr>
          <w:rFonts w:ascii="宋体" w:hAnsi="宋体" w:hint="eastAsia"/>
          <w:sz w:val="24"/>
        </w:rPr>
        <w:t>2020</w:t>
      </w:r>
      <w:r w:rsidR="00794331" w:rsidRPr="001422D5">
        <w:rPr>
          <w:rFonts w:ascii="宋体" w:hAnsi="宋体" w:hint="eastAsia"/>
          <w:sz w:val="24"/>
        </w:rPr>
        <w:t>年</w:t>
      </w:r>
      <w:r>
        <w:rPr>
          <w:rFonts w:ascii="宋体" w:hAnsi="宋体" w:hint="eastAsia"/>
          <w:sz w:val="24"/>
        </w:rPr>
        <w:t>4</w:t>
      </w:r>
      <w:r w:rsidR="00794331" w:rsidRPr="001422D5">
        <w:rPr>
          <w:rFonts w:ascii="宋体" w:hAnsi="宋体" w:hint="eastAsia"/>
          <w:sz w:val="24"/>
        </w:rPr>
        <w:t>月</w:t>
      </w:r>
      <w:r>
        <w:rPr>
          <w:rFonts w:ascii="宋体" w:hAnsi="宋体" w:hint="eastAsia"/>
          <w:sz w:val="24"/>
        </w:rPr>
        <w:t>27</w:t>
      </w:r>
      <w:r w:rsidR="00794331" w:rsidRPr="001422D5">
        <w:rPr>
          <w:rFonts w:ascii="宋体" w:hAnsi="宋体" w:hint="eastAsia"/>
          <w:sz w:val="24"/>
        </w:rPr>
        <w:t>日</w:t>
      </w:r>
    </w:p>
    <w:sectPr w:rsidR="00855F01" w:rsidRPr="001422D5" w:rsidSect="00A043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C3C" w:rsidRDefault="009B2C3C" w:rsidP="001C7B70">
      <w:r>
        <w:separator/>
      </w:r>
    </w:p>
  </w:endnote>
  <w:endnote w:type="continuationSeparator" w:id="1">
    <w:p w:rsidR="009B2C3C" w:rsidRDefault="009B2C3C" w:rsidP="001C7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C3C" w:rsidRDefault="009B2C3C" w:rsidP="001C7B70">
      <w:r>
        <w:separator/>
      </w:r>
    </w:p>
  </w:footnote>
  <w:footnote w:type="continuationSeparator" w:id="1">
    <w:p w:rsidR="009B2C3C" w:rsidRDefault="009B2C3C" w:rsidP="001C7B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36173"/>
    <w:multiLevelType w:val="hybridMultilevel"/>
    <w:tmpl w:val="16227712"/>
    <w:lvl w:ilvl="0" w:tplc="46C68D66">
      <w:start w:val="2"/>
      <w:numFmt w:val="japaneseCounting"/>
      <w:lvlText w:val="%1、"/>
      <w:lvlJc w:val="left"/>
      <w:pPr>
        <w:ind w:left="1263" w:hanging="435"/>
      </w:pPr>
      <w:rPr>
        <w:rFonts w:hint="default"/>
      </w:rPr>
    </w:lvl>
    <w:lvl w:ilvl="1" w:tplc="04090019" w:tentative="1">
      <w:start w:val="1"/>
      <w:numFmt w:val="lowerLetter"/>
      <w:lvlText w:val="%2)"/>
      <w:lvlJc w:val="left"/>
      <w:pPr>
        <w:ind w:left="1668" w:hanging="420"/>
      </w:pPr>
    </w:lvl>
    <w:lvl w:ilvl="2" w:tplc="0409001B" w:tentative="1">
      <w:start w:val="1"/>
      <w:numFmt w:val="lowerRoman"/>
      <w:lvlText w:val="%3."/>
      <w:lvlJc w:val="right"/>
      <w:pPr>
        <w:ind w:left="2088" w:hanging="420"/>
      </w:pPr>
    </w:lvl>
    <w:lvl w:ilvl="3" w:tplc="0409000F" w:tentative="1">
      <w:start w:val="1"/>
      <w:numFmt w:val="decimal"/>
      <w:lvlText w:val="%4."/>
      <w:lvlJc w:val="left"/>
      <w:pPr>
        <w:ind w:left="2508" w:hanging="420"/>
      </w:pPr>
    </w:lvl>
    <w:lvl w:ilvl="4" w:tplc="04090019" w:tentative="1">
      <w:start w:val="1"/>
      <w:numFmt w:val="lowerLetter"/>
      <w:lvlText w:val="%5)"/>
      <w:lvlJc w:val="left"/>
      <w:pPr>
        <w:ind w:left="2928" w:hanging="420"/>
      </w:pPr>
    </w:lvl>
    <w:lvl w:ilvl="5" w:tplc="0409001B" w:tentative="1">
      <w:start w:val="1"/>
      <w:numFmt w:val="lowerRoman"/>
      <w:lvlText w:val="%6."/>
      <w:lvlJc w:val="right"/>
      <w:pPr>
        <w:ind w:left="3348" w:hanging="420"/>
      </w:pPr>
    </w:lvl>
    <w:lvl w:ilvl="6" w:tplc="0409000F" w:tentative="1">
      <w:start w:val="1"/>
      <w:numFmt w:val="decimal"/>
      <w:lvlText w:val="%7."/>
      <w:lvlJc w:val="left"/>
      <w:pPr>
        <w:ind w:left="3768" w:hanging="420"/>
      </w:pPr>
    </w:lvl>
    <w:lvl w:ilvl="7" w:tplc="04090019" w:tentative="1">
      <w:start w:val="1"/>
      <w:numFmt w:val="lowerLetter"/>
      <w:lvlText w:val="%8)"/>
      <w:lvlJc w:val="left"/>
      <w:pPr>
        <w:ind w:left="4188" w:hanging="420"/>
      </w:pPr>
    </w:lvl>
    <w:lvl w:ilvl="8" w:tplc="0409001B" w:tentative="1">
      <w:start w:val="1"/>
      <w:numFmt w:val="lowerRoman"/>
      <w:lvlText w:val="%9."/>
      <w:lvlJc w:val="right"/>
      <w:pPr>
        <w:ind w:left="4608" w:hanging="420"/>
      </w:pPr>
    </w:lvl>
  </w:abstractNum>
  <w:abstractNum w:abstractNumId="1">
    <w:nsid w:val="23F94AE4"/>
    <w:multiLevelType w:val="hybridMultilevel"/>
    <w:tmpl w:val="D5EE8F36"/>
    <w:lvl w:ilvl="0" w:tplc="5EE8537A">
      <w:start w:val="1"/>
      <w:numFmt w:val="decimal"/>
      <w:lvlText w:val="%1、"/>
      <w:lvlJc w:val="left"/>
      <w:pPr>
        <w:ind w:left="227" w:hanging="233"/>
      </w:pPr>
      <w:rPr>
        <w:rFonts w:hint="default"/>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abstractNum w:abstractNumId="2">
    <w:nsid w:val="33AD428C"/>
    <w:multiLevelType w:val="hybridMultilevel"/>
    <w:tmpl w:val="43101B4E"/>
    <w:lvl w:ilvl="0" w:tplc="E7008F84">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700826A1"/>
    <w:multiLevelType w:val="hybridMultilevel"/>
    <w:tmpl w:val="3D38086C"/>
    <w:lvl w:ilvl="0" w:tplc="38A46092">
      <w:start w:val="1"/>
      <w:numFmt w:val="japaneseCounting"/>
      <w:lvlText w:val="%1、"/>
      <w:lvlJc w:val="left"/>
      <w:pPr>
        <w:ind w:left="828" w:hanging="408"/>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421B"/>
    <w:rsid w:val="00043E3C"/>
    <w:rsid w:val="00057166"/>
    <w:rsid w:val="000719C5"/>
    <w:rsid w:val="000B5E57"/>
    <w:rsid w:val="000D2111"/>
    <w:rsid w:val="000F163D"/>
    <w:rsid w:val="0012474D"/>
    <w:rsid w:val="001422D5"/>
    <w:rsid w:val="00151594"/>
    <w:rsid w:val="00160FDB"/>
    <w:rsid w:val="001816C6"/>
    <w:rsid w:val="001A5B1E"/>
    <w:rsid w:val="001C1E79"/>
    <w:rsid w:val="001C7B70"/>
    <w:rsid w:val="001F421B"/>
    <w:rsid w:val="00231469"/>
    <w:rsid w:val="0025141F"/>
    <w:rsid w:val="00252809"/>
    <w:rsid w:val="002619D7"/>
    <w:rsid w:val="002830EA"/>
    <w:rsid w:val="002C709F"/>
    <w:rsid w:val="002D34F4"/>
    <w:rsid w:val="002D3A92"/>
    <w:rsid w:val="002E56C6"/>
    <w:rsid w:val="002F4AD2"/>
    <w:rsid w:val="003856FC"/>
    <w:rsid w:val="003979EF"/>
    <w:rsid w:val="003C402B"/>
    <w:rsid w:val="003C4F7C"/>
    <w:rsid w:val="003C513E"/>
    <w:rsid w:val="003F00E5"/>
    <w:rsid w:val="00413F68"/>
    <w:rsid w:val="004B2866"/>
    <w:rsid w:val="004B68C7"/>
    <w:rsid w:val="004C0832"/>
    <w:rsid w:val="004F315C"/>
    <w:rsid w:val="00502D9F"/>
    <w:rsid w:val="00526209"/>
    <w:rsid w:val="005271AB"/>
    <w:rsid w:val="00537CA1"/>
    <w:rsid w:val="00550D6A"/>
    <w:rsid w:val="005E52B1"/>
    <w:rsid w:val="00654D5C"/>
    <w:rsid w:val="00671557"/>
    <w:rsid w:val="006D48AC"/>
    <w:rsid w:val="007105E4"/>
    <w:rsid w:val="0071167D"/>
    <w:rsid w:val="00724C18"/>
    <w:rsid w:val="007641FE"/>
    <w:rsid w:val="00765C68"/>
    <w:rsid w:val="007705BD"/>
    <w:rsid w:val="00794331"/>
    <w:rsid w:val="00797114"/>
    <w:rsid w:val="007B20DD"/>
    <w:rsid w:val="00822870"/>
    <w:rsid w:val="00824C34"/>
    <w:rsid w:val="008342C2"/>
    <w:rsid w:val="00855F01"/>
    <w:rsid w:val="00893E40"/>
    <w:rsid w:val="008A1184"/>
    <w:rsid w:val="008F285B"/>
    <w:rsid w:val="00926543"/>
    <w:rsid w:val="00935FBF"/>
    <w:rsid w:val="00993BBE"/>
    <w:rsid w:val="009A7840"/>
    <w:rsid w:val="009B2C3C"/>
    <w:rsid w:val="009E530F"/>
    <w:rsid w:val="00A043BA"/>
    <w:rsid w:val="00A17314"/>
    <w:rsid w:val="00A438DB"/>
    <w:rsid w:val="00A452CA"/>
    <w:rsid w:val="00A555CC"/>
    <w:rsid w:val="00A5651D"/>
    <w:rsid w:val="00A67F34"/>
    <w:rsid w:val="00A70ECB"/>
    <w:rsid w:val="00A85EFE"/>
    <w:rsid w:val="00AB696C"/>
    <w:rsid w:val="00AD1BF7"/>
    <w:rsid w:val="00AE571A"/>
    <w:rsid w:val="00B203AF"/>
    <w:rsid w:val="00B23B09"/>
    <w:rsid w:val="00C136FF"/>
    <w:rsid w:val="00C239A7"/>
    <w:rsid w:val="00C50051"/>
    <w:rsid w:val="00C534F2"/>
    <w:rsid w:val="00C60AA1"/>
    <w:rsid w:val="00CD5C55"/>
    <w:rsid w:val="00CE50C7"/>
    <w:rsid w:val="00CE6924"/>
    <w:rsid w:val="00D47794"/>
    <w:rsid w:val="00D54A68"/>
    <w:rsid w:val="00D604D6"/>
    <w:rsid w:val="00DD78C1"/>
    <w:rsid w:val="00E23E77"/>
    <w:rsid w:val="00E469C8"/>
    <w:rsid w:val="00E721EB"/>
    <w:rsid w:val="00E95568"/>
    <w:rsid w:val="00EB7343"/>
    <w:rsid w:val="00EC7B84"/>
    <w:rsid w:val="00F0274F"/>
    <w:rsid w:val="00F56455"/>
    <w:rsid w:val="00FA3EC4"/>
    <w:rsid w:val="00FB6D98"/>
    <w:rsid w:val="00FE2C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F421B"/>
    <w:pPr>
      <w:widowControl/>
      <w:spacing w:before="100" w:beforeAutospacing="1" w:after="100" w:afterAutospacing="1"/>
      <w:jc w:val="left"/>
    </w:pPr>
    <w:rPr>
      <w:rFonts w:ascii="宋体" w:hAnsi="宋体" w:cs="宋体"/>
      <w:kern w:val="0"/>
      <w:sz w:val="24"/>
    </w:rPr>
  </w:style>
  <w:style w:type="paragraph" w:styleId="a4">
    <w:name w:val="List Paragraph"/>
    <w:basedOn w:val="a"/>
    <w:uiPriority w:val="34"/>
    <w:qFormat/>
    <w:rsid w:val="00855F01"/>
    <w:pPr>
      <w:ind w:firstLineChars="200" w:firstLine="420"/>
    </w:pPr>
  </w:style>
  <w:style w:type="table" w:styleId="a5">
    <w:name w:val="Table Grid"/>
    <w:basedOn w:val="a1"/>
    <w:uiPriority w:val="59"/>
    <w:rsid w:val="00C53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C534F2"/>
    <w:rPr>
      <w:sz w:val="18"/>
      <w:szCs w:val="18"/>
    </w:rPr>
  </w:style>
  <w:style w:type="character" w:customStyle="1" w:styleId="Char">
    <w:name w:val="批注框文本 Char"/>
    <w:basedOn w:val="a0"/>
    <w:link w:val="a6"/>
    <w:uiPriority w:val="99"/>
    <w:semiHidden/>
    <w:rsid w:val="00C534F2"/>
    <w:rPr>
      <w:rFonts w:ascii="Times New Roman" w:eastAsia="宋体" w:hAnsi="Times New Roman" w:cs="Times New Roman"/>
      <w:sz w:val="18"/>
      <w:szCs w:val="18"/>
    </w:rPr>
  </w:style>
  <w:style w:type="paragraph" w:styleId="a7">
    <w:name w:val="header"/>
    <w:basedOn w:val="a"/>
    <w:link w:val="Char0"/>
    <w:uiPriority w:val="99"/>
    <w:unhideWhenUsed/>
    <w:rsid w:val="001C7B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C7B70"/>
    <w:rPr>
      <w:rFonts w:ascii="Times New Roman" w:eastAsia="宋体" w:hAnsi="Times New Roman" w:cs="Times New Roman"/>
      <w:sz w:val="18"/>
      <w:szCs w:val="18"/>
    </w:rPr>
  </w:style>
  <w:style w:type="paragraph" w:styleId="a8">
    <w:name w:val="footer"/>
    <w:basedOn w:val="a"/>
    <w:link w:val="Char1"/>
    <w:uiPriority w:val="99"/>
    <w:unhideWhenUsed/>
    <w:rsid w:val="001C7B70"/>
    <w:pPr>
      <w:tabs>
        <w:tab w:val="center" w:pos="4153"/>
        <w:tab w:val="right" w:pos="8306"/>
      </w:tabs>
      <w:snapToGrid w:val="0"/>
      <w:jc w:val="left"/>
    </w:pPr>
    <w:rPr>
      <w:sz w:val="18"/>
      <w:szCs w:val="18"/>
    </w:rPr>
  </w:style>
  <w:style w:type="character" w:customStyle="1" w:styleId="Char1">
    <w:name w:val="页脚 Char"/>
    <w:basedOn w:val="a0"/>
    <w:link w:val="a8"/>
    <w:uiPriority w:val="99"/>
    <w:rsid w:val="001C7B7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F421B"/>
    <w:pPr>
      <w:widowControl/>
      <w:spacing w:before="100" w:beforeAutospacing="1" w:after="100" w:afterAutospacing="1"/>
      <w:jc w:val="left"/>
    </w:pPr>
    <w:rPr>
      <w:rFonts w:ascii="宋体" w:hAnsi="宋体" w:cs="宋体"/>
      <w:kern w:val="0"/>
      <w:sz w:val="24"/>
    </w:rPr>
  </w:style>
  <w:style w:type="paragraph" w:styleId="a4">
    <w:name w:val="List Paragraph"/>
    <w:basedOn w:val="a"/>
    <w:uiPriority w:val="34"/>
    <w:qFormat/>
    <w:rsid w:val="00855F01"/>
    <w:pPr>
      <w:ind w:firstLineChars="200" w:firstLine="420"/>
    </w:pPr>
  </w:style>
  <w:style w:type="table" w:styleId="a5">
    <w:name w:val="Table Grid"/>
    <w:basedOn w:val="a1"/>
    <w:uiPriority w:val="59"/>
    <w:rsid w:val="00C53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C534F2"/>
    <w:rPr>
      <w:sz w:val="18"/>
      <w:szCs w:val="18"/>
    </w:rPr>
  </w:style>
  <w:style w:type="character" w:customStyle="1" w:styleId="Char">
    <w:name w:val="批注框文本 Char"/>
    <w:basedOn w:val="a0"/>
    <w:link w:val="a6"/>
    <w:uiPriority w:val="99"/>
    <w:semiHidden/>
    <w:rsid w:val="00C534F2"/>
    <w:rPr>
      <w:rFonts w:ascii="Times New Roman" w:eastAsia="宋体" w:hAnsi="Times New Roman" w:cs="Times New Roman"/>
      <w:sz w:val="18"/>
      <w:szCs w:val="18"/>
    </w:rPr>
  </w:style>
  <w:style w:type="paragraph" w:styleId="a7">
    <w:name w:val="header"/>
    <w:basedOn w:val="a"/>
    <w:link w:val="Char0"/>
    <w:uiPriority w:val="99"/>
    <w:unhideWhenUsed/>
    <w:rsid w:val="001C7B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C7B70"/>
    <w:rPr>
      <w:rFonts w:ascii="Times New Roman" w:eastAsia="宋体" w:hAnsi="Times New Roman" w:cs="Times New Roman"/>
      <w:sz w:val="18"/>
      <w:szCs w:val="18"/>
    </w:rPr>
  </w:style>
  <w:style w:type="paragraph" w:styleId="a8">
    <w:name w:val="footer"/>
    <w:basedOn w:val="a"/>
    <w:link w:val="Char1"/>
    <w:uiPriority w:val="99"/>
    <w:unhideWhenUsed/>
    <w:rsid w:val="001C7B70"/>
    <w:pPr>
      <w:tabs>
        <w:tab w:val="center" w:pos="4153"/>
        <w:tab w:val="right" w:pos="8306"/>
      </w:tabs>
      <w:snapToGrid w:val="0"/>
      <w:jc w:val="left"/>
    </w:pPr>
    <w:rPr>
      <w:sz w:val="18"/>
      <w:szCs w:val="18"/>
    </w:rPr>
  </w:style>
  <w:style w:type="character" w:customStyle="1" w:styleId="Char1">
    <w:name w:val="页脚 Char"/>
    <w:basedOn w:val="a0"/>
    <w:link w:val="a8"/>
    <w:uiPriority w:val="99"/>
    <w:rsid w:val="001C7B7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804</Characters>
  <Application>Microsoft Office Word</Application>
  <DocSecurity>4</DocSecurity>
  <Lines>6</Lines>
  <Paragraphs>1</Paragraphs>
  <ScaleCrop>false</ScaleCrop>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尹旭航</dc:creator>
  <cp:lastModifiedBy>JonMMx 2000</cp:lastModifiedBy>
  <cp:revision>2</cp:revision>
  <dcterms:created xsi:type="dcterms:W3CDTF">2020-04-26T16:15:00Z</dcterms:created>
  <dcterms:modified xsi:type="dcterms:W3CDTF">2020-04-26T16:15:00Z</dcterms:modified>
</cp:coreProperties>
</file>