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33" w:rsidRPr="00D706E8" w:rsidRDefault="00267AAD" w:rsidP="00624F69">
      <w:pPr>
        <w:pStyle w:val="Default"/>
        <w:jc w:val="center"/>
        <w:rPr>
          <w:rFonts w:ascii="宋体" w:eastAsia="宋体" w:hAnsi="宋体"/>
          <w:b/>
          <w:bCs/>
          <w:sz w:val="28"/>
          <w:szCs w:val="28"/>
        </w:rPr>
      </w:pPr>
      <w:r w:rsidRPr="00D706E8">
        <w:rPr>
          <w:rFonts w:ascii="宋体" w:eastAsia="宋体" w:hAnsi="宋体" w:hint="eastAsia"/>
          <w:b/>
          <w:bCs/>
          <w:sz w:val="28"/>
          <w:szCs w:val="28"/>
        </w:rPr>
        <w:t>泰达宏利基金管理有限公司关于旗下部分基金参加</w:t>
      </w:r>
      <w:r w:rsidR="00502CA2" w:rsidRPr="00D706E8">
        <w:rPr>
          <w:rFonts w:ascii="宋体" w:eastAsia="宋体" w:hAnsi="宋体" w:hint="eastAsia"/>
          <w:b/>
          <w:bCs/>
          <w:sz w:val="28"/>
          <w:szCs w:val="28"/>
        </w:rPr>
        <w:t>中信建投</w:t>
      </w:r>
      <w:r w:rsidR="00EC47D6" w:rsidRPr="00D706E8">
        <w:rPr>
          <w:rFonts w:ascii="宋体" w:eastAsia="宋体" w:hAnsi="宋体" w:hint="eastAsia"/>
          <w:b/>
          <w:bCs/>
          <w:sz w:val="28"/>
          <w:szCs w:val="28"/>
        </w:rPr>
        <w:t>证券</w:t>
      </w:r>
      <w:r w:rsidR="00502CA2" w:rsidRPr="00D706E8">
        <w:rPr>
          <w:rFonts w:ascii="宋体" w:eastAsia="宋体" w:hAnsi="宋体" w:hint="eastAsia"/>
          <w:b/>
          <w:bCs/>
          <w:sz w:val="28"/>
          <w:szCs w:val="28"/>
        </w:rPr>
        <w:t>股份</w:t>
      </w:r>
      <w:r w:rsidRPr="00D706E8">
        <w:rPr>
          <w:rFonts w:ascii="宋体" w:eastAsia="宋体" w:hAnsi="宋体" w:hint="eastAsia"/>
          <w:b/>
          <w:bCs/>
          <w:sz w:val="28"/>
          <w:szCs w:val="28"/>
        </w:rPr>
        <w:t>有限公司费率优惠活动的公告</w:t>
      </w:r>
    </w:p>
    <w:p w:rsidR="00267AAD" w:rsidRPr="00D706E8" w:rsidRDefault="00267AAD" w:rsidP="00EB3E8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5932D0" w:rsidRPr="00D706E8" w:rsidRDefault="00502CA2" w:rsidP="00EB3E84">
      <w:pPr>
        <w:autoSpaceDE w:val="0"/>
        <w:autoSpaceDN w:val="0"/>
        <w:adjustRightInd w:val="0"/>
        <w:spacing w:before="100" w:beforeAutospacing="1" w:line="360" w:lineRule="auto"/>
        <w:ind w:firstLine="465"/>
        <w:rPr>
          <w:rFonts w:ascii="宋体" w:eastAsia="宋体" w:hAnsi="宋体" w:cs="宋体"/>
          <w:color w:val="000000"/>
          <w:kern w:val="0"/>
          <w:szCs w:val="21"/>
        </w:rPr>
      </w:pPr>
      <w:r w:rsidRPr="00D706E8">
        <w:rPr>
          <w:rFonts w:ascii="宋体" w:eastAsia="宋体" w:hAnsi="宋体" w:cs="宋体" w:hint="eastAsia"/>
          <w:color w:val="000000"/>
          <w:kern w:val="0"/>
          <w:sz w:val="24"/>
          <w:szCs w:val="24"/>
        </w:rPr>
        <w:t>为更好的满足投资者的理财需求，答谢投资者长期以来给予的信任与支持，</w:t>
      </w:r>
      <w:r w:rsidR="00267AAD" w:rsidRPr="00D706E8">
        <w:rPr>
          <w:rFonts w:ascii="宋体" w:eastAsia="宋体" w:hAnsi="宋体" w:cs="宋体" w:hint="eastAsia"/>
          <w:color w:val="000000"/>
          <w:kern w:val="0"/>
          <w:sz w:val="24"/>
          <w:szCs w:val="24"/>
        </w:rPr>
        <w:t>经与</w:t>
      </w:r>
      <w:r w:rsidRPr="00D706E8">
        <w:rPr>
          <w:rFonts w:ascii="宋体" w:eastAsia="宋体" w:hAnsi="宋体" w:cs="宋体" w:hint="eastAsia"/>
          <w:color w:val="000000"/>
          <w:kern w:val="0"/>
          <w:sz w:val="24"/>
          <w:szCs w:val="24"/>
        </w:rPr>
        <w:t>中信建投</w:t>
      </w:r>
      <w:r w:rsidR="00EC47D6" w:rsidRPr="00D706E8">
        <w:rPr>
          <w:rFonts w:ascii="宋体" w:eastAsia="宋体" w:hAnsi="宋体" w:cs="宋体" w:hint="eastAsia"/>
          <w:color w:val="000000"/>
          <w:kern w:val="0"/>
          <w:sz w:val="24"/>
          <w:szCs w:val="24"/>
        </w:rPr>
        <w:t>证券</w:t>
      </w:r>
      <w:r w:rsidRPr="00D706E8">
        <w:rPr>
          <w:rFonts w:ascii="宋体" w:eastAsia="宋体" w:hAnsi="宋体" w:cs="宋体" w:hint="eastAsia"/>
          <w:color w:val="000000"/>
          <w:kern w:val="0"/>
          <w:sz w:val="24"/>
          <w:szCs w:val="24"/>
        </w:rPr>
        <w:t>股份</w:t>
      </w:r>
      <w:r w:rsidR="00267AAD" w:rsidRPr="00D706E8">
        <w:rPr>
          <w:rFonts w:ascii="宋体" w:eastAsia="宋体" w:hAnsi="宋体" w:cs="宋体" w:hint="eastAsia"/>
          <w:color w:val="000000"/>
          <w:kern w:val="0"/>
          <w:sz w:val="24"/>
          <w:szCs w:val="24"/>
        </w:rPr>
        <w:t>有限公司（以下简称“</w:t>
      </w:r>
      <w:r w:rsidRPr="00D706E8">
        <w:rPr>
          <w:rFonts w:ascii="宋体" w:eastAsia="宋体" w:hAnsi="宋体" w:cs="宋体" w:hint="eastAsia"/>
          <w:color w:val="000000"/>
          <w:kern w:val="0"/>
          <w:sz w:val="24"/>
          <w:szCs w:val="24"/>
        </w:rPr>
        <w:t>中信建投</w:t>
      </w:r>
      <w:r w:rsidR="00267AAD" w:rsidRPr="00D706E8">
        <w:rPr>
          <w:rFonts w:ascii="宋体" w:eastAsia="宋体" w:hAnsi="宋体" w:cs="宋体" w:hint="eastAsia"/>
          <w:color w:val="000000"/>
          <w:kern w:val="0"/>
          <w:sz w:val="24"/>
          <w:szCs w:val="24"/>
        </w:rPr>
        <w:t>”）协商一致，泰达宏利基金</w:t>
      </w:r>
      <w:r w:rsidR="007A30FD" w:rsidRPr="00D706E8">
        <w:rPr>
          <w:rFonts w:ascii="宋体" w:eastAsia="宋体" w:hAnsi="宋体" w:cs="宋体" w:hint="eastAsia"/>
          <w:color w:val="000000"/>
          <w:kern w:val="0"/>
          <w:sz w:val="24"/>
          <w:szCs w:val="24"/>
        </w:rPr>
        <w:t>管理</w:t>
      </w:r>
      <w:r w:rsidR="00267AAD" w:rsidRPr="00D706E8">
        <w:rPr>
          <w:rFonts w:ascii="宋体" w:eastAsia="宋体" w:hAnsi="宋体" w:cs="宋体" w:hint="eastAsia"/>
          <w:color w:val="000000"/>
          <w:kern w:val="0"/>
          <w:sz w:val="24"/>
          <w:szCs w:val="24"/>
        </w:rPr>
        <w:t>有限公司（以下简称“本公司”）</w:t>
      </w:r>
      <w:r w:rsidRPr="00D706E8">
        <w:rPr>
          <w:rFonts w:ascii="宋体" w:eastAsia="宋体" w:hAnsi="宋体" w:cs="宋体" w:hint="eastAsia"/>
          <w:color w:val="000000"/>
          <w:kern w:val="0"/>
          <w:sz w:val="24"/>
          <w:szCs w:val="24"/>
        </w:rPr>
        <w:t>决定自</w:t>
      </w: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sidRPr="00D706E8">
        <w:rPr>
          <w:rFonts w:ascii="宋体" w:eastAsia="宋体" w:hAnsi="宋体" w:cs="宋体"/>
          <w:color w:val="000000"/>
          <w:kern w:val="0"/>
          <w:sz w:val="24"/>
          <w:szCs w:val="24"/>
        </w:rPr>
        <w:t>4月24</w:t>
      </w:r>
      <w:r w:rsidRPr="00D706E8">
        <w:rPr>
          <w:rFonts w:ascii="宋体" w:eastAsia="宋体" w:hAnsi="宋体" w:cs="宋体" w:hint="eastAsia"/>
          <w:color w:val="000000"/>
          <w:kern w:val="0"/>
          <w:sz w:val="24"/>
          <w:szCs w:val="24"/>
        </w:rPr>
        <w:t>日起，</w:t>
      </w:r>
      <w:r w:rsidR="00267AAD" w:rsidRPr="00D706E8">
        <w:rPr>
          <w:rFonts w:ascii="宋体" w:eastAsia="宋体" w:hAnsi="宋体" w:cs="宋体" w:hint="eastAsia"/>
          <w:color w:val="000000"/>
          <w:kern w:val="0"/>
          <w:sz w:val="24"/>
          <w:szCs w:val="24"/>
        </w:rPr>
        <w:t>参加</w:t>
      </w:r>
      <w:r w:rsidRPr="00D706E8">
        <w:rPr>
          <w:rFonts w:ascii="宋体" w:eastAsia="宋体" w:hAnsi="宋体" w:cs="宋体" w:hint="eastAsia"/>
          <w:color w:val="000000"/>
          <w:kern w:val="0"/>
          <w:sz w:val="24"/>
          <w:szCs w:val="24"/>
        </w:rPr>
        <w:t>中信建投</w:t>
      </w:r>
      <w:r w:rsidR="00267AAD" w:rsidRPr="00D706E8">
        <w:rPr>
          <w:rFonts w:ascii="宋体" w:eastAsia="宋体" w:hAnsi="宋体" w:cs="宋体" w:hint="eastAsia"/>
          <w:color w:val="000000"/>
          <w:kern w:val="0"/>
          <w:sz w:val="24"/>
          <w:szCs w:val="24"/>
        </w:rPr>
        <w:t>的基金申购（含定期定额申购）费率优惠活动。具体安排如下：</w:t>
      </w:r>
    </w:p>
    <w:p w:rsidR="00502CA2" w:rsidRPr="00D706E8" w:rsidRDefault="005932D0" w:rsidP="00AC2AE3">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sidRPr="00D706E8">
        <w:rPr>
          <w:rFonts w:ascii="宋体" w:eastAsia="宋体" w:hAnsi="宋体" w:cs="宋体" w:hint="eastAsia"/>
          <w:b/>
          <w:color w:val="000000"/>
          <w:kern w:val="0"/>
          <w:sz w:val="24"/>
          <w:szCs w:val="24"/>
        </w:rPr>
        <w:t>一、</w:t>
      </w:r>
      <w:r w:rsidR="00502CA2" w:rsidRPr="00D706E8">
        <w:rPr>
          <w:rFonts w:ascii="宋体" w:eastAsia="宋体" w:hAnsi="宋体" w:cs="宋体" w:hint="eastAsia"/>
          <w:b/>
          <w:color w:val="000000"/>
          <w:kern w:val="0"/>
          <w:sz w:val="24"/>
          <w:szCs w:val="24"/>
        </w:rPr>
        <w:t>适用投资者范围</w:t>
      </w:r>
    </w:p>
    <w:p w:rsidR="00502CA2" w:rsidRPr="00D706E8" w:rsidRDefault="00502CA2"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通过中信建投网上及其营业部申购、定投本公司旗下开放式基金的投资者</w:t>
      </w:r>
      <w:r w:rsidR="00EF6F7A" w:rsidRPr="00D706E8">
        <w:rPr>
          <w:rFonts w:ascii="宋体" w:eastAsia="宋体" w:hAnsi="宋体" w:cs="宋体" w:hint="eastAsia"/>
          <w:color w:val="000000"/>
          <w:kern w:val="0"/>
          <w:sz w:val="24"/>
          <w:szCs w:val="24"/>
        </w:rPr>
        <w:t>。</w:t>
      </w:r>
    </w:p>
    <w:p w:rsidR="007A30FD" w:rsidRPr="00D706E8" w:rsidRDefault="005932D0" w:rsidP="00AC2AE3">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sidRPr="00D706E8">
        <w:rPr>
          <w:rFonts w:ascii="宋体" w:eastAsia="宋体" w:hAnsi="宋体" w:cs="宋体" w:hint="eastAsia"/>
          <w:b/>
          <w:color w:val="000000"/>
          <w:kern w:val="0"/>
          <w:sz w:val="24"/>
          <w:szCs w:val="24"/>
        </w:rPr>
        <w:t>二、</w:t>
      </w:r>
      <w:r w:rsidR="00502CA2" w:rsidRPr="00D706E8">
        <w:rPr>
          <w:rFonts w:ascii="宋体" w:eastAsia="宋体" w:hAnsi="宋体" w:cs="宋体" w:hint="eastAsia"/>
          <w:b/>
          <w:color w:val="000000"/>
          <w:kern w:val="0"/>
          <w:sz w:val="24"/>
          <w:szCs w:val="24"/>
        </w:rPr>
        <w:t>适用基金</w:t>
      </w:r>
    </w:p>
    <w:p w:rsidR="00FC3FCF" w:rsidRPr="00D706E8" w:rsidRDefault="00502CA2"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与中信建投合作销售的本公司旗下开放式基金均可参与，具体参与基金</w:t>
      </w:r>
      <w:r w:rsidR="005932D0" w:rsidRPr="00D706E8">
        <w:rPr>
          <w:rFonts w:ascii="宋体" w:eastAsia="宋体" w:hAnsi="宋体" w:cs="宋体" w:hint="eastAsia"/>
          <w:color w:val="000000"/>
          <w:kern w:val="0"/>
          <w:sz w:val="24"/>
          <w:szCs w:val="24"/>
        </w:rPr>
        <w:t>见下图，</w:t>
      </w:r>
      <w:r w:rsidRPr="00D706E8">
        <w:rPr>
          <w:rFonts w:ascii="宋体" w:eastAsia="宋体" w:hAnsi="宋体" w:cs="宋体" w:hint="eastAsia"/>
          <w:color w:val="000000"/>
          <w:kern w:val="0"/>
          <w:sz w:val="24"/>
          <w:szCs w:val="24"/>
        </w:rPr>
        <w:t>各项优惠活动细则</w:t>
      </w:r>
      <w:r w:rsidR="001E5C74" w:rsidRPr="00D706E8">
        <w:rPr>
          <w:rFonts w:ascii="宋体" w:eastAsia="宋体" w:hAnsi="宋体" w:cs="宋体" w:hint="eastAsia"/>
          <w:color w:val="000000"/>
          <w:kern w:val="0"/>
          <w:sz w:val="24"/>
          <w:szCs w:val="24"/>
        </w:rPr>
        <w:t>以中信建投的规定为准。</w:t>
      </w:r>
    </w:p>
    <w:tbl>
      <w:tblPr>
        <w:tblStyle w:val="a4"/>
        <w:tblW w:w="8364" w:type="dxa"/>
        <w:tblInd w:w="-5" w:type="dxa"/>
        <w:tblLook w:val="04A0"/>
      </w:tblPr>
      <w:tblGrid>
        <w:gridCol w:w="993"/>
        <w:gridCol w:w="5115"/>
        <w:gridCol w:w="2256"/>
      </w:tblGrid>
      <w:tr w:rsidR="009F0997" w:rsidRPr="00D706E8" w:rsidTr="00C563A4">
        <w:tc>
          <w:tcPr>
            <w:tcW w:w="993"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序号</w:t>
            </w:r>
          </w:p>
        </w:tc>
        <w:tc>
          <w:tcPr>
            <w:tcW w:w="5115"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基金名称</w:t>
            </w:r>
          </w:p>
        </w:tc>
        <w:tc>
          <w:tcPr>
            <w:tcW w:w="2256"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基金代码</w:t>
            </w:r>
          </w:p>
        </w:tc>
      </w:tr>
      <w:tr w:rsidR="009F0997" w:rsidRPr="00D706E8" w:rsidTr="00C563A4">
        <w:tc>
          <w:tcPr>
            <w:tcW w:w="993" w:type="dxa"/>
            <w:vAlign w:val="center"/>
          </w:tcPr>
          <w:p w:rsidR="009F0997" w:rsidRPr="00D706E8" w:rsidRDefault="009F0997"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1</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泰达宏利价值优化型成长类行业混合型证券投资基金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1</w:t>
            </w:r>
            <w:r w:rsidRPr="00D706E8">
              <w:rPr>
                <w:rFonts w:ascii="宋体" w:eastAsia="宋体" w:hAnsi="宋体"/>
                <w:sz w:val="24"/>
                <w:szCs w:val="24"/>
              </w:rPr>
              <w:t>62201</w:t>
            </w:r>
          </w:p>
        </w:tc>
      </w:tr>
      <w:tr w:rsidR="009F0997" w:rsidRPr="00D706E8" w:rsidTr="00C563A4">
        <w:tc>
          <w:tcPr>
            <w:tcW w:w="993" w:type="dxa"/>
            <w:vAlign w:val="center"/>
          </w:tcPr>
          <w:p w:rsidR="009F0997" w:rsidRPr="00D706E8" w:rsidRDefault="009F0997"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2</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泰达宏利价值优化型周期类行业混合型证券投资基金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162202</w:t>
            </w:r>
          </w:p>
        </w:tc>
      </w:tr>
      <w:tr w:rsidR="009F0997" w:rsidRPr="00D706E8" w:rsidTr="00C563A4">
        <w:tc>
          <w:tcPr>
            <w:tcW w:w="993" w:type="dxa"/>
            <w:vAlign w:val="center"/>
          </w:tcPr>
          <w:p w:rsidR="009F0997" w:rsidRPr="00D706E8" w:rsidRDefault="009F0997"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3</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泰达宏利价值优化型稳定类行业混合型证券投资基金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162203</w:t>
            </w:r>
          </w:p>
        </w:tc>
      </w:tr>
      <w:tr w:rsidR="009F0997" w:rsidRPr="00D706E8" w:rsidTr="00C563A4">
        <w:tc>
          <w:tcPr>
            <w:tcW w:w="993" w:type="dxa"/>
            <w:vAlign w:val="center"/>
          </w:tcPr>
          <w:p w:rsidR="009F0997" w:rsidRPr="00D706E8" w:rsidRDefault="009F0997"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4</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泰达宏利行业精选混合型证券投资基金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162204</w:t>
            </w:r>
          </w:p>
        </w:tc>
      </w:tr>
      <w:tr w:rsidR="009F0997" w:rsidRPr="00D706E8" w:rsidTr="00C563A4">
        <w:tc>
          <w:tcPr>
            <w:tcW w:w="993" w:type="dxa"/>
            <w:vAlign w:val="center"/>
          </w:tcPr>
          <w:p w:rsidR="009F0997" w:rsidRPr="00D706E8" w:rsidRDefault="009F0997"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5</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泰达宏利风险预算混合型证券投资基金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162205</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kern w:val="0"/>
                <w:sz w:val="24"/>
                <w:szCs w:val="24"/>
              </w:rPr>
              <w:t>6</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泰达宏利效率优选混合型证券投资基金（LOF）</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162207</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kern w:val="0"/>
                <w:sz w:val="24"/>
                <w:szCs w:val="24"/>
              </w:rPr>
              <w:t>7</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泰达宏利首选企业股票型证券投资基金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162208</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kern w:val="0"/>
                <w:sz w:val="24"/>
                <w:szCs w:val="24"/>
              </w:rPr>
              <w:t>8</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泰达宏利市值优选混合型证券投资基金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162209</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kern w:val="0"/>
                <w:sz w:val="24"/>
                <w:szCs w:val="24"/>
              </w:rPr>
              <w:t>9</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泰达宏利集利债券型证券投资基金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162210</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1</w:t>
            </w:r>
            <w:r w:rsidRPr="00D706E8">
              <w:rPr>
                <w:rFonts w:ascii="宋体" w:eastAsia="宋体" w:hAnsi="宋体" w:cs="宋体"/>
                <w:kern w:val="0"/>
                <w:sz w:val="24"/>
                <w:szCs w:val="24"/>
              </w:rPr>
              <w:t>0</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泰达宏利品质生活灵活配置混合型证券投资基金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162211</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1</w:t>
            </w:r>
            <w:r w:rsidRPr="00D706E8">
              <w:rPr>
                <w:rFonts w:ascii="宋体" w:eastAsia="宋体" w:hAnsi="宋体" w:cs="宋体"/>
                <w:kern w:val="0"/>
                <w:sz w:val="24"/>
                <w:szCs w:val="24"/>
              </w:rPr>
              <w:t>1</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泰达宏利红利先锋混合型证券投资基金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162212</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1</w:t>
            </w:r>
            <w:r w:rsidRPr="00D706E8">
              <w:rPr>
                <w:rFonts w:ascii="宋体" w:eastAsia="宋体" w:hAnsi="宋体" w:cs="宋体"/>
                <w:kern w:val="0"/>
                <w:sz w:val="24"/>
                <w:szCs w:val="24"/>
              </w:rPr>
              <w:t>2</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泰达宏利沪深300指数增强型证券投资基金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162213</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1</w:t>
            </w:r>
            <w:r w:rsidRPr="00D706E8">
              <w:rPr>
                <w:rFonts w:ascii="宋体" w:eastAsia="宋体" w:hAnsi="宋体" w:cs="宋体"/>
                <w:kern w:val="0"/>
                <w:sz w:val="24"/>
                <w:szCs w:val="24"/>
              </w:rPr>
              <w:t>3</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泰达宏利领先</w:t>
            </w:r>
            <w:bookmarkStart w:id="0" w:name="_GoBack"/>
            <w:bookmarkEnd w:id="0"/>
            <w:r w:rsidRPr="00D706E8">
              <w:rPr>
                <w:rFonts w:ascii="宋体" w:eastAsia="宋体" w:hAnsi="宋体"/>
                <w:sz w:val="24"/>
                <w:szCs w:val="24"/>
              </w:rPr>
              <w:t>中小盘混合型证券投资基金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162214</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1</w:t>
            </w:r>
            <w:r w:rsidRPr="00D706E8">
              <w:rPr>
                <w:rFonts w:ascii="宋体" w:eastAsia="宋体" w:hAnsi="宋体" w:cs="宋体"/>
                <w:kern w:val="0"/>
                <w:sz w:val="24"/>
                <w:szCs w:val="24"/>
              </w:rPr>
              <w:t>4</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泰达宏利聚利债券型证券投资基金（LOF）</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162215</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lastRenderedPageBreak/>
              <w:t>1</w:t>
            </w:r>
            <w:r w:rsidRPr="00D706E8">
              <w:rPr>
                <w:rFonts w:ascii="宋体" w:eastAsia="宋体" w:hAnsi="宋体" w:cs="宋体"/>
                <w:kern w:val="0"/>
                <w:sz w:val="24"/>
                <w:szCs w:val="24"/>
              </w:rPr>
              <w:t>5</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泰达宏利中证500指数增强型证券投资基金（LOF）</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162216</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1</w:t>
            </w:r>
            <w:r w:rsidRPr="00D706E8">
              <w:rPr>
                <w:rFonts w:ascii="宋体" w:eastAsia="宋体" w:hAnsi="宋体" w:cs="宋体"/>
                <w:kern w:val="0"/>
                <w:sz w:val="24"/>
                <w:szCs w:val="24"/>
              </w:rPr>
              <w:t>6</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泰达宏利逆向策略混合型证券投资基金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229002</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1</w:t>
            </w:r>
            <w:r w:rsidRPr="00D706E8">
              <w:rPr>
                <w:rFonts w:ascii="宋体" w:eastAsia="宋体" w:hAnsi="宋体" w:cs="宋体"/>
                <w:kern w:val="0"/>
                <w:sz w:val="24"/>
                <w:szCs w:val="24"/>
              </w:rPr>
              <w:t>7</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泰达宏利宏达混合型证券投资基金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000507</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hint="eastAsia"/>
                <w:kern w:val="0"/>
                <w:sz w:val="24"/>
                <w:szCs w:val="24"/>
              </w:rPr>
              <w:t>1</w:t>
            </w:r>
            <w:r w:rsidRPr="00D706E8">
              <w:rPr>
                <w:rFonts w:ascii="宋体" w:eastAsia="宋体" w:hAnsi="宋体" w:cs="宋体"/>
                <w:kern w:val="0"/>
                <w:sz w:val="24"/>
                <w:szCs w:val="24"/>
              </w:rPr>
              <w:t>8</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泰达宏利淘利债券型证券投资基金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000319</w:t>
            </w:r>
          </w:p>
        </w:tc>
      </w:tr>
      <w:tr w:rsidR="009F0997" w:rsidRPr="00D706E8" w:rsidTr="00C563A4">
        <w:tc>
          <w:tcPr>
            <w:tcW w:w="993" w:type="dxa"/>
            <w:vAlign w:val="center"/>
          </w:tcPr>
          <w:p w:rsidR="009F0997" w:rsidRPr="00D706E8" w:rsidRDefault="00DF4490" w:rsidP="00A132AC">
            <w:pPr>
              <w:pStyle w:val="a3"/>
              <w:ind w:firstLineChars="0" w:firstLine="0"/>
              <w:jc w:val="center"/>
              <w:rPr>
                <w:rFonts w:ascii="宋体" w:eastAsia="宋体" w:hAnsi="宋体" w:cs="宋体"/>
                <w:kern w:val="0"/>
                <w:sz w:val="24"/>
                <w:szCs w:val="24"/>
              </w:rPr>
            </w:pPr>
            <w:r w:rsidRPr="00D706E8">
              <w:rPr>
                <w:rFonts w:ascii="宋体" w:eastAsia="宋体" w:hAnsi="宋体" w:cs="宋体"/>
                <w:kern w:val="0"/>
                <w:sz w:val="24"/>
                <w:szCs w:val="24"/>
              </w:rPr>
              <w:t>19</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泰达宏利转型机遇股票型证券投资基金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000828</w:t>
            </w:r>
          </w:p>
        </w:tc>
      </w:tr>
      <w:tr w:rsidR="009F0997" w:rsidRPr="00C563A4" w:rsidTr="00C563A4">
        <w:tc>
          <w:tcPr>
            <w:tcW w:w="993" w:type="dxa"/>
            <w:vAlign w:val="center"/>
          </w:tcPr>
          <w:p w:rsidR="009F0997" w:rsidRPr="00C563A4" w:rsidRDefault="00DF4490" w:rsidP="00A132AC">
            <w:pPr>
              <w:pStyle w:val="a3"/>
              <w:ind w:firstLineChars="0" w:firstLine="0"/>
              <w:jc w:val="center"/>
              <w:rPr>
                <w:rFonts w:ascii="宋体" w:eastAsia="宋体" w:hAnsi="宋体"/>
                <w:sz w:val="24"/>
                <w:szCs w:val="24"/>
              </w:rPr>
            </w:pPr>
            <w:r w:rsidRPr="00C563A4">
              <w:rPr>
                <w:rFonts w:ascii="宋体" w:eastAsia="宋体" w:hAnsi="宋体"/>
                <w:sz w:val="24"/>
                <w:szCs w:val="24"/>
              </w:rPr>
              <w:t>20</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泰达宏利改革动力量化策略灵活配置混合型证券投资基金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001017</w:t>
            </w:r>
          </w:p>
        </w:tc>
      </w:tr>
      <w:tr w:rsidR="009F0997" w:rsidRPr="00C563A4" w:rsidTr="00C563A4">
        <w:tc>
          <w:tcPr>
            <w:tcW w:w="993" w:type="dxa"/>
            <w:vAlign w:val="center"/>
          </w:tcPr>
          <w:p w:rsidR="009F0997" w:rsidRPr="00C563A4" w:rsidRDefault="00DF4490" w:rsidP="00A132AC">
            <w:pPr>
              <w:pStyle w:val="a3"/>
              <w:ind w:firstLineChars="0" w:firstLine="0"/>
              <w:jc w:val="center"/>
              <w:rPr>
                <w:rFonts w:ascii="宋体" w:eastAsia="宋体" w:hAnsi="宋体"/>
                <w:sz w:val="24"/>
                <w:szCs w:val="24"/>
              </w:rPr>
            </w:pPr>
            <w:r w:rsidRPr="00C563A4">
              <w:rPr>
                <w:rFonts w:ascii="宋体" w:eastAsia="宋体" w:hAnsi="宋体"/>
                <w:sz w:val="24"/>
                <w:szCs w:val="24"/>
              </w:rPr>
              <w:t>21</w:t>
            </w:r>
          </w:p>
        </w:tc>
        <w:tc>
          <w:tcPr>
            <w:tcW w:w="5115" w:type="dxa"/>
            <w:vAlign w:val="center"/>
          </w:tcPr>
          <w:p w:rsidR="009F0997" w:rsidRPr="00C563A4"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泰达宏利创盈灵活配置混合型证券投资基金A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001141</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2</w:t>
            </w:r>
            <w:r w:rsidRPr="00D706E8">
              <w:rPr>
                <w:rFonts w:ascii="宋体" w:eastAsia="宋体" w:hAnsi="宋体"/>
                <w:sz w:val="24"/>
                <w:szCs w:val="24"/>
              </w:rPr>
              <w:t>2</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泰达宏利复兴伟业灵活配置混合型证券投资基金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001170</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2</w:t>
            </w:r>
            <w:r w:rsidRPr="00D706E8">
              <w:rPr>
                <w:rFonts w:ascii="宋体" w:eastAsia="宋体" w:hAnsi="宋体"/>
                <w:sz w:val="24"/>
                <w:szCs w:val="24"/>
              </w:rPr>
              <w:t>3</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泰达宏利新起点灵活配置混合型证券投资基金A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001254</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2</w:t>
            </w:r>
            <w:r w:rsidRPr="00D706E8">
              <w:rPr>
                <w:rFonts w:ascii="宋体" w:eastAsia="宋体" w:hAnsi="宋体"/>
                <w:sz w:val="24"/>
                <w:szCs w:val="24"/>
              </w:rPr>
              <w:t>4</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泰达宏利蓝筹价值混合型证券投资基金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001267</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2</w:t>
            </w:r>
            <w:r w:rsidRPr="00D706E8">
              <w:rPr>
                <w:rFonts w:ascii="宋体" w:eastAsia="宋体" w:hAnsi="宋体"/>
                <w:sz w:val="24"/>
                <w:szCs w:val="24"/>
              </w:rPr>
              <w:t>5</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泰达宏利新思路灵活配置混合型证券投资基金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001419</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26</w:t>
            </w:r>
          </w:p>
        </w:tc>
        <w:tc>
          <w:tcPr>
            <w:tcW w:w="5115"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泰达宏利创益灵活配置混合型</w:t>
            </w:r>
            <w:r w:rsidRPr="00D706E8">
              <w:rPr>
                <w:rFonts w:ascii="宋体" w:eastAsia="宋体" w:hAnsi="宋体"/>
                <w:sz w:val="24"/>
                <w:szCs w:val="24"/>
              </w:rPr>
              <w:t>证券投资基金</w:t>
            </w:r>
            <w:r w:rsidRPr="00D706E8">
              <w:rPr>
                <w:rFonts w:ascii="宋体" w:eastAsia="宋体" w:hAnsi="宋体" w:hint="eastAsia"/>
                <w:sz w:val="24"/>
                <w:szCs w:val="24"/>
              </w:rPr>
              <w:t>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001418</w:t>
            </w:r>
          </w:p>
        </w:tc>
      </w:tr>
      <w:tr w:rsidR="009F0997" w:rsidRPr="00C563A4" w:rsidTr="00C563A4">
        <w:trPr>
          <w:trHeight w:val="481"/>
        </w:trPr>
        <w:tc>
          <w:tcPr>
            <w:tcW w:w="993" w:type="dxa"/>
            <w:vAlign w:val="center"/>
          </w:tcPr>
          <w:p w:rsidR="009F0997" w:rsidRPr="00D706E8" w:rsidDel="002B517C" w:rsidRDefault="00DF4490"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2</w:t>
            </w:r>
            <w:r w:rsidRPr="00D706E8">
              <w:rPr>
                <w:rFonts w:ascii="宋体" w:eastAsia="宋体" w:hAnsi="宋体"/>
                <w:sz w:val="24"/>
                <w:szCs w:val="24"/>
              </w:rPr>
              <w:t>7</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泰达宏利同顺大数据量化优选灵活配置混合型证券投资基金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002263</w:t>
            </w:r>
          </w:p>
        </w:tc>
      </w:tr>
      <w:tr w:rsidR="009F0997" w:rsidRPr="00C563A4" w:rsidTr="00C563A4">
        <w:trPr>
          <w:trHeight w:val="284"/>
        </w:trPr>
        <w:tc>
          <w:tcPr>
            <w:tcW w:w="993" w:type="dxa"/>
            <w:vAlign w:val="center"/>
          </w:tcPr>
          <w:p w:rsidR="009F0997" w:rsidRPr="00D706E8" w:rsidRDefault="00DF4490"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28</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bookmarkStart w:id="1" w:name="_Toc123112222"/>
            <w:bookmarkStart w:id="2" w:name="_Toc123112261"/>
            <w:bookmarkStart w:id="3" w:name="_Toc123701381"/>
            <w:bookmarkStart w:id="4" w:name="_Toc139991724"/>
            <w:bookmarkStart w:id="5" w:name="_Toc139992299"/>
            <w:r w:rsidRPr="00D706E8">
              <w:rPr>
                <w:rFonts w:ascii="宋体" w:eastAsia="宋体" w:hAnsi="宋体" w:hint="eastAsia"/>
                <w:sz w:val="24"/>
                <w:szCs w:val="24"/>
              </w:rPr>
              <w:t>泰达宏利汇利债券型</w:t>
            </w:r>
            <w:r w:rsidRPr="00D706E8">
              <w:rPr>
                <w:rFonts w:ascii="宋体" w:eastAsia="宋体" w:hAnsi="宋体"/>
                <w:sz w:val="24"/>
                <w:szCs w:val="24"/>
              </w:rPr>
              <w:t>证券投资基金</w:t>
            </w:r>
            <w:bookmarkEnd w:id="1"/>
            <w:bookmarkEnd w:id="2"/>
            <w:bookmarkEnd w:id="3"/>
            <w:bookmarkEnd w:id="4"/>
            <w:bookmarkEnd w:id="5"/>
            <w:r w:rsidRPr="00D706E8">
              <w:rPr>
                <w:rFonts w:ascii="宋体" w:eastAsia="宋体" w:hAnsi="宋体" w:hint="eastAsia"/>
                <w:sz w:val="24"/>
                <w:szCs w:val="24"/>
              </w:rPr>
              <w:t>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003073</w:t>
            </w:r>
          </w:p>
        </w:tc>
      </w:tr>
      <w:tr w:rsidR="009F0997" w:rsidRPr="00C563A4" w:rsidTr="00C563A4">
        <w:tc>
          <w:tcPr>
            <w:tcW w:w="993" w:type="dxa"/>
            <w:vAlign w:val="center"/>
          </w:tcPr>
          <w:p w:rsidR="009F0997" w:rsidRPr="00D706E8" w:rsidRDefault="00DF4490"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29</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泰达宏利量化增强股票型证券投资基金</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001733</w:t>
            </w:r>
          </w:p>
        </w:tc>
      </w:tr>
      <w:tr w:rsidR="009F0997" w:rsidRPr="00C563A4" w:rsidTr="00C563A4">
        <w:tc>
          <w:tcPr>
            <w:tcW w:w="993" w:type="dxa"/>
            <w:vAlign w:val="center"/>
          </w:tcPr>
          <w:p w:rsidR="009F0997" w:rsidRPr="00D706E8" w:rsidRDefault="00DF4490"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30</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泰达宏利定宏混合型证券投资基金</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003104</w:t>
            </w:r>
          </w:p>
        </w:tc>
      </w:tr>
      <w:tr w:rsidR="009F0997" w:rsidRPr="00C563A4" w:rsidTr="00C563A4">
        <w:tc>
          <w:tcPr>
            <w:tcW w:w="993" w:type="dxa"/>
            <w:vAlign w:val="center"/>
          </w:tcPr>
          <w:p w:rsidR="009F0997" w:rsidRPr="00D706E8" w:rsidRDefault="00DF4490"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31</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泰达宏利创金灵活配置混合型证券投资基金A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003414</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3</w:t>
            </w:r>
            <w:r w:rsidRPr="00D706E8">
              <w:rPr>
                <w:rFonts w:ascii="宋体" w:eastAsia="宋体" w:hAnsi="宋体"/>
                <w:sz w:val="24"/>
                <w:szCs w:val="24"/>
              </w:rPr>
              <w:t>2</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泰达宏利亚洲债券型证券投资基金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003463</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3</w:t>
            </w:r>
            <w:r w:rsidRPr="00D706E8">
              <w:rPr>
                <w:rFonts w:ascii="宋体" w:eastAsia="宋体" w:hAnsi="宋体"/>
                <w:sz w:val="24"/>
                <w:szCs w:val="24"/>
              </w:rPr>
              <w:t>3</w:t>
            </w:r>
          </w:p>
        </w:tc>
        <w:tc>
          <w:tcPr>
            <w:tcW w:w="5115" w:type="dxa"/>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泰达宏利睿智稳健灵活配置混合型证券投资基金</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003501</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34</w:t>
            </w:r>
          </w:p>
        </w:tc>
        <w:tc>
          <w:tcPr>
            <w:tcW w:w="5115" w:type="dxa"/>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泰达宏利纯利债券型证券投资基金A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0037</w:t>
            </w:r>
            <w:r w:rsidRPr="00D706E8">
              <w:rPr>
                <w:rFonts w:ascii="宋体" w:eastAsia="宋体" w:hAnsi="宋体"/>
                <w:sz w:val="24"/>
                <w:szCs w:val="24"/>
              </w:rPr>
              <w:t>67/</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3</w:t>
            </w:r>
            <w:r w:rsidRPr="00D706E8">
              <w:rPr>
                <w:rFonts w:ascii="宋体" w:eastAsia="宋体" w:hAnsi="宋体"/>
                <w:sz w:val="24"/>
                <w:szCs w:val="24"/>
              </w:rPr>
              <w:t>5</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泰达宏利睿选稳健灵活配置混合型证券投资基金</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004000</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36</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泰达宏利溢利债券型证券投资基金A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003793</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37</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泰达宏利业绩驱动量化股票型证券投资基金A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00448</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38</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泰达宏利全能优选混合型基金中基金（FOF）</w:t>
            </w:r>
            <w:r w:rsidRPr="00D706E8">
              <w:rPr>
                <w:rFonts w:ascii="宋体" w:eastAsia="宋体" w:hAnsi="宋体" w:hint="eastAsia"/>
                <w:sz w:val="24"/>
                <w:szCs w:val="24"/>
              </w:rPr>
              <w:t>A</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005221</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39</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泰达宏利绩优增长灵活配置混合型证券投资基金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005903</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40</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泰达宏利泰和平衡养老目标三年持有期混合型基金中基金（FOF）</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006306</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4</w:t>
            </w:r>
            <w:r w:rsidRPr="00D706E8">
              <w:rPr>
                <w:rFonts w:ascii="宋体" w:eastAsia="宋体" w:hAnsi="宋体"/>
                <w:sz w:val="24"/>
                <w:szCs w:val="24"/>
              </w:rPr>
              <w:t>1</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泰达宏利印度机会股票型证券投资基金（QDII）</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006105</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42</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泰达宏利永利债券型证券投资基金</w:t>
            </w:r>
          </w:p>
        </w:tc>
        <w:tc>
          <w:tcPr>
            <w:tcW w:w="2256" w:type="dxa"/>
            <w:vAlign w:val="center"/>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00764</w:t>
            </w:r>
            <w:r w:rsidRPr="00D706E8">
              <w:rPr>
                <w:rFonts w:ascii="宋体" w:eastAsia="宋体" w:hAnsi="宋体"/>
                <w:sz w:val="24"/>
                <w:szCs w:val="24"/>
              </w:rPr>
              <w:t>0</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43</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泰达宏利鑫利半年定期开放债券型证券投资基金</w:t>
            </w:r>
            <w:r w:rsidR="00D706E8">
              <w:rPr>
                <w:rFonts w:ascii="宋体" w:eastAsia="宋体" w:hAnsi="宋体" w:hint="eastAsia"/>
                <w:sz w:val="24"/>
                <w:szCs w:val="24"/>
              </w:rPr>
              <w:t>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hint="eastAsia"/>
                <w:sz w:val="24"/>
                <w:szCs w:val="24"/>
              </w:rPr>
              <w:t>007641</w:t>
            </w:r>
          </w:p>
        </w:tc>
      </w:tr>
      <w:tr w:rsidR="009F0997" w:rsidRPr="00C563A4" w:rsidTr="00C563A4">
        <w:tc>
          <w:tcPr>
            <w:tcW w:w="993" w:type="dxa"/>
            <w:vAlign w:val="center"/>
          </w:tcPr>
          <w:p w:rsidR="009F0997" w:rsidRPr="00D706E8" w:rsidDel="00C11B1A"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4</w:t>
            </w:r>
            <w:r w:rsidRPr="00D706E8">
              <w:rPr>
                <w:rFonts w:ascii="宋体" w:eastAsia="宋体" w:hAnsi="宋体"/>
                <w:sz w:val="24"/>
                <w:szCs w:val="24"/>
              </w:rPr>
              <w:t>4</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泰达宏利品牌升级混合型证券投资基金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007678</w:t>
            </w:r>
          </w:p>
        </w:tc>
      </w:tr>
      <w:tr w:rsidR="009F0997" w:rsidRPr="00C563A4" w:rsidTr="00C563A4">
        <w:tc>
          <w:tcPr>
            <w:tcW w:w="993" w:type="dxa"/>
            <w:vAlign w:val="center"/>
          </w:tcPr>
          <w:p w:rsidR="009F0997" w:rsidRPr="00D706E8" w:rsidDel="00C11B1A" w:rsidRDefault="00DF4490"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4</w:t>
            </w:r>
            <w:r w:rsidRPr="00D706E8">
              <w:rPr>
                <w:rFonts w:ascii="宋体" w:eastAsia="宋体" w:hAnsi="宋体"/>
                <w:sz w:val="24"/>
                <w:szCs w:val="24"/>
              </w:rPr>
              <w:t>5</w:t>
            </w:r>
          </w:p>
        </w:tc>
        <w:tc>
          <w:tcPr>
            <w:tcW w:w="5115"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泰达宏利消费行业量化精选混合型证券投资基金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008353</w:t>
            </w:r>
          </w:p>
        </w:tc>
      </w:tr>
      <w:tr w:rsidR="009F0997" w:rsidRPr="00C563A4" w:rsidTr="00C563A4">
        <w:tc>
          <w:tcPr>
            <w:tcW w:w="993" w:type="dxa"/>
            <w:vAlign w:val="center"/>
          </w:tcPr>
          <w:p w:rsidR="009F0997" w:rsidRPr="00D706E8" w:rsidDel="00C11B1A"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lastRenderedPageBreak/>
              <w:t>46</w:t>
            </w:r>
          </w:p>
        </w:tc>
        <w:tc>
          <w:tcPr>
            <w:tcW w:w="5115" w:type="dxa"/>
            <w:vAlign w:val="center"/>
          </w:tcPr>
          <w:p w:rsidR="009F0997" w:rsidRPr="00D706E8" w:rsidRDefault="00AE1182"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泰达宏利养老目标日期2040三年持有期混合型发起式基金中基金（FOF）A/E</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A</w:t>
            </w:r>
            <w:r w:rsidRPr="00D706E8">
              <w:rPr>
                <w:rFonts w:ascii="宋体" w:eastAsia="宋体" w:hAnsi="宋体" w:hint="eastAsia"/>
                <w:sz w:val="24"/>
                <w:szCs w:val="24"/>
              </w:rPr>
              <w:t>:</w:t>
            </w:r>
            <w:r w:rsidRPr="00D706E8">
              <w:rPr>
                <w:rFonts w:ascii="宋体" w:eastAsia="宋体" w:hAnsi="宋体"/>
                <w:sz w:val="24"/>
                <w:szCs w:val="24"/>
              </w:rPr>
              <w:t>007688/E:007695</w:t>
            </w:r>
          </w:p>
        </w:tc>
      </w:tr>
      <w:tr w:rsidR="009F0997" w:rsidRPr="00C563A4" w:rsidTr="00C563A4">
        <w:tc>
          <w:tcPr>
            <w:tcW w:w="993" w:type="dxa"/>
            <w:vAlign w:val="center"/>
          </w:tcPr>
          <w:p w:rsidR="009F0997" w:rsidRPr="00D706E8" w:rsidRDefault="00DF4490" w:rsidP="00A132AC">
            <w:pPr>
              <w:pStyle w:val="a3"/>
              <w:ind w:firstLineChars="0" w:firstLine="0"/>
              <w:jc w:val="center"/>
              <w:rPr>
                <w:rFonts w:ascii="宋体" w:eastAsia="宋体" w:hAnsi="宋体"/>
                <w:sz w:val="24"/>
                <w:szCs w:val="24"/>
              </w:rPr>
            </w:pPr>
            <w:r w:rsidRPr="00D706E8">
              <w:rPr>
                <w:rFonts w:ascii="宋体" w:eastAsia="宋体" w:hAnsi="宋体"/>
                <w:sz w:val="24"/>
                <w:szCs w:val="24"/>
              </w:rPr>
              <w:t>47</w:t>
            </w:r>
          </w:p>
        </w:tc>
        <w:tc>
          <w:tcPr>
            <w:tcW w:w="5115" w:type="dxa"/>
            <w:vAlign w:val="center"/>
          </w:tcPr>
          <w:p w:rsidR="009F0997" w:rsidRPr="00C563A4"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泰达宏利中证主要消费红利指数型证券投资基金</w:t>
            </w:r>
            <w:r w:rsidRPr="00D706E8">
              <w:rPr>
                <w:rFonts w:ascii="宋体" w:eastAsia="宋体" w:hAnsi="宋体" w:hint="eastAsia"/>
                <w:sz w:val="24"/>
                <w:szCs w:val="24"/>
              </w:rPr>
              <w:t>A</w:t>
            </w:r>
          </w:p>
        </w:tc>
        <w:tc>
          <w:tcPr>
            <w:tcW w:w="2256" w:type="dxa"/>
            <w:vAlign w:val="center"/>
          </w:tcPr>
          <w:p w:rsidR="009F0997" w:rsidRPr="00D706E8" w:rsidRDefault="009F0997" w:rsidP="00C563A4">
            <w:pPr>
              <w:pStyle w:val="a3"/>
              <w:ind w:firstLineChars="0" w:firstLine="0"/>
              <w:jc w:val="center"/>
              <w:rPr>
                <w:rFonts w:ascii="宋体" w:eastAsia="宋体" w:hAnsi="宋体"/>
                <w:sz w:val="24"/>
                <w:szCs w:val="24"/>
              </w:rPr>
            </w:pPr>
            <w:r w:rsidRPr="00D706E8">
              <w:rPr>
                <w:rFonts w:ascii="宋体" w:eastAsia="宋体" w:hAnsi="宋体"/>
                <w:sz w:val="24"/>
                <w:szCs w:val="24"/>
              </w:rPr>
              <w:t>008928</w:t>
            </w:r>
          </w:p>
        </w:tc>
      </w:tr>
    </w:tbl>
    <w:p w:rsidR="007E0760" w:rsidRPr="00D706E8" w:rsidRDefault="007E0760"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5C74" w:rsidRPr="00D706E8" w:rsidRDefault="005932D0" w:rsidP="00AC2AE3">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sidRPr="00D706E8">
        <w:rPr>
          <w:rFonts w:ascii="宋体" w:eastAsia="宋体" w:hAnsi="宋体" w:cs="宋体" w:hint="eastAsia"/>
          <w:b/>
          <w:color w:val="000000"/>
          <w:kern w:val="0"/>
          <w:sz w:val="24"/>
          <w:szCs w:val="24"/>
        </w:rPr>
        <w:t>三、</w:t>
      </w:r>
      <w:r w:rsidR="001E5C74" w:rsidRPr="00D706E8">
        <w:rPr>
          <w:rFonts w:ascii="宋体" w:eastAsia="宋体" w:hAnsi="宋体" w:cs="宋体" w:hint="eastAsia"/>
          <w:b/>
          <w:color w:val="000000"/>
          <w:kern w:val="0"/>
          <w:sz w:val="24"/>
          <w:szCs w:val="24"/>
        </w:rPr>
        <w:t>优惠活动期限</w:t>
      </w:r>
    </w:p>
    <w:p w:rsidR="005932D0" w:rsidRPr="00D706E8" w:rsidRDefault="001E5C74"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优惠活动自</w:t>
      </w: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sidRPr="00D706E8">
        <w:rPr>
          <w:rFonts w:ascii="宋体" w:eastAsia="宋体" w:hAnsi="宋体" w:cs="宋体"/>
          <w:color w:val="000000"/>
          <w:kern w:val="0"/>
          <w:sz w:val="24"/>
          <w:szCs w:val="24"/>
        </w:rPr>
        <w:t>4月24</w:t>
      </w:r>
      <w:r w:rsidRPr="00D706E8">
        <w:rPr>
          <w:rFonts w:ascii="宋体" w:eastAsia="宋体" w:hAnsi="宋体" w:cs="宋体" w:hint="eastAsia"/>
          <w:color w:val="000000"/>
          <w:kern w:val="0"/>
          <w:sz w:val="24"/>
          <w:szCs w:val="24"/>
        </w:rPr>
        <w:t>日（含</w:t>
      </w:r>
      <w:r w:rsidRPr="00D706E8">
        <w:rPr>
          <w:rFonts w:ascii="宋体" w:eastAsia="宋体" w:hAnsi="宋体" w:cs="宋体"/>
          <w:color w:val="000000"/>
          <w:kern w:val="0"/>
          <w:sz w:val="24"/>
          <w:szCs w:val="24"/>
        </w:rPr>
        <w:t>4月24</w:t>
      </w:r>
      <w:r w:rsidRPr="00D706E8">
        <w:rPr>
          <w:rFonts w:ascii="宋体" w:eastAsia="宋体" w:hAnsi="宋体" w:cs="宋体" w:hint="eastAsia"/>
          <w:color w:val="000000"/>
          <w:kern w:val="0"/>
          <w:sz w:val="24"/>
          <w:szCs w:val="24"/>
        </w:rPr>
        <w:t>日）起，结束时间以中信建投公告或规定为准。</w:t>
      </w:r>
    </w:p>
    <w:p w:rsidR="001E5C74" w:rsidRPr="00D706E8" w:rsidRDefault="005932D0" w:rsidP="00AC2AE3">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sidRPr="00D706E8">
        <w:rPr>
          <w:rFonts w:ascii="宋体" w:eastAsia="宋体" w:hAnsi="宋体" w:cs="宋体" w:hint="eastAsia"/>
          <w:b/>
          <w:color w:val="000000"/>
          <w:kern w:val="0"/>
          <w:sz w:val="24"/>
          <w:szCs w:val="24"/>
        </w:rPr>
        <w:t>四、</w:t>
      </w:r>
      <w:r w:rsidR="001E5C74" w:rsidRPr="00D706E8">
        <w:rPr>
          <w:rFonts w:ascii="宋体" w:eastAsia="宋体" w:hAnsi="宋体" w:cs="宋体" w:hint="eastAsia"/>
          <w:b/>
          <w:color w:val="000000"/>
          <w:kern w:val="0"/>
          <w:sz w:val="24"/>
          <w:szCs w:val="24"/>
        </w:rPr>
        <w:t>具体优惠费率</w:t>
      </w:r>
    </w:p>
    <w:p w:rsidR="001E5C74" w:rsidRPr="00D706E8" w:rsidRDefault="002168FA"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最低折扣为1折，</w:t>
      </w:r>
      <w:r w:rsidR="00EC6223" w:rsidRPr="00D706E8">
        <w:rPr>
          <w:rFonts w:ascii="宋体" w:eastAsia="宋体" w:hAnsi="宋体" w:cs="宋体" w:hint="eastAsia"/>
          <w:color w:val="000000"/>
          <w:kern w:val="0"/>
          <w:sz w:val="24"/>
          <w:szCs w:val="24"/>
        </w:rPr>
        <w:t>基金申购费率为固定金额的不参与折扣，</w:t>
      </w:r>
      <w:r w:rsidRPr="00D706E8">
        <w:rPr>
          <w:rFonts w:ascii="宋体" w:eastAsia="宋体" w:hAnsi="宋体" w:cs="宋体" w:hint="eastAsia"/>
          <w:color w:val="000000"/>
          <w:kern w:val="0"/>
          <w:sz w:val="24"/>
          <w:szCs w:val="24"/>
        </w:rPr>
        <w:t>具体折扣</w:t>
      </w:r>
      <w:r w:rsidR="001E5C74" w:rsidRPr="00D706E8">
        <w:rPr>
          <w:rFonts w:ascii="宋体" w:eastAsia="宋体" w:hAnsi="宋体" w:cs="宋体" w:hint="eastAsia"/>
          <w:color w:val="000000"/>
          <w:kern w:val="0"/>
          <w:sz w:val="24"/>
          <w:szCs w:val="24"/>
        </w:rPr>
        <w:t>以中信建投的公告或规定</w:t>
      </w:r>
      <w:r w:rsidRPr="00D706E8">
        <w:rPr>
          <w:rFonts w:ascii="宋体" w:eastAsia="宋体" w:hAnsi="宋体" w:cs="宋体" w:hint="eastAsia"/>
          <w:color w:val="000000"/>
          <w:kern w:val="0"/>
          <w:sz w:val="24"/>
          <w:szCs w:val="24"/>
        </w:rPr>
        <w:t>为准</w:t>
      </w:r>
      <w:r w:rsidR="007A30FD" w:rsidRPr="00D706E8">
        <w:rPr>
          <w:rFonts w:ascii="宋体" w:eastAsia="宋体" w:hAnsi="宋体" w:cs="宋体" w:hint="eastAsia"/>
          <w:color w:val="000000"/>
          <w:kern w:val="0"/>
          <w:sz w:val="24"/>
          <w:szCs w:val="24"/>
        </w:rPr>
        <w:t>。</w:t>
      </w:r>
    </w:p>
    <w:p w:rsidR="00FC3FCF" w:rsidRPr="00D706E8" w:rsidRDefault="001E5C74" w:rsidP="00EB3E84">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sidRPr="00D706E8">
        <w:rPr>
          <w:rFonts w:ascii="宋体" w:eastAsia="宋体" w:hAnsi="宋体" w:cs="宋体" w:hint="eastAsia"/>
          <w:b/>
          <w:color w:val="000000"/>
          <w:kern w:val="0"/>
          <w:sz w:val="24"/>
          <w:szCs w:val="24"/>
        </w:rPr>
        <w:t>五</w:t>
      </w:r>
      <w:r w:rsidR="009A5099" w:rsidRPr="00D706E8">
        <w:rPr>
          <w:rFonts w:ascii="宋体" w:eastAsia="宋体" w:hAnsi="宋体" w:cs="宋体" w:hint="eastAsia"/>
          <w:b/>
          <w:color w:val="000000"/>
          <w:kern w:val="0"/>
          <w:sz w:val="24"/>
          <w:szCs w:val="24"/>
        </w:rPr>
        <w:t>、</w:t>
      </w:r>
      <w:r w:rsidR="00FC3FCF" w:rsidRPr="00D706E8">
        <w:rPr>
          <w:rFonts w:ascii="宋体" w:eastAsia="宋体" w:hAnsi="宋体" w:cs="宋体" w:hint="eastAsia"/>
          <w:b/>
          <w:color w:val="000000"/>
          <w:kern w:val="0"/>
          <w:sz w:val="24"/>
          <w:szCs w:val="24"/>
        </w:rPr>
        <w:t>重要提示</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1、优惠活动的费率折扣由中信建投决定和执行，本公司根据中信建投提供的费率折扣办理。优惠活动解释权归</w:t>
      </w:r>
      <w:r w:rsidR="007A30FD" w:rsidRPr="00D706E8">
        <w:rPr>
          <w:rFonts w:ascii="宋体" w:eastAsia="宋体" w:hAnsi="宋体" w:cs="宋体" w:hint="eastAsia"/>
          <w:color w:val="000000"/>
          <w:kern w:val="0"/>
          <w:sz w:val="24"/>
          <w:szCs w:val="24"/>
        </w:rPr>
        <w:t>中信建投</w:t>
      </w:r>
      <w:r w:rsidRPr="00D706E8">
        <w:rPr>
          <w:rFonts w:ascii="宋体" w:eastAsia="宋体" w:hAnsi="宋体" w:cs="宋体" w:hint="eastAsia"/>
          <w:color w:val="000000"/>
          <w:kern w:val="0"/>
          <w:sz w:val="24"/>
          <w:szCs w:val="24"/>
        </w:rPr>
        <w:t>所有，且其有权对上述优惠活动内容进行变更，本公司不再另行公告。有关优惠活动具体事宜，请咨询中信建投。</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2、本公司今后发行的开放式基金若由中信建投销售，且届时优惠活动仍然持续，则该基金自动参与此项优惠活动，本公司不再另行公告。如有某只或某些特定基金产品不适用费率优惠，则由本公司另行公告确定。</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3、投资者欲了解上述各只基金产品的详细情况，请仔细阅读上述各只基金产品的基金合同、招募说明书等法律文件。上述各只基金产品的原申购费率、是否开展定期定额投资业务以各基金产品的《基金合同》、《招募说明书》及相关最新公告为准。</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4、本次基金申购和定投手续费费率优惠活动不适用于基金转换业务等其他业务。</w:t>
      </w:r>
    </w:p>
    <w:p w:rsidR="00FC3FCF" w:rsidRPr="00D706E8" w:rsidRDefault="005932D0" w:rsidP="00EB3E84">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sidRPr="00D706E8">
        <w:rPr>
          <w:rFonts w:ascii="宋体" w:eastAsia="宋体" w:hAnsi="宋体" w:cs="宋体" w:hint="eastAsia"/>
          <w:b/>
          <w:color w:val="000000"/>
          <w:kern w:val="0"/>
          <w:sz w:val="24"/>
          <w:szCs w:val="24"/>
        </w:rPr>
        <w:t>六、</w:t>
      </w:r>
      <w:r w:rsidR="00FC3FCF" w:rsidRPr="00D706E8">
        <w:rPr>
          <w:rFonts w:ascii="宋体" w:eastAsia="宋体" w:hAnsi="宋体" w:cs="宋体" w:hint="eastAsia"/>
          <w:b/>
          <w:color w:val="000000"/>
          <w:kern w:val="0"/>
          <w:sz w:val="24"/>
          <w:szCs w:val="24"/>
        </w:rPr>
        <w:t>投资者可通过以下途径了解或咨询相关情况</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1、泰达宏利基金管理有限公司</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客服电话：</w:t>
      </w:r>
      <w:r w:rsidRPr="00D706E8">
        <w:rPr>
          <w:rFonts w:ascii="宋体" w:eastAsia="宋体" w:hAnsi="宋体" w:cs="宋体"/>
          <w:color w:val="000000"/>
          <w:kern w:val="0"/>
          <w:sz w:val="24"/>
          <w:szCs w:val="24"/>
        </w:rPr>
        <w:t>4006988888</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网站：</w:t>
      </w:r>
      <w:r w:rsidRPr="00D706E8">
        <w:rPr>
          <w:rFonts w:ascii="宋体" w:eastAsia="宋体" w:hAnsi="宋体" w:cs="宋体"/>
          <w:color w:val="000000"/>
          <w:kern w:val="0"/>
          <w:sz w:val="24"/>
          <w:szCs w:val="24"/>
        </w:rPr>
        <w:t>www.mfcteda.com</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2、中信建投证券股份有限公司</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客户服务电话：</w:t>
      </w:r>
      <w:r w:rsidRPr="00D706E8">
        <w:rPr>
          <w:rFonts w:ascii="宋体" w:eastAsia="宋体" w:hAnsi="宋体" w:cs="宋体"/>
          <w:color w:val="000000"/>
          <w:kern w:val="0"/>
          <w:sz w:val="24"/>
          <w:szCs w:val="24"/>
        </w:rPr>
        <w:t>4008888108</w:t>
      </w:r>
    </w:p>
    <w:p w:rsidR="00FC3FCF" w:rsidRPr="00D706E8" w:rsidRDefault="007E165F">
      <w:pPr>
        <w:autoSpaceDE w:val="0"/>
        <w:autoSpaceDN w:val="0"/>
        <w:adjustRightInd w:val="0"/>
        <w:spacing w:before="100" w:beforeAutospacing="1" w:line="360" w:lineRule="auto"/>
        <w:ind w:firstLine="465"/>
        <w:rPr>
          <w:rFonts w:ascii="宋体" w:eastAsia="宋体" w:hAnsi="宋体" w:cs="宋体"/>
          <w:color w:val="000000"/>
          <w:kern w:val="0"/>
          <w:szCs w:val="21"/>
        </w:rPr>
      </w:pPr>
      <w:r w:rsidRPr="00D706E8">
        <w:rPr>
          <w:rFonts w:ascii="宋体" w:eastAsia="宋体" w:hAnsi="宋体" w:cs="宋体" w:hint="eastAsia"/>
          <w:color w:val="000000"/>
          <w:kern w:val="0"/>
          <w:sz w:val="24"/>
          <w:szCs w:val="24"/>
        </w:rPr>
        <w:t>网址：</w:t>
      </w:r>
      <w:r w:rsidRPr="00D706E8">
        <w:rPr>
          <w:rFonts w:ascii="宋体" w:eastAsia="宋体" w:hAnsi="宋体" w:cs="宋体"/>
          <w:color w:val="000000"/>
          <w:kern w:val="0"/>
          <w:sz w:val="24"/>
          <w:szCs w:val="24"/>
        </w:rPr>
        <w:t>www.csc108.com</w:t>
      </w:r>
    </w:p>
    <w:p w:rsidR="0033471A" w:rsidRPr="00D706E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w:t>
      </w:r>
      <w:r w:rsidR="0033471A" w:rsidRPr="00D706E8">
        <w:rPr>
          <w:rFonts w:ascii="宋体" w:eastAsia="宋体" w:hAnsi="宋体" w:cs="宋体"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FC3FCF" w:rsidRPr="00D706E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231975" w:rsidRPr="00D706E8" w:rsidRDefault="00231975" w:rsidP="00EB3E8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特此公告。</w:t>
      </w:r>
    </w:p>
    <w:p w:rsidR="00231975" w:rsidRPr="00D706E8" w:rsidRDefault="00231975" w:rsidP="00EB3E8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231975" w:rsidRPr="00D706E8" w:rsidRDefault="00231975" w:rsidP="00EB3E8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20</w:t>
      </w:r>
      <w:r w:rsidR="001D0E6D" w:rsidRPr="00D706E8">
        <w:rPr>
          <w:rFonts w:ascii="宋体" w:eastAsia="宋体" w:hAnsi="宋体" w:cs="宋体"/>
          <w:color w:val="000000"/>
          <w:kern w:val="0"/>
          <w:sz w:val="24"/>
          <w:szCs w:val="24"/>
        </w:rPr>
        <w:t>20</w:t>
      </w:r>
      <w:r w:rsidRPr="00D706E8">
        <w:rPr>
          <w:rFonts w:ascii="宋体" w:eastAsia="宋体" w:hAnsi="宋体" w:cs="宋体" w:hint="eastAsia"/>
          <w:color w:val="000000"/>
          <w:kern w:val="0"/>
          <w:sz w:val="24"/>
          <w:szCs w:val="24"/>
        </w:rPr>
        <w:t>年</w:t>
      </w:r>
      <w:r w:rsidR="001D0E6D" w:rsidRPr="00D706E8">
        <w:rPr>
          <w:rFonts w:ascii="宋体" w:eastAsia="宋体" w:hAnsi="宋体" w:cs="宋体"/>
          <w:color w:val="000000"/>
          <w:kern w:val="0"/>
          <w:sz w:val="24"/>
          <w:szCs w:val="24"/>
        </w:rPr>
        <w:t>4</w:t>
      </w:r>
      <w:r w:rsidRPr="00D706E8">
        <w:rPr>
          <w:rFonts w:ascii="宋体" w:eastAsia="宋体" w:hAnsi="宋体" w:cs="宋体" w:hint="eastAsia"/>
          <w:color w:val="000000"/>
          <w:kern w:val="0"/>
          <w:sz w:val="24"/>
          <w:szCs w:val="24"/>
        </w:rPr>
        <w:t>月</w:t>
      </w:r>
      <w:r w:rsidRPr="00D706E8">
        <w:rPr>
          <w:rFonts w:ascii="宋体" w:eastAsia="宋体" w:hAnsi="宋体" w:cs="宋体"/>
          <w:color w:val="000000"/>
          <w:kern w:val="0"/>
          <w:sz w:val="24"/>
          <w:szCs w:val="24"/>
        </w:rPr>
        <w:t>2</w:t>
      </w:r>
      <w:r w:rsidR="00DE0963">
        <w:rPr>
          <w:rFonts w:ascii="宋体" w:eastAsia="宋体" w:hAnsi="宋体" w:cs="宋体" w:hint="eastAsia"/>
          <w:color w:val="000000"/>
          <w:kern w:val="0"/>
          <w:sz w:val="24"/>
          <w:szCs w:val="24"/>
        </w:rPr>
        <w:t>3</w:t>
      </w:r>
      <w:r w:rsidRPr="00D706E8">
        <w:rPr>
          <w:rFonts w:ascii="宋体" w:eastAsia="宋体" w:hAnsi="宋体" w:cs="宋体" w:hint="eastAsia"/>
          <w:color w:val="000000"/>
          <w:kern w:val="0"/>
          <w:sz w:val="24"/>
          <w:szCs w:val="24"/>
        </w:rPr>
        <w:t>日</w:t>
      </w:r>
    </w:p>
    <w:sectPr w:rsidR="00231975" w:rsidRPr="00D706E8" w:rsidSect="002C1F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C28" w:rsidRDefault="00FD6C28" w:rsidP="00FD6C28">
      <w:r>
        <w:separator/>
      </w:r>
    </w:p>
  </w:endnote>
  <w:endnote w:type="continuationSeparator" w:id="1">
    <w:p w:rsidR="00FD6C28" w:rsidRDefault="00FD6C28" w:rsidP="00FD6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C28" w:rsidRDefault="00FD6C28" w:rsidP="00FD6C28">
      <w:r>
        <w:separator/>
      </w:r>
    </w:p>
  </w:footnote>
  <w:footnote w:type="continuationSeparator" w:id="1">
    <w:p w:rsidR="00FD6C28" w:rsidRDefault="00FD6C28" w:rsidP="00FD6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F6B"/>
    <w:multiLevelType w:val="hybridMultilevel"/>
    <w:tmpl w:val="E6666C34"/>
    <w:lvl w:ilvl="0" w:tplc="4500875A">
      <w:start w:val="3"/>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C600F8A"/>
    <w:multiLevelType w:val="hybridMultilevel"/>
    <w:tmpl w:val="AD40E69C"/>
    <w:lvl w:ilvl="0" w:tplc="FB70C428">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CB25481"/>
    <w:multiLevelType w:val="hybridMultilevel"/>
    <w:tmpl w:val="04C0A2D4"/>
    <w:lvl w:ilvl="0" w:tplc="1B888E0C">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BF2EB8"/>
    <w:multiLevelType w:val="hybridMultilevel"/>
    <w:tmpl w:val="DBC805BC"/>
    <w:lvl w:ilvl="0" w:tplc="A8066C1C">
      <w:start w:val="3"/>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57186E81"/>
    <w:multiLevelType w:val="hybridMultilevel"/>
    <w:tmpl w:val="5D7A807E"/>
    <w:lvl w:ilvl="0" w:tplc="BE08BE3A">
      <w:start w:val="2"/>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AA4295"/>
    <w:multiLevelType w:val="hybridMultilevel"/>
    <w:tmpl w:val="948EA3CA"/>
    <w:lvl w:ilvl="0" w:tplc="E572F1D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773A2F25"/>
    <w:multiLevelType w:val="hybridMultilevel"/>
    <w:tmpl w:val="A67C4B82"/>
    <w:lvl w:ilvl="0" w:tplc="69206030">
      <w:start w:val="1"/>
      <w:numFmt w:val="japaneseCounting"/>
      <w:lvlText w:val="%1、"/>
      <w:lvlJc w:val="left"/>
      <w:pPr>
        <w:ind w:left="910" w:hanging="45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7">
    <w:nsid w:val="7E596727"/>
    <w:multiLevelType w:val="hybridMultilevel"/>
    <w:tmpl w:val="5732A920"/>
    <w:lvl w:ilvl="0" w:tplc="A5960CFA">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6"/>
  </w:num>
  <w:num w:numId="2">
    <w:abstractNumId w:val="5"/>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C0E"/>
    <w:rsid w:val="00010FE1"/>
    <w:rsid w:val="0009660B"/>
    <w:rsid w:val="001D0E6D"/>
    <w:rsid w:val="001E5C74"/>
    <w:rsid w:val="001F0D13"/>
    <w:rsid w:val="002168FA"/>
    <w:rsid w:val="00231975"/>
    <w:rsid w:val="00267AAD"/>
    <w:rsid w:val="002C1F0A"/>
    <w:rsid w:val="0033471A"/>
    <w:rsid w:val="00367833"/>
    <w:rsid w:val="00502CA2"/>
    <w:rsid w:val="00572CFD"/>
    <w:rsid w:val="005932D0"/>
    <w:rsid w:val="005C7E9A"/>
    <w:rsid w:val="00624516"/>
    <w:rsid w:val="00624F69"/>
    <w:rsid w:val="0065696A"/>
    <w:rsid w:val="006E55F0"/>
    <w:rsid w:val="007675F4"/>
    <w:rsid w:val="007A30FD"/>
    <w:rsid w:val="007A33AB"/>
    <w:rsid w:val="007B7943"/>
    <w:rsid w:val="007E0760"/>
    <w:rsid w:val="007E165F"/>
    <w:rsid w:val="008953F4"/>
    <w:rsid w:val="009A5099"/>
    <w:rsid w:val="009F0997"/>
    <w:rsid w:val="00AB27F4"/>
    <w:rsid w:val="00AC2AE3"/>
    <w:rsid w:val="00AE1182"/>
    <w:rsid w:val="00C36302"/>
    <w:rsid w:val="00C563A4"/>
    <w:rsid w:val="00D706E8"/>
    <w:rsid w:val="00DA6A57"/>
    <w:rsid w:val="00DE0963"/>
    <w:rsid w:val="00DF4490"/>
    <w:rsid w:val="00EB3E84"/>
    <w:rsid w:val="00EC47D6"/>
    <w:rsid w:val="00EC6223"/>
    <w:rsid w:val="00EF6F7A"/>
    <w:rsid w:val="00F06C0E"/>
    <w:rsid w:val="00FC3FCF"/>
    <w:rsid w:val="00FD6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0A"/>
    <w:pPr>
      <w:widowControl w:val="0"/>
      <w:jc w:val="both"/>
    </w:pPr>
  </w:style>
  <w:style w:type="paragraph" w:styleId="2">
    <w:name w:val="heading 2"/>
    <w:basedOn w:val="a"/>
    <w:next w:val="a"/>
    <w:link w:val="2Char"/>
    <w:uiPriority w:val="9"/>
    <w:unhideWhenUsed/>
    <w:qFormat/>
    <w:rsid w:val="00267A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7AAD"/>
    <w:rPr>
      <w:rFonts w:asciiTheme="majorHAnsi" w:eastAsiaTheme="majorEastAsia" w:hAnsiTheme="majorHAnsi" w:cstheme="majorBidi"/>
      <w:b/>
      <w:bCs/>
      <w:sz w:val="32"/>
      <w:szCs w:val="32"/>
    </w:rPr>
  </w:style>
  <w:style w:type="paragraph" w:styleId="a3">
    <w:name w:val="List Paragraph"/>
    <w:basedOn w:val="a"/>
    <w:uiPriority w:val="34"/>
    <w:qFormat/>
    <w:rsid w:val="00267AAD"/>
    <w:pPr>
      <w:ind w:firstLineChars="200" w:firstLine="420"/>
    </w:pPr>
  </w:style>
  <w:style w:type="table" w:styleId="a4">
    <w:name w:val="Table Grid"/>
    <w:basedOn w:val="a1"/>
    <w:uiPriority w:val="39"/>
    <w:rsid w:val="0026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C3FCF"/>
    <w:rPr>
      <w:color w:val="0563C1" w:themeColor="hyperlink"/>
      <w:u w:val="single"/>
    </w:rPr>
  </w:style>
  <w:style w:type="character" w:customStyle="1" w:styleId="UnresolvedMention">
    <w:name w:val="Unresolved Mention"/>
    <w:basedOn w:val="a0"/>
    <w:uiPriority w:val="99"/>
    <w:semiHidden/>
    <w:unhideWhenUsed/>
    <w:rsid w:val="00FC3FCF"/>
    <w:rPr>
      <w:color w:val="605E5C"/>
      <w:shd w:val="clear" w:color="auto" w:fill="E1DFDD"/>
    </w:rPr>
  </w:style>
  <w:style w:type="paragraph" w:customStyle="1" w:styleId="Default">
    <w:name w:val="Default"/>
    <w:rsid w:val="00624F69"/>
    <w:pPr>
      <w:widowControl w:val="0"/>
      <w:autoSpaceDE w:val="0"/>
      <w:autoSpaceDN w:val="0"/>
      <w:adjustRightInd w:val="0"/>
    </w:pPr>
    <w:rPr>
      <w:rFonts w:ascii="微软雅黑" w:eastAsia="微软雅黑" w:cs="微软雅黑"/>
      <w:color w:val="000000"/>
      <w:kern w:val="0"/>
      <w:sz w:val="24"/>
      <w:szCs w:val="24"/>
    </w:rPr>
  </w:style>
  <w:style w:type="character" w:styleId="a6">
    <w:name w:val="annotation reference"/>
    <w:basedOn w:val="a0"/>
    <w:uiPriority w:val="99"/>
    <w:semiHidden/>
    <w:unhideWhenUsed/>
    <w:rsid w:val="005932D0"/>
    <w:rPr>
      <w:sz w:val="21"/>
      <w:szCs w:val="21"/>
    </w:rPr>
  </w:style>
  <w:style w:type="paragraph" w:styleId="a7">
    <w:name w:val="annotation text"/>
    <w:basedOn w:val="a"/>
    <w:link w:val="Char"/>
    <w:uiPriority w:val="99"/>
    <w:semiHidden/>
    <w:unhideWhenUsed/>
    <w:rsid w:val="005932D0"/>
    <w:pPr>
      <w:jc w:val="left"/>
    </w:pPr>
  </w:style>
  <w:style w:type="character" w:customStyle="1" w:styleId="Char">
    <w:name w:val="批注文字 Char"/>
    <w:basedOn w:val="a0"/>
    <w:link w:val="a7"/>
    <w:uiPriority w:val="99"/>
    <w:semiHidden/>
    <w:rsid w:val="005932D0"/>
  </w:style>
  <w:style w:type="paragraph" w:styleId="a8">
    <w:name w:val="annotation subject"/>
    <w:basedOn w:val="a7"/>
    <w:next w:val="a7"/>
    <w:link w:val="Char0"/>
    <w:uiPriority w:val="99"/>
    <w:semiHidden/>
    <w:unhideWhenUsed/>
    <w:rsid w:val="005932D0"/>
    <w:rPr>
      <w:b/>
      <w:bCs/>
    </w:rPr>
  </w:style>
  <w:style w:type="character" w:customStyle="1" w:styleId="Char0">
    <w:name w:val="批注主题 Char"/>
    <w:basedOn w:val="Char"/>
    <w:link w:val="a8"/>
    <w:uiPriority w:val="99"/>
    <w:semiHidden/>
    <w:rsid w:val="005932D0"/>
    <w:rPr>
      <w:b/>
      <w:bCs/>
    </w:rPr>
  </w:style>
  <w:style w:type="paragraph" w:styleId="a9">
    <w:name w:val="Balloon Text"/>
    <w:basedOn w:val="a"/>
    <w:link w:val="Char1"/>
    <w:uiPriority w:val="99"/>
    <w:semiHidden/>
    <w:unhideWhenUsed/>
    <w:rsid w:val="005932D0"/>
    <w:rPr>
      <w:sz w:val="18"/>
      <w:szCs w:val="18"/>
    </w:rPr>
  </w:style>
  <w:style w:type="character" w:customStyle="1" w:styleId="Char1">
    <w:name w:val="批注框文本 Char"/>
    <w:basedOn w:val="a0"/>
    <w:link w:val="a9"/>
    <w:uiPriority w:val="99"/>
    <w:semiHidden/>
    <w:rsid w:val="005932D0"/>
    <w:rPr>
      <w:sz w:val="18"/>
      <w:szCs w:val="18"/>
    </w:rPr>
  </w:style>
  <w:style w:type="paragraph" w:styleId="aa">
    <w:name w:val="header"/>
    <w:basedOn w:val="a"/>
    <w:link w:val="Char2"/>
    <w:uiPriority w:val="99"/>
    <w:semiHidden/>
    <w:unhideWhenUsed/>
    <w:rsid w:val="00FD6C2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FD6C28"/>
    <w:rPr>
      <w:sz w:val="18"/>
      <w:szCs w:val="18"/>
    </w:rPr>
  </w:style>
  <w:style w:type="paragraph" w:styleId="ab">
    <w:name w:val="footer"/>
    <w:basedOn w:val="a"/>
    <w:link w:val="Char3"/>
    <w:uiPriority w:val="99"/>
    <w:semiHidden/>
    <w:unhideWhenUsed/>
    <w:rsid w:val="00FD6C28"/>
    <w:pPr>
      <w:tabs>
        <w:tab w:val="center" w:pos="4153"/>
        <w:tab w:val="right" w:pos="8306"/>
      </w:tabs>
      <w:snapToGrid w:val="0"/>
      <w:jc w:val="left"/>
    </w:pPr>
    <w:rPr>
      <w:sz w:val="18"/>
      <w:szCs w:val="18"/>
    </w:rPr>
  </w:style>
  <w:style w:type="character" w:customStyle="1" w:styleId="Char3">
    <w:name w:val="页脚 Char"/>
    <w:basedOn w:val="a0"/>
    <w:link w:val="ab"/>
    <w:uiPriority w:val="99"/>
    <w:semiHidden/>
    <w:rsid w:val="00FD6C2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CED7-0A4E-41B7-926C-8208EA12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2230</Characters>
  <Application>Microsoft Office Word</Application>
  <DocSecurity>4</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JonMMx 2000</cp:lastModifiedBy>
  <cp:revision>2</cp:revision>
  <dcterms:created xsi:type="dcterms:W3CDTF">2020-04-22T16:00:00Z</dcterms:created>
  <dcterms:modified xsi:type="dcterms:W3CDTF">2020-04-22T16:00:00Z</dcterms:modified>
</cp:coreProperties>
</file>