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7" w:rsidRDefault="002F08AB" w:rsidP="002F08AB">
      <w:pPr>
        <w:autoSpaceDE w:val="0"/>
        <w:autoSpaceDN w:val="0"/>
        <w:adjustRightInd w:val="0"/>
        <w:jc w:val="center"/>
        <w:rPr>
          <w:rFonts w:ascii="宋体" w:eastAsia="宋体" w:cs="宋体"/>
          <w:kern w:val="0"/>
          <w:sz w:val="28"/>
          <w:szCs w:val="28"/>
        </w:rPr>
      </w:pPr>
      <w:r>
        <w:rPr>
          <w:rFonts w:ascii="宋体" w:eastAsia="宋体" w:cs="宋体" w:hint="eastAsia"/>
          <w:kern w:val="0"/>
          <w:sz w:val="28"/>
          <w:szCs w:val="28"/>
        </w:rPr>
        <w:t>万家基金管理有限公司</w:t>
      </w:r>
      <w:r w:rsidRPr="002F08AB">
        <w:rPr>
          <w:rFonts w:ascii="宋体" w:eastAsia="宋体" w:cs="宋体" w:hint="eastAsia"/>
          <w:kern w:val="0"/>
          <w:sz w:val="28"/>
          <w:szCs w:val="28"/>
        </w:rPr>
        <w:t>关于调整旗下部分基金在</w:t>
      </w:r>
      <w:r w:rsidR="004875F7">
        <w:rPr>
          <w:rFonts w:ascii="宋体" w:eastAsia="宋体" w:cs="宋体" w:hint="eastAsia"/>
          <w:kern w:val="0"/>
          <w:sz w:val="28"/>
          <w:szCs w:val="28"/>
        </w:rPr>
        <w:t>交通</w:t>
      </w:r>
      <w:r>
        <w:rPr>
          <w:rFonts w:ascii="宋体" w:eastAsia="宋体" w:cs="宋体" w:hint="eastAsia"/>
          <w:kern w:val="0"/>
          <w:sz w:val="28"/>
          <w:szCs w:val="28"/>
        </w:rPr>
        <w:t>银行</w:t>
      </w:r>
      <w:r w:rsidRPr="002F08AB">
        <w:rPr>
          <w:rFonts w:ascii="宋体" w:eastAsia="宋体" w:cs="宋体" w:hint="eastAsia"/>
          <w:kern w:val="0"/>
          <w:sz w:val="28"/>
          <w:szCs w:val="28"/>
        </w:rPr>
        <w:t>定投起点的公告</w:t>
      </w:r>
    </w:p>
    <w:p w:rsidR="00A92FB6" w:rsidRDefault="00A92FB6" w:rsidP="002F08AB">
      <w:pPr>
        <w:autoSpaceDE w:val="0"/>
        <w:autoSpaceDN w:val="0"/>
        <w:adjustRightInd w:val="0"/>
        <w:jc w:val="center"/>
        <w:rPr>
          <w:rFonts w:ascii="宋体" w:eastAsia="宋体" w:cs="宋体"/>
          <w:kern w:val="0"/>
          <w:sz w:val="28"/>
          <w:szCs w:val="28"/>
        </w:rPr>
      </w:pPr>
    </w:p>
    <w:p w:rsidR="002F08AB" w:rsidRDefault="002F08AB" w:rsidP="002F08AB">
      <w:pPr>
        <w:autoSpaceDE w:val="0"/>
        <w:autoSpaceDN w:val="0"/>
        <w:adjustRightInd w:val="0"/>
        <w:spacing w:line="360" w:lineRule="auto"/>
        <w:ind w:firstLineChars="200" w:firstLine="420"/>
        <w:jc w:val="left"/>
      </w:pPr>
      <w:r>
        <w:t>为满足广大投资者的理财需求，万家基金管理有限公司（以下简称</w:t>
      </w:r>
      <w:r>
        <w:t>“</w:t>
      </w:r>
      <w:r>
        <w:t>本公司</w:t>
      </w:r>
      <w:r>
        <w:t>”</w:t>
      </w:r>
      <w:r>
        <w:t>）与</w:t>
      </w:r>
      <w:r w:rsidR="005B04D4" w:rsidRPr="005B04D4">
        <w:rPr>
          <w:rFonts w:hint="eastAsia"/>
        </w:rPr>
        <w:t>交通银行股份有限公司</w:t>
      </w:r>
      <w:r>
        <w:t>（以下简称</w:t>
      </w:r>
      <w:r>
        <w:t>“</w:t>
      </w:r>
      <w:r w:rsidR="005B04D4">
        <w:rPr>
          <w:rFonts w:hint="eastAsia"/>
        </w:rPr>
        <w:t>交通</w:t>
      </w:r>
      <w:r>
        <w:rPr>
          <w:rFonts w:hint="eastAsia"/>
        </w:rPr>
        <w:t>银行</w:t>
      </w:r>
      <w:r>
        <w:t>”</w:t>
      </w:r>
      <w:r>
        <w:t>）协商一致，决定自</w:t>
      </w:r>
      <w:r>
        <w:t xml:space="preserve"> 20</w:t>
      </w:r>
      <w:r>
        <w:rPr>
          <w:rFonts w:hint="eastAsia"/>
        </w:rPr>
        <w:t>20</w:t>
      </w:r>
      <w:r>
        <w:t>年</w:t>
      </w:r>
      <w:r>
        <w:rPr>
          <w:rFonts w:hint="eastAsia"/>
        </w:rPr>
        <w:t>4</w:t>
      </w:r>
      <w:r>
        <w:t>月</w:t>
      </w:r>
      <w:r w:rsidR="005B04D4">
        <w:rPr>
          <w:rFonts w:hint="eastAsia"/>
        </w:rPr>
        <w:t>23</w:t>
      </w:r>
      <w:r>
        <w:t>日起，调整旗下部分基金在</w:t>
      </w:r>
      <w:r w:rsidR="00211BFD">
        <w:rPr>
          <w:rFonts w:hint="eastAsia"/>
        </w:rPr>
        <w:t>交通</w:t>
      </w:r>
      <w:r>
        <w:rPr>
          <w:rFonts w:hint="eastAsia"/>
        </w:rPr>
        <w:t>银行</w:t>
      </w:r>
      <w:r>
        <w:t>的定期定额投资起点。</w:t>
      </w:r>
    </w:p>
    <w:p w:rsidR="002F08AB" w:rsidRDefault="002F08AB" w:rsidP="002F08AB">
      <w:pPr>
        <w:autoSpaceDE w:val="0"/>
        <w:autoSpaceDN w:val="0"/>
        <w:adjustRightInd w:val="0"/>
        <w:spacing w:line="360" w:lineRule="auto"/>
        <w:ind w:firstLineChars="200" w:firstLine="420"/>
        <w:jc w:val="left"/>
      </w:pPr>
    </w:p>
    <w:p w:rsidR="002F08AB" w:rsidRDefault="002F08AB" w:rsidP="005F4B81">
      <w:pPr>
        <w:autoSpaceDE w:val="0"/>
        <w:autoSpaceDN w:val="0"/>
        <w:adjustRightInd w:val="0"/>
        <w:spacing w:line="360" w:lineRule="auto"/>
        <w:jc w:val="left"/>
      </w:pPr>
      <w:r>
        <w:t>一、适用基金及活动安排</w:t>
      </w:r>
    </w:p>
    <w:p w:rsidR="005E2452" w:rsidRDefault="002F08AB" w:rsidP="002F08AB">
      <w:pPr>
        <w:autoSpaceDE w:val="0"/>
        <w:autoSpaceDN w:val="0"/>
        <w:adjustRightInd w:val="0"/>
        <w:spacing w:line="360" w:lineRule="auto"/>
        <w:ind w:firstLineChars="200" w:firstLine="420"/>
        <w:jc w:val="left"/>
      </w:pPr>
      <w:r>
        <w:t>1</w:t>
      </w:r>
      <w:r>
        <w:t>、本次定期定额投资起点调整适用于在</w:t>
      </w:r>
      <w:r w:rsidR="00ED0693">
        <w:rPr>
          <w:rFonts w:hint="eastAsia"/>
        </w:rPr>
        <w:t>交通</w:t>
      </w:r>
      <w:r>
        <w:rPr>
          <w:rFonts w:hint="eastAsia"/>
        </w:rPr>
        <w:t>银行</w:t>
      </w:r>
      <w:r>
        <w:t>上线</w:t>
      </w:r>
      <w:r w:rsidR="005E2452">
        <w:rPr>
          <w:rFonts w:hint="eastAsia"/>
        </w:rPr>
        <w:t>且开通定期定额业务</w:t>
      </w:r>
      <w:r>
        <w:t>的万家基金旗下产品</w:t>
      </w:r>
      <w:r w:rsidR="005E2452">
        <w:rPr>
          <w:rFonts w:hint="eastAsia"/>
        </w:rPr>
        <w:t>，具体产品清单如下：</w:t>
      </w:r>
    </w:p>
    <w:tbl>
      <w:tblPr>
        <w:tblW w:w="82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0"/>
        <w:gridCol w:w="2280"/>
        <w:gridCol w:w="1567"/>
      </w:tblGrid>
      <w:tr w:rsidR="00C34027" w:rsidRPr="00C34027" w:rsidTr="00C34027">
        <w:trPr>
          <w:trHeight w:val="285"/>
        </w:trPr>
        <w:tc>
          <w:tcPr>
            <w:tcW w:w="4380" w:type="dxa"/>
            <w:shd w:val="clear" w:color="000000" w:fill="D9D9D9"/>
            <w:noWrap/>
            <w:vAlign w:val="center"/>
            <w:hideMark/>
          </w:tcPr>
          <w:p w:rsidR="00C34027" w:rsidRPr="00C34027" w:rsidRDefault="00C34027" w:rsidP="00C34027">
            <w:pPr>
              <w:widowControl/>
              <w:jc w:val="center"/>
              <w:rPr>
                <w:rFonts w:asciiTheme="minorEastAsia" w:hAnsiTheme="minorEastAsia" w:cs="宋体"/>
                <w:kern w:val="0"/>
                <w:szCs w:val="21"/>
              </w:rPr>
            </w:pPr>
            <w:r w:rsidRPr="00C34027">
              <w:rPr>
                <w:rFonts w:asciiTheme="minorEastAsia" w:hAnsiTheme="minorEastAsia" w:cs="宋体"/>
                <w:kern w:val="0"/>
                <w:szCs w:val="21"/>
              </w:rPr>
              <w:t>基金名称</w:t>
            </w:r>
          </w:p>
        </w:tc>
        <w:tc>
          <w:tcPr>
            <w:tcW w:w="2280" w:type="dxa"/>
            <w:shd w:val="clear" w:color="000000" w:fill="D9D9D9"/>
            <w:noWrap/>
            <w:vAlign w:val="center"/>
            <w:hideMark/>
          </w:tcPr>
          <w:p w:rsidR="00C34027" w:rsidRPr="00C34027" w:rsidRDefault="00C34027" w:rsidP="00C34027">
            <w:pPr>
              <w:widowControl/>
              <w:jc w:val="center"/>
              <w:rPr>
                <w:rFonts w:asciiTheme="minorEastAsia" w:hAnsiTheme="minorEastAsia" w:cs="宋体"/>
                <w:kern w:val="0"/>
                <w:szCs w:val="21"/>
              </w:rPr>
            </w:pPr>
            <w:r w:rsidRPr="00C34027">
              <w:rPr>
                <w:rFonts w:asciiTheme="minorEastAsia" w:hAnsiTheme="minorEastAsia" w:cs="宋体"/>
                <w:kern w:val="0"/>
                <w:szCs w:val="21"/>
              </w:rPr>
              <w:t>基金简称</w:t>
            </w:r>
          </w:p>
        </w:tc>
        <w:tc>
          <w:tcPr>
            <w:tcW w:w="1567" w:type="dxa"/>
            <w:shd w:val="clear" w:color="000000" w:fill="D9D9D9"/>
            <w:noWrap/>
            <w:vAlign w:val="center"/>
            <w:hideMark/>
          </w:tcPr>
          <w:p w:rsidR="00C34027" w:rsidRPr="00C34027" w:rsidRDefault="00C34027" w:rsidP="00C34027">
            <w:pPr>
              <w:widowControl/>
              <w:jc w:val="center"/>
              <w:rPr>
                <w:rFonts w:asciiTheme="minorEastAsia" w:hAnsiTheme="minorEastAsia" w:cs="宋体"/>
                <w:kern w:val="0"/>
                <w:szCs w:val="21"/>
              </w:rPr>
            </w:pPr>
            <w:r w:rsidRPr="00C34027">
              <w:rPr>
                <w:rFonts w:asciiTheme="minorEastAsia" w:hAnsiTheme="minorEastAsia" w:cs="宋体"/>
                <w:kern w:val="0"/>
                <w:szCs w:val="21"/>
              </w:rPr>
              <w:t>基金代码</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万家经济新动能混合型证券投资基金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万家经济新动能A</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005311</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万家经济新动能混合型证券投资基金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万家经济新动能C</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005312</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万家增强收益债券型证券投资基金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万家增强收益</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161902</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万家行业优选混合型证券投资基金(LOF)</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万家行业优选</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161903</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万家添利债券型证券投资基金(LOF)</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万家添利</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161908</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万家180指数证券投资基金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万家上证180</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519180</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万家和谐增长混合型证券投资基金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万家和谐增长</w:t>
            </w:r>
            <w:r w:rsidR="00E026C6">
              <w:rPr>
                <w:rFonts w:asciiTheme="minorEastAsia" w:hAnsiTheme="minorEastAsia" w:cs="宋体" w:hint="eastAsia"/>
                <w:color w:val="000000"/>
                <w:kern w:val="0"/>
                <w:szCs w:val="21"/>
              </w:rPr>
              <w:t>:前端</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519181</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万家和谐增长混合型证券投资基金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万家和谐增长</w:t>
            </w:r>
            <w:r w:rsidR="00E026C6">
              <w:rPr>
                <w:rFonts w:asciiTheme="minorEastAsia" w:hAnsiTheme="minorEastAsia" w:cs="宋体" w:hint="eastAsia"/>
                <w:color w:val="000000"/>
                <w:kern w:val="0"/>
                <w:szCs w:val="21"/>
              </w:rPr>
              <w:t>：</w:t>
            </w:r>
            <w:r w:rsidR="00E026C6">
              <w:rPr>
                <w:rFonts w:asciiTheme="minorEastAsia" w:hAnsiTheme="minorEastAsia" w:cs="宋体"/>
                <w:color w:val="000000"/>
                <w:kern w:val="0"/>
                <w:szCs w:val="21"/>
              </w:rPr>
              <w:t>后端</w:t>
            </w:r>
          </w:p>
        </w:tc>
        <w:tc>
          <w:tcPr>
            <w:tcW w:w="1567" w:type="dxa"/>
            <w:shd w:val="clear" w:color="auto" w:fill="auto"/>
            <w:noWrap/>
            <w:vAlign w:val="center"/>
            <w:hideMark/>
          </w:tcPr>
          <w:p w:rsidR="00C34027" w:rsidRPr="00C34027" w:rsidRDefault="00E026C6" w:rsidP="00E026C6">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w:t>
            </w:r>
            <w:r>
              <w:rPr>
                <w:rFonts w:asciiTheme="minorEastAsia" w:hAnsiTheme="minorEastAsia" w:cs="宋体"/>
                <w:color w:val="000000"/>
                <w:kern w:val="0"/>
                <w:szCs w:val="21"/>
              </w:rPr>
              <w:t>2</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万家双引擎灵活配置混合型证券投资基金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万家双引擎</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519183</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万家精选混合型证券投资基金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万家精选</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519185</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万家稳健增利债券型证券投资基金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万家稳健增利A</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519186</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万家稳健增利债券型证券投资基金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万家稳健增利C</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519187</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万家信用恒利债券型证券投资基金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万家信用恒利A</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519188</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万家信用恒利债券型证券投资基金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万家信用恒利C</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519189</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万家新利灵活配置混合型证券投资基金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万家新利</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519191</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万家消费成长股票型证券投资基金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万家消费成长</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519193</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万家货币市场证券投资基金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万家货币A</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519508</w:t>
            </w:r>
          </w:p>
        </w:tc>
      </w:tr>
      <w:tr w:rsidR="00C34027" w:rsidRPr="00C34027" w:rsidTr="00C34027">
        <w:trPr>
          <w:trHeight w:val="270"/>
        </w:trPr>
        <w:tc>
          <w:tcPr>
            <w:tcW w:w="43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万家日日薪货币市场证券投资基金</w:t>
            </w:r>
          </w:p>
        </w:tc>
        <w:tc>
          <w:tcPr>
            <w:tcW w:w="2280"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万家日日薪A</w:t>
            </w:r>
          </w:p>
        </w:tc>
        <w:tc>
          <w:tcPr>
            <w:tcW w:w="1567" w:type="dxa"/>
            <w:shd w:val="clear" w:color="auto" w:fill="auto"/>
            <w:noWrap/>
            <w:vAlign w:val="center"/>
            <w:hideMark/>
          </w:tcPr>
          <w:p w:rsidR="00C34027" w:rsidRPr="00C34027" w:rsidRDefault="00C34027" w:rsidP="00C34027">
            <w:pPr>
              <w:widowControl/>
              <w:jc w:val="left"/>
              <w:rPr>
                <w:rFonts w:asciiTheme="minorEastAsia" w:hAnsiTheme="minorEastAsia" w:cs="宋体"/>
                <w:color w:val="000000"/>
                <w:kern w:val="0"/>
                <w:szCs w:val="21"/>
              </w:rPr>
            </w:pPr>
            <w:r w:rsidRPr="00C34027">
              <w:rPr>
                <w:rFonts w:asciiTheme="minorEastAsia" w:hAnsiTheme="minorEastAsia" w:cs="宋体" w:hint="eastAsia"/>
                <w:color w:val="000000"/>
                <w:kern w:val="0"/>
                <w:szCs w:val="21"/>
              </w:rPr>
              <w:t>519511</w:t>
            </w:r>
          </w:p>
        </w:tc>
      </w:tr>
    </w:tbl>
    <w:p w:rsidR="005E2452" w:rsidRDefault="005E2452" w:rsidP="000E514B">
      <w:pPr>
        <w:autoSpaceDE w:val="0"/>
        <w:autoSpaceDN w:val="0"/>
        <w:adjustRightInd w:val="0"/>
        <w:spacing w:line="360" w:lineRule="auto"/>
        <w:ind w:firstLineChars="200" w:firstLine="420"/>
        <w:jc w:val="left"/>
      </w:pPr>
    </w:p>
    <w:p w:rsidR="002F08AB" w:rsidRDefault="002F08AB" w:rsidP="002F08AB">
      <w:pPr>
        <w:autoSpaceDE w:val="0"/>
        <w:autoSpaceDN w:val="0"/>
        <w:adjustRightInd w:val="0"/>
        <w:spacing w:line="360" w:lineRule="auto"/>
        <w:ind w:firstLineChars="200" w:firstLine="420"/>
        <w:jc w:val="left"/>
      </w:pPr>
      <w:r>
        <w:t>2</w:t>
      </w:r>
      <w:r>
        <w:t>、</w:t>
      </w:r>
      <w:r w:rsidR="00ED0693">
        <w:rPr>
          <w:rFonts w:hint="eastAsia"/>
        </w:rPr>
        <w:t>交通</w:t>
      </w:r>
      <w:r>
        <w:rPr>
          <w:rFonts w:hint="eastAsia"/>
        </w:rPr>
        <w:t>银行</w:t>
      </w:r>
      <w:r>
        <w:t>对上述基金的定投起点调整为</w:t>
      </w:r>
      <w:r>
        <w:t xml:space="preserve"> 10 </w:t>
      </w:r>
      <w:r>
        <w:t>元（含），本业务需遵守基金日常申购的最低数额限制。</w:t>
      </w:r>
    </w:p>
    <w:p w:rsidR="002F08AB" w:rsidRDefault="002F08AB" w:rsidP="002F08AB">
      <w:pPr>
        <w:autoSpaceDE w:val="0"/>
        <w:autoSpaceDN w:val="0"/>
        <w:adjustRightInd w:val="0"/>
        <w:spacing w:line="360" w:lineRule="auto"/>
        <w:ind w:firstLineChars="200" w:firstLine="420"/>
        <w:jc w:val="left"/>
      </w:pPr>
    </w:p>
    <w:p w:rsidR="00CC5F07" w:rsidRPr="00573ED3" w:rsidRDefault="002F08AB" w:rsidP="005F4B81">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二、</w:t>
      </w:r>
      <w:r w:rsidR="00CC5F07" w:rsidRPr="00CC5F07">
        <w:rPr>
          <w:rFonts w:ascii="宋体" w:eastAsia="宋体" w:cs="宋体" w:hint="eastAsia"/>
          <w:kern w:val="0"/>
          <w:szCs w:val="21"/>
        </w:rPr>
        <w:t>投资者可以通过以下途径咨询有关详情：</w:t>
      </w:r>
    </w:p>
    <w:p w:rsidR="00B152D3" w:rsidRPr="00B152D3" w:rsidRDefault="00B152D3" w:rsidP="00B152D3">
      <w:pPr>
        <w:autoSpaceDE w:val="0"/>
        <w:autoSpaceDN w:val="0"/>
        <w:adjustRightInd w:val="0"/>
        <w:spacing w:line="360" w:lineRule="auto"/>
        <w:jc w:val="left"/>
        <w:rPr>
          <w:rFonts w:ascii="宋体" w:eastAsia="宋体" w:cs="宋体"/>
          <w:kern w:val="0"/>
          <w:szCs w:val="21"/>
        </w:rPr>
      </w:pPr>
      <w:r w:rsidRPr="00B152D3">
        <w:rPr>
          <w:rFonts w:ascii="宋体" w:eastAsia="宋体" w:cs="宋体" w:hint="eastAsia"/>
          <w:kern w:val="0"/>
          <w:szCs w:val="21"/>
        </w:rPr>
        <w:lastRenderedPageBreak/>
        <w:t>1、</w:t>
      </w:r>
      <w:r w:rsidR="00ED0693" w:rsidRPr="00ED0693">
        <w:rPr>
          <w:rFonts w:ascii="宋体" w:eastAsia="宋体" w:cs="宋体" w:hint="eastAsia"/>
          <w:kern w:val="0"/>
          <w:szCs w:val="21"/>
        </w:rPr>
        <w:t>交通银行股份有限公司</w:t>
      </w:r>
    </w:p>
    <w:p w:rsidR="00B152D3" w:rsidRPr="00B152D3" w:rsidRDefault="00B152D3" w:rsidP="002F08AB">
      <w:pPr>
        <w:autoSpaceDE w:val="0"/>
        <w:autoSpaceDN w:val="0"/>
        <w:adjustRightInd w:val="0"/>
        <w:spacing w:line="360" w:lineRule="auto"/>
        <w:ind w:firstLineChars="150" w:firstLine="315"/>
        <w:jc w:val="left"/>
        <w:rPr>
          <w:rFonts w:ascii="宋体" w:eastAsia="宋体" w:cs="宋体"/>
          <w:kern w:val="0"/>
          <w:szCs w:val="21"/>
        </w:rPr>
      </w:pPr>
      <w:r w:rsidRPr="00B152D3">
        <w:rPr>
          <w:rFonts w:ascii="宋体" w:eastAsia="宋体" w:cs="宋体" w:hint="eastAsia"/>
          <w:kern w:val="0"/>
          <w:szCs w:val="21"/>
        </w:rPr>
        <w:t>客户服务电话：</w:t>
      </w:r>
      <w:r w:rsidR="00ED0693">
        <w:rPr>
          <w:rFonts w:ascii="宋体" w:eastAsia="宋体" w:cs="宋体"/>
          <w:kern w:val="0"/>
          <w:szCs w:val="21"/>
        </w:rPr>
        <w:t>955</w:t>
      </w:r>
      <w:r w:rsidR="00ED0693">
        <w:rPr>
          <w:rFonts w:ascii="宋体" w:eastAsia="宋体" w:cs="宋体" w:hint="eastAsia"/>
          <w:kern w:val="0"/>
          <w:szCs w:val="21"/>
        </w:rPr>
        <w:t>59</w:t>
      </w:r>
    </w:p>
    <w:p w:rsidR="00C42580" w:rsidRDefault="00B152D3" w:rsidP="002F08AB">
      <w:pPr>
        <w:autoSpaceDE w:val="0"/>
        <w:autoSpaceDN w:val="0"/>
        <w:adjustRightInd w:val="0"/>
        <w:spacing w:line="360" w:lineRule="auto"/>
        <w:ind w:firstLineChars="150" w:firstLine="315"/>
        <w:jc w:val="left"/>
        <w:rPr>
          <w:rFonts w:ascii="宋体" w:eastAsia="宋体" w:cs="宋体"/>
          <w:kern w:val="0"/>
          <w:szCs w:val="21"/>
        </w:rPr>
      </w:pPr>
      <w:r w:rsidRPr="00B152D3">
        <w:rPr>
          <w:rFonts w:ascii="宋体" w:eastAsia="宋体" w:cs="宋体" w:hint="eastAsia"/>
          <w:kern w:val="0"/>
          <w:szCs w:val="21"/>
        </w:rPr>
        <w:t>网址：</w:t>
      </w:r>
      <w:r w:rsidR="00ED0693" w:rsidRPr="00ED0693">
        <w:rPr>
          <w:rStyle w:val="a3"/>
          <w:rFonts w:ascii="宋体" w:eastAsia="宋体" w:cs="宋体"/>
          <w:kern w:val="0"/>
          <w:szCs w:val="21"/>
        </w:rPr>
        <w:t>http://www.bankcomm.com</w:t>
      </w:r>
    </w:p>
    <w:p w:rsidR="00B152D3" w:rsidRPr="00B152D3" w:rsidRDefault="00B152D3" w:rsidP="00B152D3">
      <w:pPr>
        <w:autoSpaceDE w:val="0"/>
        <w:autoSpaceDN w:val="0"/>
        <w:adjustRightInd w:val="0"/>
        <w:spacing w:line="360" w:lineRule="auto"/>
        <w:jc w:val="left"/>
        <w:rPr>
          <w:rFonts w:ascii="宋体" w:eastAsia="宋体" w:cs="宋体"/>
          <w:kern w:val="0"/>
          <w:szCs w:val="21"/>
        </w:rPr>
      </w:pPr>
    </w:p>
    <w:p w:rsidR="00CC5F07" w:rsidRPr="00CC5F07" w:rsidRDefault="00CC5F07" w:rsidP="00CC5F07">
      <w:pPr>
        <w:autoSpaceDE w:val="0"/>
        <w:autoSpaceDN w:val="0"/>
        <w:adjustRightInd w:val="0"/>
        <w:spacing w:line="360" w:lineRule="auto"/>
        <w:jc w:val="left"/>
        <w:rPr>
          <w:rFonts w:ascii="宋体" w:eastAsia="宋体" w:cs="宋体"/>
          <w:kern w:val="0"/>
          <w:szCs w:val="21"/>
        </w:rPr>
      </w:pPr>
      <w:r w:rsidRPr="00CC5F07">
        <w:rPr>
          <w:rFonts w:ascii="宋体" w:eastAsia="宋体" w:cs="宋体"/>
          <w:kern w:val="0"/>
          <w:szCs w:val="21"/>
        </w:rPr>
        <w:t>2</w:t>
      </w:r>
      <w:r w:rsidRPr="00CC5F07">
        <w:rPr>
          <w:rFonts w:ascii="宋体" w:eastAsia="宋体" w:cs="宋体" w:hint="eastAsia"/>
          <w:kern w:val="0"/>
          <w:szCs w:val="21"/>
        </w:rPr>
        <w:t>、万家基金管理有限公司</w:t>
      </w:r>
    </w:p>
    <w:p w:rsidR="00CC5F07" w:rsidRPr="00CC5F07" w:rsidRDefault="00CC5F07" w:rsidP="002F08AB">
      <w:pPr>
        <w:autoSpaceDE w:val="0"/>
        <w:autoSpaceDN w:val="0"/>
        <w:adjustRightInd w:val="0"/>
        <w:spacing w:line="360" w:lineRule="auto"/>
        <w:ind w:firstLineChars="150" w:firstLine="315"/>
        <w:jc w:val="left"/>
        <w:rPr>
          <w:rFonts w:ascii="宋体" w:eastAsia="宋体" w:cs="宋体"/>
          <w:kern w:val="0"/>
          <w:szCs w:val="21"/>
        </w:rPr>
      </w:pPr>
      <w:r w:rsidRPr="00CC5F07">
        <w:rPr>
          <w:rFonts w:ascii="宋体" w:eastAsia="宋体" w:cs="宋体" w:hint="eastAsia"/>
          <w:kern w:val="0"/>
          <w:szCs w:val="21"/>
        </w:rPr>
        <w:t>客户服务电话：</w:t>
      </w:r>
      <w:bookmarkStart w:id="0" w:name="_GoBack"/>
      <w:bookmarkEnd w:id="0"/>
      <w:r w:rsidRPr="00CC5F07">
        <w:rPr>
          <w:rFonts w:ascii="宋体" w:eastAsia="宋体" w:cs="宋体"/>
          <w:kern w:val="0"/>
          <w:szCs w:val="21"/>
        </w:rPr>
        <w:t>400-888-0800</w:t>
      </w:r>
    </w:p>
    <w:p w:rsidR="00CC5F07" w:rsidRPr="00CC5F07" w:rsidRDefault="00CC5F07" w:rsidP="002F08AB">
      <w:pPr>
        <w:autoSpaceDE w:val="0"/>
        <w:autoSpaceDN w:val="0"/>
        <w:adjustRightInd w:val="0"/>
        <w:spacing w:line="360" w:lineRule="auto"/>
        <w:ind w:firstLineChars="150" w:firstLine="315"/>
        <w:jc w:val="left"/>
        <w:rPr>
          <w:rFonts w:ascii="宋体" w:eastAsia="宋体" w:cs="宋体"/>
          <w:kern w:val="0"/>
          <w:szCs w:val="21"/>
        </w:rPr>
      </w:pPr>
      <w:r w:rsidRPr="00CC5F07">
        <w:rPr>
          <w:rFonts w:ascii="宋体" w:eastAsia="宋体" w:cs="宋体" w:hint="eastAsia"/>
          <w:kern w:val="0"/>
          <w:szCs w:val="21"/>
        </w:rPr>
        <w:t>客服传真：</w:t>
      </w:r>
      <w:r w:rsidRPr="00CC5F07">
        <w:rPr>
          <w:rFonts w:ascii="宋体" w:eastAsia="宋体" w:cs="宋体"/>
          <w:kern w:val="0"/>
          <w:szCs w:val="21"/>
        </w:rPr>
        <w:t>021-38909778</w:t>
      </w:r>
    </w:p>
    <w:p w:rsidR="00CC5F07" w:rsidRPr="00CC5F07" w:rsidRDefault="00CC5F07" w:rsidP="002F08AB">
      <w:pPr>
        <w:autoSpaceDE w:val="0"/>
        <w:autoSpaceDN w:val="0"/>
        <w:adjustRightInd w:val="0"/>
        <w:spacing w:line="360" w:lineRule="auto"/>
        <w:ind w:firstLineChars="150" w:firstLine="315"/>
        <w:jc w:val="left"/>
        <w:rPr>
          <w:rFonts w:ascii="宋体" w:eastAsia="宋体" w:cs="宋体"/>
          <w:kern w:val="0"/>
          <w:szCs w:val="21"/>
        </w:rPr>
      </w:pPr>
      <w:r w:rsidRPr="00CC5F07">
        <w:rPr>
          <w:rFonts w:ascii="宋体" w:eastAsia="宋体" w:cs="宋体" w:hint="eastAsia"/>
          <w:kern w:val="0"/>
          <w:szCs w:val="21"/>
        </w:rPr>
        <w:t>网址：</w:t>
      </w:r>
      <w:hyperlink r:id="rId7" w:history="1">
        <w:r w:rsidRPr="00CC5F07">
          <w:rPr>
            <w:rStyle w:val="a3"/>
            <w:rFonts w:ascii="宋体" w:eastAsia="宋体" w:cs="宋体"/>
            <w:kern w:val="0"/>
            <w:szCs w:val="21"/>
          </w:rPr>
          <w:t>www.wjasset.com</w:t>
        </w:r>
      </w:hyperlink>
    </w:p>
    <w:p w:rsidR="00CC5F07" w:rsidRPr="00CC5F07" w:rsidRDefault="00CC5F07" w:rsidP="00CC5F07">
      <w:pPr>
        <w:autoSpaceDE w:val="0"/>
        <w:autoSpaceDN w:val="0"/>
        <w:adjustRightInd w:val="0"/>
        <w:spacing w:line="360" w:lineRule="auto"/>
        <w:jc w:val="left"/>
        <w:rPr>
          <w:rFonts w:ascii="宋体" w:eastAsia="宋体" w:cs="宋体"/>
          <w:kern w:val="0"/>
          <w:szCs w:val="21"/>
        </w:rPr>
      </w:pPr>
    </w:p>
    <w:p w:rsidR="00C42580" w:rsidRDefault="004B18CD" w:rsidP="004B18CD">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风险提示：投资者欲了解上述基金详细情况，请参看该基金的《基金合同》和《招募说明书》，基金管理人不承诺基金投资最低收益、也不保证基金投资一定赢利，请投资者在充分考虑风险的情况下谨慎做出投资决策。投资者应当充分了解基金定期定额投资和零存整取等储蓄方式的区别。定期定额投资是引导投资者进行长期投资、平均投资成本的一种简单易行的投资方式。但是定期定额投资并不能规避基金投资所固有的风险</w:t>
      </w:r>
      <w:r>
        <w:rPr>
          <w:rFonts w:ascii="宋体" w:eastAsia="宋体" w:cs="宋体"/>
          <w:kern w:val="0"/>
          <w:szCs w:val="21"/>
        </w:rPr>
        <w:t>,</w:t>
      </w:r>
      <w:r>
        <w:rPr>
          <w:rFonts w:ascii="宋体" w:eastAsia="宋体" w:cs="宋体" w:hint="eastAsia"/>
          <w:kern w:val="0"/>
          <w:szCs w:val="21"/>
        </w:rPr>
        <w:t>不能保证投资者获得收益</w:t>
      </w:r>
      <w:r>
        <w:rPr>
          <w:rFonts w:ascii="宋体" w:eastAsia="宋体" w:cs="宋体"/>
          <w:kern w:val="0"/>
          <w:szCs w:val="21"/>
        </w:rPr>
        <w:t>,</w:t>
      </w:r>
      <w:r>
        <w:rPr>
          <w:rFonts w:ascii="宋体" w:eastAsia="宋体" w:cs="宋体" w:hint="eastAsia"/>
          <w:kern w:val="0"/>
          <w:szCs w:val="21"/>
        </w:rPr>
        <w:t>也不是替代储蓄的等效理财方式。</w:t>
      </w:r>
    </w:p>
    <w:p w:rsidR="00A560C7" w:rsidRPr="00CC5F07" w:rsidRDefault="00A560C7" w:rsidP="004B18CD">
      <w:pPr>
        <w:autoSpaceDE w:val="0"/>
        <w:autoSpaceDN w:val="0"/>
        <w:adjustRightInd w:val="0"/>
        <w:spacing w:line="360" w:lineRule="auto"/>
        <w:jc w:val="left"/>
        <w:rPr>
          <w:rFonts w:ascii="宋体" w:eastAsia="宋体" w:cs="宋体"/>
          <w:kern w:val="0"/>
          <w:szCs w:val="21"/>
        </w:rPr>
      </w:pPr>
    </w:p>
    <w:p w:rsidR="00CC5F07" w:rsidRDefault="00CC5F07" w:rsidP="00A560C7">
      <w:pPr>
        <w:autoSpaceDE w:val="0"/>
        <w:autoSpaceDN w:val="0"/>
        <w:adjustRightInd w:val="0"/>
        <w:spacing w:line="360" w:lineRule="auto"/>
        <w:ind w:firstLineChars="300" w:firstLine="630"/>
        <w:jc w:val="left"/>
        <w:rPr>
          <w:rFonts w:ascii="宋体" w:eastAsia="宋体" w:cs="宋体"/>
          <w:kern w:val="0"/>
          <w:szCs w:val="21"/>
        </w:rPr>
      </w:pPr>
      <w:r w:rsidRPr="00CC5F07">
        <w:rPr>
          <w:rFonts w:ascii="宋体" w:eastAsia="宋体" w:cs="宋体" w:hint="eastAsia"/>
          <w:kern w:val="0"/>
          <w:szCs w:val="21"/>
        </w:rPr>
        <w:t>特此公告。</w:t>
      </w:r>
    </w:p>
    <w:p w:rsidR="00017F3A" w:rsidRDefault="00017F3A" w:rsidP="00CC5F07">
      <w:pPr>
        <w:autoSpaceDE w:val="0"/>
        <w:autoSpaceDN w:val="0"/>
        <w:adjustRightInd w:val="0"/>
        <w:spacing w:line="360" w:lineRule="auto"/>
        <w:jc w:val="left"/>
        <w:rPr>
          <w:rFonts w:ascii="宋体" w:eastAsia="宋体" w:cs="宋体"/>
          <w:kern w:val="0"/>
          <w:szCs w:val="21"/>
        </w:rPr>
      </w:pPr>
    </w:p>
    <w:p w:rsidR="002530D9" w:rsidRDefault="002530D9" w:rsidP="00CC5F07">
      <w:pPr>
        <w:autoSpaceDE w:val="0"/>
        <w:autoSpaceDN w:val="0"/>
        <w:adjustRightInd w:val="0"/>
        <w:spacing w:line="360" w:lineRule="auto"/>
        <w:jc w:val="left"/>
        <w:rPr>
          <w:rFonts w:ascii="宋体" w:eastAsia="宋体" w:cs="宋体"/>
          <w:kern w:val="0"/>
          <w:szCs w:val="21"/>
        </w:rPr>
      </w:pPr>
    </w:p>
    <w:p w:rsidR="002530D9" w:rsidRDefault="002530D9" w:rsidP="00CC5F07">
      <w:pPr>
        <w:autoSpaceDE w:val="0"/>
        <w:autoSpaceDN w:val="0"/>
        <w:adjustRightInd w:val="0"/>
        <w:spacing w:line="360" w:lineRule="auto"/>
        <w:jc w:val="left"/>
        <w:rPr>
          <w:rFonts w:ascii="宋体" w:eastAsia="宋体" w:cs="宋体"/>
          <w:kern w:val="0"/>
          <w:szCs w:val="21"/>
        </w:rPr>
      </w:pPr>
    </w:p>
    <w:p w:rsidR="002530D9" w:rsidRPr="00CC5F07" w:rsidRDefault="002530D9" w:rsidP="00CC5F07">
      <w:pPr>
        <w:autoSpaceDE w:val="0"/>
        <w:autoSpaceDN w:val="0"/>
        <w:adjustRightInd w:val="0"/>
        <w:spacing w:line="360" w:lineRule="auto"/>
        <w:jc w:val="left"/>
        <w:rPr>
          <w:rFonts w:ascii="宋体" w:eastAsia="宋体" w:cs="宋体"/>
          <w:kern w:val="0"/>
          <w:szCs w:val="21"/>
        </w:rPr>
      </w:pPr>
    </w:p>
    <w:p w:rsidR="00CC5F07" w:rsidRPr="00CC5F07" w:rsidRDefault="00CC5F07" w:rsidP="00017F3A">
      <w:pPr>
        <w:autoSpaceDE w:val="0"/>
        <w:autoSpaceDN w:val="0"/>
        <w:adjustRightInd w:val="0"/>
        <w:spacing w:line="360" w:lineRule="auto"/>
        <w:ind w:firstLineChars="2400" w:firstLine="5040"/>
        <w:jc w:val="right"/>
        <w:rPr>
          <w:rFonts w:ascii="宋体" w:eastAsia="宋体" w:cs="宋体"/>
          <w:kern w:val="0"/>
          <w:szCs w:val="21"/>
        </w:rPr>
      </w:pPr>
      <w:r w:rsidRPr="00CC5F07">
        <w:rPr>
          <w:rFonts w:ascii="宋体" w:eastAsia="宋体" w:cs="宋体" w:hint="eastAsia"/>
          <w:kern w:val="0"/>
          <w:szCs w:val="21"/>
        </w:rPr>
        <w:t>万家基金管理有限公司</w:t>
      </w:r>
    </w:p>
    <w:p w:rsidR="001005E5" w:rsidRPr="00CC5F07" w:rsidRDefault="0085011D" w:rsidP="00017F3A">
      <w:pPr>
        <w:spacing w:line="360" w:lineRule="auto"/>
        <w:ind w:firstLineChars="2400" w:firstLine="5040"/>
        <w:jc w:val="right"/>
        <w:rPr>
          <w:szCs w:val="21"/>
        </w:rPr>
      </w:pPr>
      <w:r w:rsidRPr="00CC5F07">
        <w:rPr>
          <w:rFonts w:ascii="宋体" w:eastAsia="宋体" w:cs="宋体" w:hint="eastAsia"/>
          <w:kern w:val="0"/>
          <w:szCs w:val="21"/>
        </w:rPr>
        <w:t>二〇</w:t>
      </w:r>
      <w:r w:rsidR="00E47EBD" w:rsidRPr="00CC5F07">
        <w:rPr>
          <w:rFonts w:ascii="宋体" w:eastAsia="宋体" w:cs="宋体" w:hint="eastAsia"/>
          <w:kern w:val="0"/>
          <w:szCs w:val="21"/>
        </w:rPr>
        <w:t>二〇</w:t>
      </w:r>
      <w:r w:rsidRPr="00CC5F07">
        <w:rPr>
          <w:rFonts w:ascii="宋体" w:eastAsia="宋体" w:cs="宋体" w:hint="eastAsia"/>
          <w:kern w:val="0"/>
          <w:szCs w:val="21"/>
        </w:rPr>
        <w:t>年</w:t>
      </w:r>
      <w:r w:rsidR="002F08AB">
        <w:rPr>
          <w:rFonts w:ascii="宋体" w:eastAsia="宋体" w:cs="宋体" w:hint="eastAsia"/>
          <w:kern w:val="0"/>
          <w:szCs w:val="21"/>
        </w:rPr>
        <w:t>四</w:t>
      </w:r>
      <w:r w:rsidRPr="00573ED3">
        <w:rPr>
          <w:rFonts w:ascii="宋体" w:eastAsia="宋体" w:cs="宋体" w:hint="eastAsia"/>
          <w:kern w:val="0"/>
          <w:szCs w:val="21"/>
        </w:rPr>
        <w:t>月</w:t>
      </w:r>
      <w:r w:rsidR="00ED0693">
        <w:rPr>
          <w:rFonts w:ascii="宋体" w:eastAsia="宋体" w:cs="宋体" w:hint="eastAsia"/>
          <w:kern w:val="0"/>
          <w:szCs w:val="21"/>
        </w:rPr>
        <w:t>二十三</w:t>
      </w:r>
      <w:r w:rsidRPr="00573ED3">
        <w:rPr>
          <w:rFonts w:ascii="宋体" w:eastAsia="宋体" w:cs="宋体" w:hint="eastAsia"/>
          <w:kern w:val="0"/>
          <w:szCs w:val="21"/>
        </w:rPr>
        <w:t>日</w:t>
      </w:r>
    </w:p>
    <w:sectPr w:rsidR="001005E5" w:rsidRPr="00CC5F07" w:rsidSect="004C7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69" w:rsidRDefault="00250F69" w:rsidP="007342C8">
      <w:r>
        <w:separator/>
      </w:r>
    </w:p>
  </w:endnote>
  <w:endnote w:type="continuationSeparator" w:id="1">
    <w:p w:rsidR="00250F69" w:rsidRDefault="00250F69" w:rsidP="00734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69" w:rsidRDefault="00250F69" w:rsidP="007342C8">
      <w:r>
        <w:separator/>
      </w:r>
    </w:p>
  </w:footnote>
  <w:footnote w:type="continuationSeparator" w:id="1">
    <w:p w:rsidR="00250F69" w:rsidRDefault="00250F69" w:rsidP="007342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D37"/>
    <w:rsid w:val="0000193B"/>
    <w:rsid w:val="00017F3A"/>
    <w:rsid w:val="00081549"/>
    <w:rsid w:val="00091315"/>
    <w:rsid w:val="000C4073"/>
    <w:rsid w:val="000E514B"/>
    <w:rsid w:val="0010018A"/>
    <w:rsid w:val="001005E5"/>
    <w:rsid w:val="001043DD"/>
    <w:rsid w:val="001114FD"/>
    <w:rsid w:val="00122A84"/>
    <w:rsid w:val="00137B72"/>
    <w:rsid w:val="00153C1C"/>
    <w:rsid w:val="001A6473"/>
    <w:rsid w:val="00211BFD"/>
    <w:rsid w:val="002242A5"/>
    <w:rsid w:val="00250476"/>
    <w:rsid w:val="00250F69"/>
    <w:rsid w:val="002530D9"/>
    <w:rsid w:val="00257B50"/>
    <w:rsid w:val="002708C3"/>
    <w:rsid w:val="00282869"/>
    <w:rsid w:val="00282AD2"/>
    <w:rsid w:val="002E5A9C"/>
    <w:rsid w:val="002F08AB"/>
    <w:rsid w:val="0031319F"/>
    <w:rsid w:val="00332396"/>
    <w:rsid w:val="003628D0"/>
    <w:rsid w:val="00392D97"/>
    <w:rsid w:val="003D2B7B"/>
    <w:rsid w:val="0040391D"/>
    <w:rsid w:val="00404B86"/>
    <w:rsid w:val="00427B26"/>
    <w:rsid w:val="0044682A"/>
    <w:rsid w:val="004653EB"/>
    <w:rsid w:val="00477D9A"/>
    <w:rsid w:val="00481A66"/>
    <w:rsid w:val="004875F7"/>
    <w:rsid w:val="00494CF3"/>
    <w:rsid w:val="004A51A6"/>
    <w:rsid w:val="004B18CD"/>
    <w:rsid w:val="004C799A"/>
    <w:rsid w:val="00502C52"/>
    <w:rsid w:val="0054361C"/>
    <w:rsid w:val="00561B6B"/>
    <w:rsid w:val="00573ED3"/>
    <w:rsid w:val="00584D6C"/>
    <w:rsid w:val="005B04D4"/>
    <w:rsid w:val="005E2452"/>
    <w:rsid w:val="005F4B81"/>
    <w:rsid w:val="00624F7C"/>
    <w:rsid w:val="006410BE"/>
    <w:rsid w:val="00652D1A"/>
    <w:rsid w:val="006745C8"/>
    <w:rsid w:val="0069142B"/>
    <w:rsid w:val="006A3849"/>
    <w:rsid w:val="006D4BD8"/>
    <w:rsid w:val="006F5EB6"/>
    <w:rsid w:val="00732F5C"/>
    <w:rsid w:val="007342C8"/>
    <w:rsid w:val="00756E95"/>
    <w:rsid w:val="00796D22"/>
    <w:rsid w:val="007A2CA6"/>
    <w:rsid w:val="007B057A"/>
    <w:rsid w:val="007C08FC"/>
    <w:rsid w:val="007E00AF"/>
    <w:rsid w:val="0085011D"/>
    <w:rsid w:val="0085673C"/>
    <w:rsid w:val="0086574A"/>
    <w:rsid w:val="0088453B"/>
    <w:rsid w:val="00893D95"/>
    <w:rsid w:val="008A4F2A"/>
    <w:rsid w:val="008D7C1A"/>
    <w:rsid w:val="009038D9"/>
    <w:rsid w:val="0091108D"/>
    <w:rsid w:val="00977348"/>
    <w:rsid w:val="00996E2F"/>
    <w:rsid w:val="009B0763"/>
    <w:rsid w:val="009C5E95"/>
    <w:rsid w:val="009E5AF3"/>
    <w:rsid w:val="009F0368"/>
    <w:rsid w:val="00A104D6"/>
    <w:rsid w:val="00A22C81"/>
    <w:rsid w:val="00A344A7"/>
    <w:rsid w:val="00A560C7"/>
    <w:rsid w:val="00A775DC"/>
    <w:rsid w:val="00A92FB6"/>
    <w:rsid w:val="00AB2C29"/>
    <w:rsid w:val="00AC1B3A"/>
    <w:rsid w:val="00AF69A2"/>
    <w:rsid w:val="00B152D3"/>
    <w:rsid w:val="00B2056F"/>
    <w:rsid w:val="00B25893"/>
    <w:rsid w:val="00B401C9"/>
    <w:rsid w:val="00B409ED"/>
    <w:rsid w:val="00B85491"/>
    <w:rsid w:val="00B87221"/>
    <w:rsid w:val="00B947B4"/>
    <w:rsid w:val="00BD3664"/>
    <w:rsid w:val="00BD3837"/>
    <w:rsid w:val="00C34027"/>
    <w:rsid w:val="00C42580"/>
    <w:rsid w:val="00C54184"/>
    <w:rsid w:val="00C62BE3"/>
    <w:rsid w:val="00C62E4D"/>
    <w:rsid w:val="00C85031"/>
    <w:rsid w:val="00C85EBB"/>
    <w:rsid w:val="00C91823"/>
    <w:rsid w:val="00CB12CB"/>
    <w:rsid w:val="00CC5F07"/>
    <w:rsid w:val="00CC5F13"/>
    <w:rsid w:val="00CD09E7"/>
    <w:rsid w:val="00D010C8"/>
    <w:rsid w:val="00D0319D"/>
    <w:rsid w:val="00D16D8A"/>
    <w:rsid w:val="00D37424"/>
    <w:rsid w:val="00D40244"/>
    <w:rsid w:val="00D41432"/>
    <w:rsid w:val="00D63293"/>
    <w:rsid w:val="00DB4B5B"/>
    <w:rsid w:val="00E026C6"/>
    <w:rsid w:val="00E34D37"/>
    <w:rsid w:val="00E364C6"/>
    <w:rsid w:val="00E42198"/>
    <w:rsid w:val="00E47EBD"/>
    <w:rsid w:val="00E51A61"/>
    <w:rsid w:val="00E63851"/>
    <w:rsid w:val="00E82DC7"/>
    <w:rsid w:val="00EA3DFC"/>
    <w:rsid w:val="00EB41C0"/>
    <w:rsid w:val="00ED0693"/>
    <w:rsid w:val="00ED7A03"/>
    <w:rsid w:val="00EE0655"/>
    <w:rsid w:val="00F1213E"/>
    <w:rsid w:val="00F21975"/>
    <w:rsid w:val="00F2785F"/>
    <w:rsid w:val="00F35078"/>
    <w:rsid w:val="00F45C08"/>
    <w:rsid w:val="00F51036"/>
    <w:rsid w:val="00F52F11"/>
    <w:rsid w:val="00F80C23"/>
    <w:rsid w:val="00FC0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paragraph" w:styleId="a5">
    <w:name w:val="header"/>
    <w:basedOn w:val="a"/>
    <w:link w:val="Char0"/>
    <w:uiPriority w:val="99"/>
    <w:unhideWhenUsed/>
    <w:rsid w:val="007342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42C8"/>
    <w:rPr>
      <w:sz w:val="18"/>
      <w:szCs w:val="18"/>
    </w:rPr>
  </w:style>
  <w:style w:type="paragraph" w:styleId="a6">
    <w:name w:val="footer"/>
    <w:basedOn w:val="a"/>
    <w:link w:val="Char1"/>
    <w:uiPriority w:val="99"/>
    <w:unhideWhenUsed/>
    <w:rsid w:val="007342C8"/>
    <w:pPr>
      <w:tabs>
        <w:tab w:val="center" w:pos="4153"/>
        <w:tab w:val="right" w:pos="8306"/>
      </w:tabs>
      <w:snapToGrid w:val="0"/>
      <w:jc w:val="left"/>
    </w:pPr>
    <w:rPr>
      <w:sz w:val="18"/>
      <w:szCs w:val="18"/>
    </w:rPr>
  </w:style>
  <w:style w:type="character" w:customStyle="1" w:styleId="Char1">
    <w:name w:val="页脚 Char"/>
    <w:basedOn w:val="a0"/>
    <w:link w:val="a6"/>
    <w:uiPriority w:val="99"/>
    <w:rsid w:val="007342C8"/>
    <w:rPr>
      <w:sz w:val="18"/>
      <w:szCs w:val="18"/>
    </w:rPr>
  </w:style>
  <w:style w:type="table" w:styleId="a7">
    <w:name w:val="Table Grid"/>
    <w:basedOn w:val="a1"/>
    <w:uiPriority w:val="59"/>
    <w:rsid w:val="005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paragraph" w:styleId="a5">
    <w:name w:val="header"/>
    <w:basedOn w:val="a"/>
    <w:link w:val="Char0"/>
    <w:uiPriority w:val="99"/>
    <w:unhideWhenUsed/>
    <w:rsid w:val="007342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42C8"/>
    <w:rPr>
      <w:sz w:val="18"/>
      <w:szCs w:val="18"/>
    </w:rPr>
  </w:style>
  <w:style w:type="paragraph" w:styleId="a6">
    <w:name w:val="footer"/>
    <w:basedOn w:val="a"/>
    <w:link w:val="Char1"/>
    <w:uiPriority w:val="99"/>
    <w:unhideWhenUsed/>
    <w:rsid w:val="007342C8"/>
    <w:pPr>
      <w:tabs>
        <w:tab w:val="center" w:pos="4153"/>
        <w:tab w:val="right" w:pos="8306"/>
      </w:tabs>
      <w:snapToGrid w:val="0"/>
      <w:jc w:val="left"/>
    </w:pPr>
    <w:rPr>
      <w:sz w:val="18"/>
      <w:szCs w:val="18"/>
    </w:rPr>
  </w:style>
  <w:style w:type="character" w:customStyle="1" w:styleId="Char1">
    <w:name w:val="页脚 Char"/>
    <w:basedOn w:val="a0"/>
    <w:link w:val="a6"/>
    <w:uiPriority w:val="99"/>
    <w:rsid w:val="007342C8"/>
    <w:rPr>
      <w:sz w:val="18"/>
      <w:szCs w:val="18"/>
    </w:rPr>
  </w:style>
  <w:style w:type="table" w:styleId="a7">
    <w:name w:val="Table Grid"/>
    <w:basedOn w:val="a1"/>
    <w:uiPriority w:val="59"/>
    <w:rsid w:val="005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12856">
      <w:bodyDiv w:val="1"/>
      <w:marLeft w:val="0"/>
      <w:marRight w:val="0"/>
      <w:marTop w:val="0"/>
      <w:marBottom w:val="0"/>
      <w:divBdr>
        <w:top w:val="none" w:sz="0" w:space="0" w:color="auto"/>
        <w:left w:val="none" w:sz="0" w:space="0" w:color="auto"/>
        <w:bottom w:val="none" w:sz="0" w:space="0" w:color="auto"/>
        <w:right w:val="none" w:sz="0" w:space="0" w:color="auto"/>
      </w:divBdr>
    </w:div>
    <w:div w:id="792747880">
      <w:bodyDiv w:val="1"/>
      <w:marLeft w:val="0"/>
      <w:marRight w:val="0"/>
      <w:marTop w:val="0"/>
      <w:marBottom w:val="0"/>
      <w:divBdr>
        <w:top w:val="none" w:sz="0" w:space="0" w:color="auto"/>
        <w:left w:val="none" w:sz="0" w:space="0" w:color="auto"/>
        <w:bottom w:val="none" w:sz="0" w:space="0" w:color="auto"/>
        <w:right w:val="none" w:sz="0" w:space="0" w:color="auto"/>
      </w:divBdr>
    </w:div>
    <w:div w:id="794448571">
      <w:bodyDiv w:val="1"/>
      <w:marLeft w:val="0"/>
      <w:marRight w:val="0"/>
      <w:marTop w:val="0"/>
      <w:marBottom w:val="0"/>
      <w:divBdr>
        <w:top w:val="none" w:sz="0" w:space="0" w:color="auto"/>
        <w:left w:val="none" w:sz="0" w:space="0" w:color="auto"/>
        <w:bottom w:val="none" w:sz="0" w:space="0" w:color="auto"/>
        <w:right w:val="none" w:sz="0" w:space="0" w:color="auto"/>
      </w:divBdr>
    </w:div>
    <w:div w:id="1069184531">
      <w:bodyDiv w:val="1"/>
      <w:marLeft w:val="0"/>
      <w:marRight w:val="0"/>
      <w:marTop w:val="0"/>
      <w:marBottom w:val="0"/>
      <w:divBdr>
        <w:top w:val="none" w:sz="0" w:space="0" w:color="auto"/>
        <w:left w:val="none" w:sz="0" w:space="0" w:color="auto"/>
        <w:bottom w:val="none" w:sz="0" w:space="0" w:color="auto"/>
        <w:right w:val="none" w:sz="0" w:space="0" w:color="auto"/>
      </w:divBdr>
      <w:divsChild>
        <w:div w:id="1098670382">
          <w:marLeft w:val="0"/>
          <w:marRight w:val="0"/>
          <w:marTop w:val="0"/>
          <w:marBottom w:val="0"/>
          <w:divBdr>
            <w:top w:val="none" w:sz="0" w:space="0" w:color="auto"/>
            <w:left w:val="none" w:sz="0" w:space="0" w:color="auto"/>
            <w:bottom w:val="none" w:sz="0" w:space="0" w:color="auto"/>
            <w:right w:val="none" w:sz="0" w:space="0" w:color="auto"/>
          </w:divBdr>
          <w:divsChild>
            <w:div w:id="604002926">
              <w:marLeft w:val="0"/>
              <w:marRight w:val="0"/>
              <w:marTop w:val="0"/>
              <w:marBottom w:val="0"/>
              <w:divBdr>
                <w:top w:val="none" w:sz="0" w:space="0" w:color="auto"/>
                <w:left w:val="none" w:sz="0" w:space="0" w:color="auto"/>
                <w:bottom w:val="none" w:sz="0" w:space="0" w:color="auto"/>
                <w:right w:val="none" w:sz="0" w:space="0" w:color="auto"/>
              </w:divBdr>
              <w:divsChild>
                <w:div w:id="256208040">
                  <w:marLeft w:val="0"/>
                  <w:marRight w:val="0"/>
                  <w:marTop w:val="0"/>
                  <w:marBottom w:val="0"/>
                  <w:divBdr>
                    <w:top w:val="none" w:sz="0" w:space="0" w:color="auto"/>
                    <w:left w:val="none" w:sz="0" w:space="0" w:color="auto"/>
                    <w:bottom w:val="none" w:sz="0" w:space="0" w:color="auto"/>
                    <w:right w:val="none" w:sz="0" w:space="0" w:color="auto"/>
                  </w:divBdr>
                  <w:divsChild>
                    <w:div w:id="1431318865">
                      <w:marLeft w:val="0"/>
                      <w:marRight w:val="0"/>
                      <w:marTop w:val="0"/>
                      <w:marBottom w:val="0"/>
                      <w:divBdr>
                        <w:top w:val="none" w:sz="0" w:space="0" w:color="auto"/>
                        <w:left w:val="none" w:sz="0" w:space="0" w:color="auto"/>
                        <w:bottom w:val="none" w:sz="0" w:space="0" w:color="auto"/>
                        <w:right w:val="none" w:sz="0" w:space="0" w:color="auto"/>
                      </w:divBdr>
                      <w:divsChild>
                        <w:div w:id="99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jass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2499-F224-41BF-992E-6B72B387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4</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龙元伟</dc:creator>
  <cp:lastModifiedBy>JonMMx 2000</cp:lastModifiedBy>
  <cp:revision>2</cp:revision>
  <cp:lastPrinted>2020-04-22T10:02:00Z</cp:lastPrinted>
  <dcterms:created xsi:type="dcterms:W3CDTF">2020-04-22T16:00:00Z</dcterms:created>
  <dcterms:modified xsi:type="dcterms:W3CDTF">2020-04-22T16:00:00Z</dcterms:modified>
</cp:coreProperties>
</file>