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1" w:rsidRPr="002646D2" w:rsidRDefault="003C13A4" w:rsidP="00B97534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永赢基金管理</w:t>
      </w:r>
      <w:r w:rsidRPr="002646D2">
        <w:rPr>
          <w:rFonts w:ascii="仿宋" w:eastAsia="仿宋" w:hAnsi="仿宋"/>
          <w:b/>
          <w:color w:val="000000" w:themeColor="text1"/>
          <w:sz w:val="36"/>
          <w:szCs w:val="36"/>
        </w:rPr>
        <w:t>有限</w:t>
      </w:r>
      <w:r w:rsidR="006B1691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公司旗下基金</w:t>
      </w:r>
      <w:r w:rsidR="0087530A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2646D2" w:rsidRPr="002646D2">
        <w:rPr>
          <w:rFonts w:ascii="仿宋" w:eastAsia="仿宋" w:hAnsi="仿宋"/>
          <w:b/>
          <w:color w:val="000000" w:themeColor="text1"/>
          <w:sz w:val="36"/>
          <w:szCs w:val="36"/>
        </w:rPr>
        <w:t>20</w:t>
      </w:r>
      <w:r w:rsidR="0087530A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87530A" w:rsidRPr="002646D2">
        <w:rPr>
          <w:rFonts w:ascii="仿宋" w:eastAsia="仿宋" w:hAnsi="仿宋"/>
          <w:b/>
          <w:color w:val="000000" w:themeColor="text1"/>
          <w:sz w:val="36"/>
          <w:szCs w:val="36"/>
        </w:rPr>
        <w:t>第</w:t>
      </w:r>
      <w:r w:rsidR="002646D2" w:rsidRPr="002646D2">
        <w:rPr>
          <w:rFonts w:ascii="仿宋" w:eastAsia="仿宋" w:hAnsi="仿宋"/>
          <w:b/>
          <w:color w:val="000000" w:themeColor="text1"/>
          <w:sz w:val="36"/>
          <w:szCs w:val="36"/>
        </w:rPr>
        <w:t>1</w:t>
      </w:r>
      <w:r w:rsidR="006B1691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6B1691" w:rsidRPr="002646D2" w:rsidRDefault="006B1691" w:rsidP="00B9753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6B1691" w:rsidRPr="002646D2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646D2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7530A" w:rsidRPr="002646D2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646D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7530A" w:rsidRPr="002646D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 w:rsidRPr="002646D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 w:rsidRPr="002646D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7530A" w:rsidRPr="002646D2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2646D2" w:rsidRPr="002646D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2646D2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6B1691" w:rsidRPr="002646D2" w:rsidRDefault="003C13A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646D2"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 w:rsidRPr="002646D2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2646D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6B1691" w:rsidRPr="002646D2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7530A" w:rsidRPr="002646D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永赢货币市场基金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永赢稳益债券型证券投资基金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永赢双利债券型证券投资基金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永赢丰益债券型证券投资基金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永赢添益债券型证券投资基金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永赢瑞益债券型证券投资基金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永赢天天利货币市场基金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永赢永益债券型证券投资基金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永赢丰利债券型证券投资基金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永赢增益债券型证券投资基金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</w:t>
      </w:r>
      <w:r w:rsidRPr="002646D2">
        <w:rPr>
          <w:rFonts w:ascii="Times New Roman" w:eastAsia="仿宋"/>
          <w:sz w:val="32"/>
          <w:szCs w:val="32"/>
        </w:rPr>
        <w:t>恒益债券型证券投资基金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</w:t>
      </w:r>
      <w:r w:rsidRPr="002646D2">
        <w:rPr>
          <w:rFonts w:ascii="Times New Roman" w:eastAsia="仿宋"/>
          <w:sz w:val="32"/>
          <w:szCs w:val="32"/>
        </w:rPr>
        <w:t>惠添利灵活配置混合型证券投资基金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永赢惠</w:t>
      </w:r>
      <w:r w:rsidRPr="002646D2">
        <w:rPr>
          <w:rFonts w:ascii="Times New Roman" w:eastAsia="仿宋"/>
          <w:sz w:val="32"/>
          <w:szCs w:val="32"/>
        </w:rPr>
        <w:t>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永赢润</w:t>
      </w:r>
      <w:r w:rsidRPr="002646D2">
        <w:rPr>
          <w:rFonts w:ascii="Times New Roman" w:eastAsia="仿宋"/>
          <w:sz w:val="32"/>
          <w:szCs w:val="32"/>
        </w:rPr>
        <w:t>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永赢荣</w:t>
      </w:r>
      <w:r w:rsidRPr="002646D2">
        <w:rPr>
          <w:rFonts w:ascii="Times New Roman" w:eastAsia="仿宋"/>
          <w:sz w:val="32"/>
          <w:szCs w:val="32"/>
        </w:rPr>
        <w:t>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永赢泰</w:t>
      </w:r>
      <w:r w:rsidRPr="002646D2">
        <w:rPr>
          <w:rFonts w:ascii="Times New Roman" w:eastAsia="仿宋"/>
          <w:sz w:val="32"/>
          <w:szCs w:val="32"/>
        </w:rPr>
        <w:t>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永赢盈</w:t>
      </w:r>
      <w:r w:rsidRPr="002646D2">
        <w:rPr>
          <w:rFonts w:ascii="Times New Roman" w:eastAsia="仿宋"/>
          <w:sz w:val="32"/>
          <w:szCs w:val="32"/>
        </w:rPr>
        <w:t>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lastRenderedPageBreak/>
        <w:t>永赢嘉</w:t>
      </w:r>
      <w:r w:rsidRPr="002646D2">
        <w:rPr>
          <w:rFonts w:ascii="Times New Roman" w:eastAsia="仿宋"/>
          <w:sz w:val="32"/>
          <w:szCs w:val="32"/>
        </w:rPr>
        <w:t>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永赢聚</w:t>
      </w:r>
      <w:r w:rsidRPr="002646D2">
        <w:rPr>
          <w:rFonts w:ascii="Times New Roman" w:eastAsia="仿宋"/>
          <w:sz w:val="32"/>
          <w:szCs w:val="32"/>
        </w:rPr>
        <w:t>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永赢盛</w:t>
      </w:r>
      <w:r w:rsidRPr="002646D2">
        <w:rPr>
          <w:rFonts w:ascii="Times New Roman" w:eastAsia="仿宋"/>
          <w:sz w:val="32"/>
          <w:szCs w:val="32"/>
        </w:rPr>
        <w:t>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</w:t>
      </w:r>
      <w:r w:rsidRPr="002646D2">
        <w:rPr>
          <w:rFonts w:ascii="Times New Roman" w:eastAsia="仿宋"/>
          <w:sz w:val="32"/>
          <w:szCs w:val="32"/>
        </w:rPr>
        <w:t>裕益债券型证券投资基金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/>
          <w:sz w:val="32"/>
          <w:szCs w:val="32"/>
        </w:rPr>
        <w:t>永赢祥益债券型证券投资基金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/>
          <w:sz w:val="32"/>
          <w:szCs w:val="32"/>
        </w:rPr>
        <w:t>永赢</w:t>
      </w:r>
      <w:r w:rsidRPr="002646D2">
        <w:rPr>
          <w:rFonts w:ascii="Times New Roman" w:eastAsia="仿宋" w:hint="eastAsia"/>
          <w:sz w:val="32"/>
          <w:szCs w:val="32"/>
        </w:rPr>
        <w:t>通</w:t>
      </w:r>
      <w:r w:rsidRPr="002646D2">
        <w:rPr>
          <w:rFonts w:ascii="Times New Roman" w:eastAsia="仿宋"/>
          <w:sz w:val="32"/>
          <w:szCs w:val="32"/>
        </w:rPr>
        <w:t>益债券型证券投资基金</w:t>
      </w:r>
    </w:p>
    <w:p w:rsidR="003C13A4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/>
          <w:sz w:val="32"/>
          <w:szCs w:val="32"/>
        </w:rPr>
        <w:t>永赢诚益债券型证券投资基金</w:t>
      </w:r>
    </w:p>
    <w:p w:rsidR="0087530A" w:rsidRPr="002646D2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/>
          <w:sz w:val="32"/>
          <w:szCs w:val="32"/>
        </w:rPr>
        <w:t>永赢伟益债券型证券投资基金</w:t>
      </w:r>
    </w:p>
    <w:p w:rsidR="0087530A" w:rsidRPr="002646D2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/>
          <w:sz w:val="32"/>
          <w:szCs w:val="32"/>
        </w:rPr>
        <w:t>永赢昌益债券型证券投资基金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/>
          <w:sz w:val="32"/>
          <w:szCs w:val="32"/>
        </w:rPr>
        <w:t>永赢宏益债券型证券投资基金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/>
          <w:sz w:val="32"/>
          <w:szCs w:val="32"/>
        </w:rPr>
        <w:t>永赢</w:t>
      </w:r>
      <w:r w:rsidRPr="002646D2">
        <w:rPr>
          <w:rFonts w:ascii="Times New Roman" w:eastAsia="仿宋" w:hint="eastAsia"/>
          <w:sz w:val="32"/>
          <w:szCs w:val="32"/>
        </w:rPr>
        <w:t>合益</w:t>
      </w:r>
      <w:r w:rsidRPr="002646D2">
        <w:rPr>
          <w:rFonts w:ascii="Times New Roman" w:eastAsia="仿宋"/>
          <w:sz w:val="32"/>
          <w:szCs w:val="32"/>
        </w:rPr>
        <w:t>债券型证券投资基金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/>
          <w:sz w:val="32"/>
          <w:szCs w:val="32"/>
        </w:rPr>
        <w:t>永赢</w:t>
      </w:r>
      <w:r w:rsidRPr="002646D2">
        <w:rPr>
          <w:rFonts w:ascii="Times New Roman" w:eastAsia="仿宋" w:hint="eastAsia"/>
          <w:sz w:val="32"/>
          <w:szCs w:val="32"/>
        </w:rPr>
        <w:t>颐利</w:t>
      </w:r>
      <w:r w:rsidRPr="002646D2">
        <w:rPr>
          <w:rFonts w:ascii="Times New Roman" w:eastAsia="仿宋"/>
          <w:sz w:val="32"/>
          <w:szCs w:val="32"/>
        </w:rPr>
        <w:t>债券型证券投资基金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/>
          <w:sz w:val="32"/>
          <w:szCs w:val="32"/>
        </w:rPr>
        <w:t>永赢</w:t>
      </w:r>
      <w:r w:rsidRPr="002646D2">
        <w:rPr>
          <w:rFonts w:ascii="Times New Roman" w:eastAsia="仿宋" w:hint="eastAsia"/>
          <w:sz w:val="32"/>
          <w:szCs w:val="32"/>
        </w:rPr>
        <w:t>迅利中高</w:t>
      </w:r>
      <w:r w:rsidRPr="002646D2">
        <w:rPr>
          <w:rFonts w:ascii="Times New Roman" w:eastAsia="仿宋"/>
          <w:sz w:val="32"/>
          <w:szCs w:val="32"/>
        </w:rPr>
        <w:t>等级短债债券型证券投资基金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永赢中债</w:t>
      </w:r>
      <w:r w:rsidRPr="002646D2">
        <w:rPr>
          <w:rFonts w:ascii="Times New Roman" w:eastAsia="仿宋" w:hint="eastAsia"/>
          <w:sz w:val="32"/>
          <w:szCs w:val="32"/>
        </w:rPr>
        <w:t>-1-3</w:t>
      </w:r>
      <w:r w:rsidRPr="002646D2">
        <w:rPr>
          <w:rFonts w:ascii="Times New Roman" w:eastAsia="仿宋" w:hint="eastAsia"/>
          <w:sz w:val="32"/>
          <w:szCs w:val="32"/>
        </w:rPr>
        <w:t>年政策性金融债指数证券投资基金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永赢消费主题灵活配置混合型证券投资基金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</w:t>
      </w:r>
      <w:r w:rsidRPr="002646D2">
        <w:rPr>
          <w:rFonts w:ascii="Times New Roman" w:eastAsia="仿宋"/>
          <w:sz w:val="32"/>
          <w:szCs w:val="32"/>
        </w:rPr>
        <w:t>智能领先混合型</w:t>
      </w:r>
      <w:r w:rsidRPr="002646D2">
        <w:rPr>
          <w:rFonts w:ascii="Times New Roman" w:eastAsia="仿宋" w:hint="eastAsia"/>
          <w:sz w:val="32"/>
          <w:szCs w:val="32"/>
        </w:rPr>
        <w:t>证券</w:t>
      </w:r>
      <w:r w:rsidR="0087530A" w:rsidRPr="002646D2">
        <w:rPr>
          <w:rFonts w:ascii="Times New Roman" w:eastAsia="仿宋"/>
          <w:sz w:val="32"/>
          <w:szCs w:val="32"/>
        </w:rPr>
        <w:t>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永赢泰利债券型证券投资基金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永赢悦利债券型证券投资基金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永赢卓利债券型证券投资基金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永赢凯利债券型证券投资基金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/>
          <w:sz w:val="32"/>
          <w:szCs w:val="32"/>
        </w:rPr>
        <w:t>永赢智益纯债三个月</w:t>
      </w:r>
      <w:r w:rsidRPr="002646D2">
        <w:rPr>
          <w:rFonts w:ascii="Times New Roman" w:eastAsia="仿宋" w:hint="eastAsia"/>
          <w:sz w:val="32"/>
          <w:szCs w:val="32"/>
        </w:rPr>
        <w:t>定期</w:t>
      </w:r>
      <w:r w:rsidRPr="002646D2">
        <w:rPr>
          <w:rFonts w:ascii="Times New Roman" w:eastAsia="仿宋"/>
          <w:sz w:val="32"/>
          <w:szCs w:val="32"/>
        </w:rPr>
        <w:t>开放债券型发起式证券投资基金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</w:t>
      </w:r>
      <w:r w:rsidRPr="002646D2">
        <w:rPr>
          <w:rFonts w:ascii="Times New Roman" w:eastAsia="仿宋"/>
          <w:sz w:val="32"/>
          <w:szCs w:val="32"/>
        </w:rPr>
        <w:t>沪深</w:t>
      </w:r>
      <w:r w:rsidRPr="002646D2">
        <w:rPr>
          <w:rFonts w:ascii="Times New Roman" w:eastAsia="仿宋" w:hint="eastAsia"/>
          <w:sz w:val="32"/>
          <w:szCs w:val="32"/>
        </w:rPr>
        <w:t>300</w:t>
      </w:r>
      <w:r w:rsidRPr="002646D2">
        <w:rPr>
          <w:rFonts w:ascii="Times New Roman" w:eastAsia="仿宋" w:hint="eastAsia"/>
          <w:sz w:val="32"/>
          <w:szCs w:val="32"/>
        </w:rPr>
        <w:t>指数型</w:t>
      </w:r>
      <w:r w:rsidR="0087530A" w:rsidRPr="002646D2">
        <w:rPr>
          <w:rFonts w:ascii="Times New Roman" w:eastAsia="仿宋"/>
          <w:sz w:val="32"/>
          <w:szCs w:val="32"/>
        </w:rPr>
        <w:t>发起式证券投资基金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永赢众利债券型证券投资基金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永赢同利债券型证券投资基金</w:t>
      </w:r>
    </w:p>
    <w:p w:rsidR="0087530A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lastRenderedPageBreak/>
        <w:t>永赢昌利债券型证券投资基金</w:t>
      </w:r>
    </w:p>
    <w:p w:rsidR="00EA1FD7" w:rsidRPr="002646D2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永赢惠泽一年定期开放灵活配置混合型发起式证券投资基金</w:t>
      </w:r>
    </w:p>
    <w:p w:rsidR="00EA1FD7" w:rsidRPr="002646D2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永赢开泰中高等级中短债债券型证券投资基金</w:t>
      </w:r>
    </w:p>
    <w:p w:rsidR="00EA1FD7" w:rsidRPr="002646D2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永赢久利债券型证券投资基金</w:t>
      </w:r>
    </w:p>
    <w:p w:rsidR="00EA1FD7" w:rsidRPr="002646D2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永赢淳利债券型证券投资基金</w:t>
      </w:r>
    </w:p>
    <w:p w:rsidR="00EA1FD7" w:rsidRPr="002646D2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永赢汇利六个月定期开放债券型证券投资基金</w:t>
      </w:r>
    </w:p>
    <w:p w:rsidR="00EA1FD7" w:rsidRPr="002646D2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永赢高端制造混合型证券投资基金</w:t>
      </w:r>
    </w:p>
    <w:p w:rsidR="002646D2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永赢创业板指数型发起式证券投资基金</w:t>
      </w:r>
    </w:p>
    <w:p w:rsidR="006B1691" w:rsidRPr="002646D2" w:rsidRDefault="002646D2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646D2">
        <w:rPr>
          <w:rFonts w:ascii="Times New Roman" w:eastAsia="仿宋" w:hint="eastAsia"/>
          <w:sz w:val="32"/>
          <w:szCs w:val="32"/>
        </w:rPr>
        <w:t>永赢</w:t>
      </w:r>
      <w:r w:rsidRPr="002646D2">
        <w:rPr>
          <w:rFonts w:ascii="Times New Roman" w:eastAsia="仿宋"/>
          <w:sz w:val="32"/>
          <w:szCs w:val="32"/>
        </w:rPr>
        <w:t>乾元三年定期开放混合型证券投资</w:t>
      </w:r>
      <w:r w:rsidRPr="002646D2">
        <w:rPr>
          <w:rFonts w:ascii="Times New Roman" w:eastAsia="仿宋" w:hint="eastAsia"/>
          <w:sz w:val="32"/>
          <w:szCs w:val="32"/>
        </w:rPr>
        <w:t>基金</w:t>
      </w:r>
      <w:r w:rsidR="006B1691" w:rsidRPr="008753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A1FD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7530A" w:rsidRPr="00F73ACA">
        <w:rPr>
          <w:rStyle w:val="a5"/>
          <w:rFonts w:ascii="仿宋" w:eastAsia="仿宋" w:hAnsi="仿宋"/>
          <w:sz w:val="32"/>
          <w:szCs w:val="32"/>
        </w:rPr>
        <w:t>http://www.maxwealthfund.com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6B1691"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7530A" w:rsidRPr="00F73ACA">
        <w:rPr>
          <w:rFonts w:ascii="仿宋" w:eastAsia="仿宋" w:hAnsi="仿宋"/>
          <w:color w:val="000000" w:themeColor="text1"/>
          <w:sz w:val="32"/>
          <w:szCs w:val="32"/>
        </w:rPr>
        <w:t>021-51690111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6B169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7530A" w:rsidRDefault="0087530A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Pr="005A1AF7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B1691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691" w:rsidRPr="00A7247E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106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21CB1" w:rsidRPr="006B1691" w:rsidRDefault="00621CB1"/>
    <w:sectPr w:rsidR="00621CB1" w:rsidRPr="006B16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A4" w:rsidRDefault="00BF58A4" w:rsidP="006B1691">
      <w:r>
        <w:separator/>
      </w:r>
    </w:p>
  </w:endnote>
  <w:endnote w:type="continuationSeparator" w:id="1">
    <w:p w:rsidR="00BF58A4" w:rsidRDefault="00BF58A4" w:rsidP="006B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80505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B97534" w:rsidRPr="00B9753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B975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80505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B97534" w:rsidRPr="00B9753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B975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A4" w:rsidRDefault="00BF58A4" w:rsidP="006B1691">
      <w:r>
        <w:separator/>
      </w:r>
    </w:p>
  </w:footnote>
  <w:footnote w:type="continuationSeparator" w:id="1">
    <w:p w:rsidR="00BF58A4" w:rsidRDefault="00BF58A4" w:rsidP="006B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1C"/>
    <w:rsid w:val="002646D2"/>
    <w:rsid w:val="00280505"/>
    <w:rsid w:val="003C13A4"/>
    <w:rsid w:val="00621CB1"/>
    <w:rsid w:val="006B1691"/>
    <w:rsid w:val="00816C1C"/>
    <w:rsid w:val="0087530A"/>
    <w:rsid w:val="00880C0D"/>
    <w:rsid w:val="00B97534"/>
    <w:rsid w:val="00BB1061"/>
    <w:rsid w:val="00BF58A4"/>
    <w:rsid w:val="00EA1FD7"/>
    <w:rsid w:val="00F7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91"/>
    <w:rPr>
      <w:sz w:val="18"/>
      <w:szCs w:val="18"/>
    </w:rPr>
  </w:style>
  <w:style w:type="character" w:styleId="a5">
    <w:name w:val="Hyperlink"/>
    <w:basedOn w:val="a0"/>
    <w:uiPriority w:val="99"/>
    <w:unhideWhenUsed/>
    <w:rsid w:val="006B16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1020</Characters>
  <Application>Microsoft Office Word</Application>
  <DocSecurity>4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Yue，Ting Yan（岳婷艳）</dc:creator>
  <cp:keywords/>
  <dc:description/>
  <cp:lastModifiedBy>JonMMx 2000</cp:lastModifiedBy>
  <cp:revision>2</cp:revision>
  <dcterms:created xsi:type="dcterms:W3CDTF">2020-04-21T16:02:00Z</dcterms:created>
  <dcterms:modified xsi:type="dcterms:W3CDTF">2020-04-21T16:02:00Z</dcterms:modified>
</cp:coreProperties>
</file>