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AD" w:rsidRDefault="00C70167" w:rsidP="001A559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东吴基金管理有限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563FAD" w:rsidP="001A559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A559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C7016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东吴嘉禾优势精选混合型开放式证券投资基金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东吴价值成长双动力混合型证券投资基金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东吴优信稳健债券型证券投资基金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东吴进取策略灵活配置混合型开放式证券投资基金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东吴新经济混合型证券投资基金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东吴安享量化灵活配置混合型证券投资基金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东吴中证新兴产业指数证券投资基金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东吴增利债券型证券投资基金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东吴新产业精选混合型证券投资基金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东吴沪深300指数型证券投资基金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东吴配置优化灵活配置混合型证券投资基金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东吴多策略灵活配置混合型证券投资基金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东吴鼎利债券型证券投资基金(LOF)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东吴阿尔法灵活配置混合型证券投资基金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东吴中证可转换债券指数分级证券投资基金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东吴移动互联灵活配置混合型证券投资基金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东吴新趋势价值线灵活配置混合型证券投资基金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东吴国企改革主题灵活配置混合型证券投资基金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东吴安盈量化灵活配置混合型证券投资基金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东吴鼎元双债债券型证券投资基金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东吴安鑫量化灵活配置混合型证券投资基金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东吴智慧医疗量化策略灵活配置混合型证券投资基金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东吴增鑫宝货币市场基金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东吴优益债券型证券投资基金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东吴双三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角股票型证券投资基金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东吴悦秀纯债债券型证券投资基金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东吴鼎泰纯债债券型证券投资基金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2020年1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http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//www.scfund.com.cn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70167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400-821-0588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C70167" w:rsidRPr="005A1AF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63FAD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B79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5593" w:rsidRPr="001A559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B79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A5593" w:rsidRPr="001A559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593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792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1C71-9D77-4CF2-943E-9FDFC6B0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