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6F6D89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2E4C0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2E4C0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1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43655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69148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69148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4F6A4F" w:rsidRPr="00AA7C68" w:rsidRDefault="00D9283F" w:rsidP="004F6A4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477" w:type="dxa"/>
        <w:tblInd w:w="-774" w:type="dxa"/>
        <w:tblLook w:val="04A0"/>
      </w:tblPr>
      <w:tblGrid>
        <w:gridCol w:w="3836"/>
        <w:gridCol w:w="1092"/>
        <w:gridCol w:w="4073"/>
        <w:gridCol w:w="1476"/>
      </w:tblGrid>
      <w:tr w:rsidR="004F6A4F" w:rsidRPr="008B293D" w:rsidTr="0042015C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1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8B293D">
              <w:rPr>
                <w:rFonts w:ascii="Times New Roman" w:eastAsia="宋体" w:hAnsi="Times New Roman" w:cs="Times New Roman"/>
              </w:rPr>
              <w:t>磐晟</w:t>
            </w:r>
            <w:r w:rsidRPr="008B293D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8B293D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华夏睿磐泰盛定开混合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4F" w:rsidRPr="008B293D" w:rsidRDefault="004F6A4F" w:rsidP="00597B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4201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428" w:rsidRPr="008B293D" w:rsidRDefault="00921428" w:rsidP="009214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1"/>
      <w:tr w:rsidR="00741C19" w:rsidRPr="008B293D" w:rsidTr="00C759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华夏中证</w:t>
            </w:r>
            <w:r w:rsidRPr="008B293D">
              <w:rPr>
                <w:rFonts w:ascii="Times New Roman" w:eastAsia="宋体" w:hAnsi="Times New Roman" w:cs="Times New Roman"/>
              </w:rPr>
              <w:t>5G</w:t>
            </w:r>
            <w:r w:rsidRPr="008B293D">
              <w:rPr>
                <w:rFonts w:ascii="Times New Roman" w:eastAsia="宋体" w:hAnsi="Times New Roman" w:cs="Times New Roman"/>
              </w:rPr>
              <w:t>通信主题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华夏饲料豆粕期货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C759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华夏恒益</w:t>
            </w:r>
            <w:r w:rsidRPr="008B293D">
              <w:rPr>
                <w:rFonts w:ascii="Times New Roman" w:eastAsia="宋体" w:hAnsi="Times New Roman" w:cs="Times New Roman"/>
              </w:rPr>
              <w:t>18</w:t>
            </w:r>
            <w:r w:rsidRPr="008B293D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C7595C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华夏中证全指证券公司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19" w:rsidRPr="008B293D" w:rsidRDefault="00741C19" w:rsidP="00741C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C01F1B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华夏中证银行</w:t>
            </w:r>
            <w:r w:rsidRPr="008B293D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8B293D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A5AE7">
              <w:rPr>
                <w:rFonts w:hint="eastAsia"/>
              </w:rPr>
              <w:t>华夏逸享健康混合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6A5AE7">
              <w:rPr>
                <w:rFonts w:hint="eastAsia"/>
              </w:rPr>
              <w:t>007481</w:t>
            </w:r>
          </w:p>
        </w:tc>
      </w:tr>
      <w:tr w:rsidR="002E4C01" w:rsidRPr="008B293D" w:rsidTr="00194299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华夏中证银行</w:t>
            </w:r>
            <w:r w:rsidRPr="006B421A">
              <w:rPr>
                <w:rFonts w:hint="eastAsia"/>
              </w:rPr>
              <w:t>ETF</w:t>
            </w:r>
            <w:r w:rsidRPr="006B421A">
              <w:rPr>
                <w:rFonts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008298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华夏国证半导体芯片</w:t>
            </w:r>
            <w:r w:rsidRPr="00FA5360">
              <w:rPr>
                <w:rFonts w:hint="eastAsia"/>
              </w:rPr>
              <w:t>ETF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159995</w:t>
            </w:r>
          </w:p>
        </w:tc>
      </w:tr>
      <w:tr w:rsidR="002E4C01" w:rsidRPr="008B293D" w:rsidTr="00194299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华夏中证全指房地产</w:t>
            </w:r>
            <w:r w:rsidRPr="006B421A">
              <w:rPr>
                <w:rFonts w:hint="eastAsia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515060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华夏饲料豆粕期货</w:t>
            </w:r>
            <w:r w:rsidRPr="00FA5360">
              <w:rPr>
                <w:rFonts w:hint="eastAsia"/>
              </w:rPr>
              <w:t>ETF</w:t>
            </w:r>
            <w:r w:rsidRPr="00FA5360">
              <w:rPr>
                <w:rFonts w:hint="eastAsia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007937</w:t>
            </w:r>
          </w:p>
        </w:tc>
      </w:tr>
      <w:tr w:rsidR="002E4C01" w:rsidRPr="008B293D" w:rsidTr="00194299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华夏中证全指房地产</w:t>
            </w:r>
            <w:r w:rsidRPr="006B421A">
              <w:rPr>
                <w:rFonts w:hint="eastAsia"/>
              </w:rPr>
              <w:t>ETF</w:t>
            </w:r>
            <w:r w:rsidRPr="006B421A">
              <w:rPr>
                <w:rFonts w:hint="eastAsia"/>
              </w:rPr>
              <w:t>联接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008088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华夏价值精选混合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007592</w:t>
            </w:r>
          </w:p>
        </w:tc>
      </w:tr>
      <w:tr w:rsidR="002E4C01" w:rsidRPr="008B293D" w:rsidTr="00194299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华夏稳健养老一年持有混合（</w:t>
            </w:r>
            <w:r w:rsidRPr="006B421A">
              <w:rPr>
                <w:rFonts w:hint="eastAsia"/>
              </w:rPr>
              <w:t>FOF</w:t>
            </w:r>
            <w:r w:rsidRPr="006B421A">
              <w:rPr>
                <w:rFonts w:hint="eastAsia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007652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华夏恒泰</w:t>
            </w:r>
            <w:r w:rsidRPr="00FA5360">
              <w:rPr>
                <w:rFonts w:hint="eastAsia"/>
              </w:rPr>
              <w:t>64</w:t>
            </w:r>
            <w:r w:rsidRPr="00FA5360">
              <w:rPr>
                <w:rFonts w:hint="eastAsia"/>
              </w:rPr>
              <w:t>个月定开债券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008349</w:t>
            </w:r>
          </w:p>
        </w:tc>
      </w:tr>
      <w:tr w:rsidR="002E4C01" w:rsidRPr="008B293D" w:rsidTr="00194299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华夏鼎泓债券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6B421A">
              <w:rPr>
                <w:rFonts w:hint="eastAsia"/>
              </w:rPr>
              <w:t>007666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华夏中证</w:t>
            </w:r>
            <w:r w:rsidRPr="00FA5360">
              <w:rPr>
                <w:rFonts w:hint="eastAsia"/>
              </w:rPr>
              <w:t>5G</w:t>
            </w:r>
            <w:r w:rsidRPr="00FA5360">
              <w:rPr>
                <w:rFonts w:hint="eastAsia"/>
              </w:rPr>
              <w:t>通信主题</w:t>
            </w:r>
            <w:r w:rsidRPr="00FA5360">
              <w:rPr>
                <w:rFonts w:hint="eastAsia"/>
              </w:rPr>
              <w:t>ETF</w:t>
            </w:r>
            <w:r w:rsidRPr="00FA5360">
              <w:rPr>
                <w:rFonts w:hint="eastAsia"/>
              </w:rPr>
              <w:t>联接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A5360">
              <w:rPr>
                <w:rFonts w:hint="eastAsia"/>
              </w:rPr>
              <w:t>008086</w:t>
            </w:r>
          </w:p>
        </w:tc>
      </w:tr>
      <w:tr w:rsidR="002E4C01" w:rsidRPr="008B293D" w:rsidTr="002E4C01">
        <w:trPr>
          <w:trHeight w:val="2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DD2440">
              <w:rPr>
                <w:rFonts w:hint="eastAsia"/>
              </w:rPr>
              <w:t>华夏中证人工智能主题</w:t>
            </w:r>
            <w:r w:rsidRPr="00DD2440">
              <w:rPr>
                <w:rFonts w:hint="eastAsia"/>
              </w:rPr>
              <w:t>ETF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01" w:rsidRPr="002E4C01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DD2440">
              <w:rPr>
                <w:rFonts w:hint="eastAsia"/>
              </w:rPr>
              <w:t>515070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01" w:rsidRPr="008B293D" w:rsidRDefault="002E4C01" w:rsidP="002E4C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</w:p>
        </w:tc>
      </w:tr>
    </w:tbl>
    <w:p w:rsidR="00BB3501" w:rsidRPr="00AA7C68" w:rsidRDefault="006F6D89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741C19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2E4C0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6F6D89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6F6D89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6F6D89" w:rsidRPr="00AA7C68" w:rsidRDefault="00AA7C68" w:rsidP="006F6D89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二○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2E4C01">
        <w:rPr>
          <w:rFonts w:ascii="Times New Roman" w:eastAsia="宋体" w:hAnsi="Times New Roman" w:cs="Times New Roman" w:hint="eastAsia"/>
          <w:color w:val="000000"/>
          <w:sz w:val="24"/>
        </w:rPr>
        <w:t>四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2E4C01">
        <w:rPr>
          <w:rFonts w:ascii="Times New Roman" w:eastAsia="宋体" w:hAnsi="Times New Roman" w:cs="Times New Roman" w:hint="eastAsia"/>
          <w:color w:val="000000"/>
          <w:sz w:val="24"/>
        </w:rPr>
        <w:t>二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p w:rsidR="00BB3501" w:rsidRPr="00AA7C68" w:rsidRDefault="00BB3501" w:rsidP="00A7247E">
      <w:pPr>
        <w:spacing w:line="540" w:lineRule="exact"/>
        <w:ind w:firstLineChars="250" w:firstLine="80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sectPr w:rsidR="00BB3501" w:rsidRPr="00AA7C68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88" w:rsidRDefault="009F4688" w:rsidP="009A149B">
      <w:r>
        <w:separator/>
      </w:r>
    </w:p>
  </w:endnote>
  <w:endnote w:type="continuationSeparator" w:id="1">
    <w:p w:rsidR="009F4688" w:rsidRDefault="009F46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45E6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61DC" w:rsidRPr="009B61D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45E6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61DC" w:rsidRPr="009B61D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88" w:rsidRDefault="009F4688" w:rsidP="009A149B">
      <w:r>
        <w:separator/>
      </w:r>
    </w:p>
  </w:footnote>
  <w:footnote w:type="continuationSeparator" w:id="1">
    <w:p w:rsidR="009F4688" w:rsidRDefault="009F46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68" w:rsidRDefault="00AA7C68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15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5E6B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1DC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C611-8AE5-4EFE-964A-CFED744C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4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