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0D" w:rsidRPr="00103D0D" w:rsidRDefault="00940EAD" w:rsidP="001C6D3C">
      <w:pPr>
        <w:spacing w:line="360" w:lineRule="auto"/>
        <w:jc w:val="center"/>
        <w:rPr>
          <w:rFonts w:ascii="宋体" w:eastAsia="宋体" w:hAnsi="宋体" w:cs="Times New Roman"/>
          <w:b/>
          <w:sz w:val="30"/>
          <w:szCs w:val="30"/>
        </w:rPr>
      </w:pPr>
      <w:r w:rsidRPr="00BE7A4F">
        <w:rPr>
          <w:rFonts w:ascii="宋体" w:eastAsia="宋体" w:hAnsi="宋体" w:cs="宋体" w:hint="eastAsia"/>
          <w:b/>
          <w:bCs/>
          <w:color w:val="333333"/>
          <w:kern w:val="0"/>
          <w:sz w:val="28"/>
          <w:szCs w:val="28"/>
        </w:rPr>
        <w:t>银河基金管理有限公司关于旗下</w:t>
      </w:r>
      <w:r>
        <w:rPr>
          <w:rFonts w:ascii="宋体" w:eastAsia="宋体" w:hAnsi="宋体" w:cs="宋体" w:hint="eastAsia"/>
          <w:b/>
          <w:bCs/>
          <w:color w:val="333333"/>
          <w:kern w:val="0"/>
          <w:sz w:val="28"/>
          <w:szCs w:val="28"/>
        </w:rPr>
        <w:t>部分</w:t>
      </w:r>
      <w:r w:rsidRPr="0007554C">
        <w:rPr>
          <w:rFonts w:ascii="宋体" w:eastAsia="宋体" w:hAnsi="宋体" w:cs="宋体" w:hint="eastAsia"/>
          <w:b/>
          <w:bCs/>
          <w:color w:val="333333"/>
          <w:kern w:val="0"/>
          <w:sz w:val="28"/>
          <w:szCs w:val="28"/>
        </w:rPr>
        <w:t>基金</w:t>
      </w:r>
      <w:r>
        <w:rPr>
          <w:rFonts w:ascii="宋体" w:eastAsia="宋体" w:hAnsi="宋体" w:cs="宋体" w:hint="eastAsia"/>
          <w:b/>
          <w:bCs/>
          <w:color w:val="333333"/>
          <w:kern w:val="0"/>
          <w:sz w:val="28"/>
          <w:szCs w:val="28"/>
        </w:rPr>
        <w:t>在</w:t>
      </w:r>
      <w:r w:rsidRPr="00ED688C">
        <w:rPr>
          <w:rFonts w:ascii="宋体" w:eastAsia="宋体" w:hAnsi="宋体" w:cs="宋体" w:hint="eastAsia"/>
          <w:b/>
          <w:bCs/>
          <w:color w:val="333333"/>
          <w:kern w:val="0"/>
          <w:sz w:val="28"/>
          <w:szCs w:val="28"/>
        </w:rPr>
        <w:t>中信建投证券股份有限公司</w:t>
      </w:r>
      <w:r>
        <w:rPr>
          <w:rFonts w:ascii="宋体" w:eastAsia="宋体" w:hAnsi="宋体" w:cs="宋体" w:hint="eastAsia"/>
          <w:b/>
          <w:bCs/>
          <w:color w:val="333333"/>
          <w:kern w:val="0"/>
          <w:sz w:val="28"/>
          <w:szCs w:val="28"/>
        </w:rPr>
        <w:t>开通</w:t>
      </w:r>
      <w:r w:rsidRPr="00BE7A4F">
        <w:rPr>
          <w:rFonts w:ascii="宋体" w:eastAsia="宋体" w:hAnsi="宋体" w:cs="宋体" w:hint="eastAsia"/>
          <w:b/>
          <w:bCs/>
          <w:color w:val="333333"/>
          <w:kern w:val="0"/>
          <w:sz w:val="28"/>
          <w:szCs w:val="28"/>
        </w:rPr>
        <w:t>定投</w:t>
      </w:r>
      <w:r w:rsidR="004B06B5">
        <w:rPr>
          <w:rFonts w:ascii="宋体" w:eastAsia="宋体" w:hAnsi="宋体" w:cs="宋体" w:hint="eastAsia"/>
          <w:b/>
          <w:bCs/>
          <w:color w:val="333333"/>
          <w:kern w:val="0"/>
          <w:sz w:val="28"/>
          <w:szCs w:val="28"/>
        </w:rPr>
        <w:t>业务并参加</w:t>
      </w:r>
      <w:r w:rsidRPr="00BE7A4F">
        <w:rPr>
          <w:rFonts w:ascii="宋体" w:eastAsia="宋体" w:hAnsi="宋体" w:cs="宋体"/>
          <w:b/>
          <w:bCs/>
          <w:color w:val="333333"/>
          <w:kern w:val="0"/>
          <w:sz w:val="28"/>
          <w:szCs w:val="28"/>
        </w:rPr>
        <w:t>费率优惠</w:t>
      </w:r>
      <w:r>
        <w:rPr>
          <w:rFonts w:ascii="宋体" w:eastAsia="宋体" w:hAnsi="宋体" w:cs="宋体" w:hint="eastAsia"/>
          <w:b/>
          <w:bCs/>
          <w:color w:val="333333"/>
          <w:kern w:val="0"/>
          <w:sz w:val="28"/>
          <w:szCs w:val="28"/>
        </w:rPr>
        <w:t>活动的</w:t>
      </w:r>
      <w:r>
        <w:rPr>
          <w:rFonts w:ascii="宋体" w:eastAsia="宋体" w:hAnsi="宋体" w:cs="宋体"/>
          <w:b/>
          <w:bCs/>
          <w:color w:val="333333"/>
          <w:kern w:val="0"/>
          <w:sz w:val="28"/>
          <w:szCs w:val="28"/>
        </w:rPr>
        <w:t>公告</w:t>
      </w:r>
    </w:p>
    <w:p w:rsidR="00A307CB" w:rsidRPr="00237987" w:rsidRDefault="00A307CB" w:rsidP="006A68A0">
      <w:pPr>
        <w:spacing w:line="360" w:lineRule="auto"/>
        <w:ind w:firstLine="420"/>
        <w:rPr>
          <w:szCs w:val="21"/>
        </w:rPr>
      </w:pPr>
      <w:r w:rsidRPr="00237987">
        <w:rPr>
          <w:rFonts w:ascii="宋体" w:hAnsi="宋体" w:cs="宋体" w:hint="eastAsia"/>
          <w:color w:val="000000"/>
          <w:kern w:val="0"/>
          <w:szCs w:val="21"/>
        </w:rPr>
        <w:t>为了更好地满足广大投资者的理财需求，银河基金管理有限公司（以下简称“本公司”）与</w:t>
      </w:r>
      <w:r w:rsidR="00CC2621" w:rsidRPr="0018322D">
        <w:rPr>
          <w:rFonts w:ascii="宋体" w:hAnsi="宋体" w:cs="宋体" w:hint="eastAsia"/>
          <w:kern w:val="0"/>
          <w:szCs w:val="21"/>
        </w:rPr>
        <w:t>中信建投证券股份有限公司</w:t>
      </w:r>
      <w:r w:rsidR="00CC2621">
        <w:rPr>
          <w:rFonts w:ascii="宋体" w:hAnsi="宋体" w:cs="宋体" w:hint="eastAsia"/>
          <w:kern w:val="0"/>
          <w:szCs w:val="21"/>
        </w:rPr>
        <w:t>（以下</w:t>
      </w:r>
      <w:r w:rsidR="00CC2621">
        <w:rPr>
          <w:rFonts w:ascii="宋体" w:hAnsi="宋体" w:cs="宋体"/>
          <w:kern w:val="0"/>
          <w:szCs w:val="21"/>
        </w:rPr>
        <w:t>简称“</w:t>
      </w:r>
      <w:r w:rsidR="00CC2621">
        <w:rPr>
          <w:rFonts w:ascii="宋体" w:hAnsi="宋体" w:cs="宋体" w:hint="eastAsia"/>
          <w:kern w:val="0"/>
          <w:szCs w:val="21"/>
        </w:rPr>
        <w:t>中信建投证券</w:t>
      </w:r>
      <w:r w:rsidR="00CC2621">
        <w:rPr>
          <w:rFonts w:ascii="宋体" w:hAnsi="宋体" w:cs="宋体"/>
          <w:kern w:val="0"/>
          <w:szCs w:val="21"/>
        </w:rPr>
        <w:t>”</w:t>
      </w:r>
      <w:r w:rsidR="00CC2621">
        <w:rPr>
          <w:rFonts w:ascii="宋体" w:hAnsi="宋体" w:cs="宋体" w:hint="eastAsia"/>
          <w:kern w:val="0"/>
          <w:szCs w:val="21"/>
        </w:rPr>
        <w:t>）</w:t>
      </w:r>
      <w:r w:rsidR="00CC2621" w:rsidRPr="0007554C">
        <w:rPr>
          <w:rFonts w:ascii="宋体" w:hAnsi="宋体" w:cs="宋体" w:hint="eastAsia"/>
          <w:kern w:val="0"/>
          <w:szCs w:val="21"/>
        </w:rPr>
        <w:t>协商，自20</w:t>
      </w:r>
      <w:r w:rsidR="00CC2621">
        <w:rPr>
          <w:rFonts w:ascii="宋体" w:hAnsi="宋体" w:cs="宋体"/>
          <w:kern w:val="0"/>
          <w:szCs w:val="21"/>
        </w:rPr>
        <w:t>20</w:t>
      </w:r>
      <w:r w:rsidR="00CC2621" w:rsidRPr="0007554C">
        <w:rPr>
          <w:rFonts w:ascii="宋体" w:hAnsi="宋体" w:cs="宋体" w:hint="eastAsia"/>
          <w:kern w:val="0"/>
          <w:szCs w:val="21"/>
        </w:rPr>
        <w:t>年</w:t>
      </w:r>
      <w:r w:rsidR="00CC2621">
        <w:rPr>
          <w:rFonts w:ascii="宋体" w:hAnsi="宋体" w:cs="宋体"/>
          <w:kern w:val="0"/>
          <w:szCs w:val="21"/>
        </w:rPr>
        <w:t>4</w:t>
      </w:r>
      <w:r w:rsidR="00CC2621" w:rsidRPr="0007554C">
        <w:rPr>
          <w:rFonts w:ascii="宋体" w:hAnsi="宋体" w:cs="宋体" w:hint="eastAsia"/>
          <w:kern w:val="0"/>
          <w:szCs w:val="21"/>
        </w:rPr>
        <w:t>月</w:t>
      </w:r>
      <w:r w:rsidR="00CC2621">
        <w:rPr>
          <w:rFonts w:ascii="宋体" w:hAnsi="宋体" w:cs="宋体"/>
          <w:kern w:val="0"/>
          <w:szCs w:val="21"/>
        </w:rPr>
        <w:t>20</w:t>
      </w:r>
      <w:r w:rsidR="00CC2621" w:rsidRPr="0007554C">
        <w:rPr>
          <w:rFonts w:ascii="宋体" w:hAnsi="宋体" w:cs="宋体" w:hint="eastAsia"/>
          <w:kern w:val="0"/>
          <w:szCs w:val="21"/>
        </w:rPr>
        <w:t>日起，本公司旗下</w:t>
      </w:r>
      <w:r w:rsidR="00CC2621">
        <w:rPr>
          <w:rFonts w:ascii="宋体" w:hAnsi="宋体" w:cs="宋体" w:hint="eastAsia"/>
          <w:kern w:val="0"/>
          <w:szCs w:val="21"/>
        </w:rPr>
        <w:t>部分基金在</w:t>
      </w:r>
      <w:r w:rsidR="00CC2621" w:rsidRPr="0018322D">
        <w:rPr>
          <w:rFonts w:ascii="宋体" w:hAnsi="宋体" w:cs="宋体" w:hint="eastAsia"/>
          <w:kern w:val="0"/>
          <w:szCs w:val="21"/>
        </w:rPr>
        <w:t>中信建投证券</w:t>
      </w:r>
      <w:r w:rsidR="004B06B5">
        <w:rPr>
          <w:rFonts w:ascii="宋体" w:hAnsi="宋体" w:cs="宋体" w:hint="eastAsia"/>
          <w:kern w:val="0"/>
          <w:szCs w:val="21"/>
        </w:rPr>
        <w:t>开通</w:t>
      </w:r>
      <w:r w:rsidR="004B06B5">
        <w:rPr>
          <w:rFonts w:ascii="宋体" w:hAnsi="宋体" w:cs="宋体"/>
          <w:kern w:val="0"/>
          <w:szCs w:val="21"/>
        </w:rPr>
        <w:t>定投业务，</w:t>
      </w:r>
      <w:r w:rsidR="004B06B5">
        <w:rPr>
          <w:rFonts w:ascii="宋体" w:hAnsi="宋体" w:cs="宋体" w:hint="eastAsia"/>
          <w:kern w:val="0"/>
          <w:szCs w:val="21"/>
        </w:rPr>
        <w:t>原先已开通</w:t>
      </w:r>
      <w:r w:rsidR="004B06B5">
        <w:rPr>
          <w:rFonts w:ascii="宋体" w:hAnsi="宋体" w:cs="宋体"/>
          <w:kern w:val="0"/>
          <w:szCs w:val="21"/>
        </w:rPr>
        <w:t>定投业务</w:t>
      </w:r>
      <w:r w:rsidR="004B06B5">
        <w:rPr>
          <w:rFonts w:ascii="宋体" w:hAnsi="宋体" w:cs="宋体" w:hint="eastAsia"/>
          <w:kern w:val="0"/>
          <w:szCs w:val="21"/>
        </w:rPr>
        <w:t>的</w:t>
      </w:r>
      <w:r w:rsidR="004B06B5">
        <w:rPr>
          <w:rFonts w:ascii="宋体" w:hAnsi="宋体" w:cs="宋体"/>
          <w:kern w:val="0"/>
          <w:szCs w:val="21"/>
        </w:rPr>
        <w:t>基金起始额度</w:t>
      </w:r>
      <w:r w:rsidR="00CC2621">
        <w:rPr>
          <w:rFonts w:ascii="宋体" w:hAnsi="宋体" w:cs="宋体" w:hint="eastAsia"/>
          <w:kern w:val="0"/>
          <w:szCs w:val="21"/>
        </w:rPr>
        <w:t>降</w:t>
      </w:r>
      <w:r w:rsidR="004B06B5">
        <w:rPr>
          <w:rFonts w:ascii="宋体" w:hAnsi="宋体" w:cs="宋体" w:hint="eastAsia"/>
          <w:kern w:val="0"/>
          <w:szCs w:val="21"/>
        </w:rPr>
        <w:t>为10元</w:t>
      </w:r>
      <w:r w:rsidR="00CE0D02">
        <w:rPr>
          <w:rFonts w:ascii="宋体" w:eastAsia="宋体" w:hAnsi="宋体" w:cs="Tahoma" w:hint="eastAsia"/>
          <w:color w:val="000000"/>
          <w:kern w:val="0"/>
          <w:szCs w:val="21"/>
        </w:rPr>
        <w:t>。</w:t>
      </w:r>
      <w:r w:rsidR="004B06B5">
        <w:rPr>
          <w:rFonts w:ascii="宋体" w:eastAsia="宋体" w:hAnsi="宋体" w:cs="Tahoma" w:hint="eastAsia"/>
          <w:color w:val="000000"/>
          <w:kern w:val="0"/>
          <w:szCs w:val="21"/>
        </w:rPr>
        <w:t>此外</w:t>
      </w:r>
      <w:r w:rsidR="004B06B5">
        <w:rPr>
          <w:rFonts w:ascii="宋体" w:eastAsia="宋体" w:hAnsi="宋体" w:cs="Tahoma"/>
          <w:color w:val="000000"/>
          <w:kern w:val="0"/>
          <w:szCs w:val="21"/>
        </w:rPr>
        <w:t>，</w:t>
      </w:r>
      <w:r w:rsidR="00CE0D02">
        <w:rPr>
          <w:rFonts w:ascii="宋体" w:eastAsia="宋体" w:hAnsi="宋体" w:cs="Tahoma" w:hint="eastAsia"/>
          <w:color w:val="000000"/>
          <w:kern w:val="0"/>
          <w:szCs w:val="21"/>
        </w:rPr>
        <w:t>银河基金</w:t>
      </w:r>
      <w:r w:rsidR="00CE0D02">
        <w:rPr>
          <w:rFonts w:ascii="宋体" w:eastAsia="宋体" w:hAnsi="宋体" w:cs="Tahoma"/>
          <w:color w:val="000000"/>
          <w:kern w:val="0"/>
          <w:szCs w:val="21"/>
        </w:rPr>
        <w:t>公司旗下部分</w:t>
      </w:r>
      <w:r w:rsidR="004B06B5">
        <w:rPr>
          <w:rFonts w:ascii="宋体" w:eastAsia="宋体" w:hAnsi="宋体" w:cs="Tahoma"/>
          <w:color w:val="000000"/>
          <w:kern w:val="0"/>
          <w:szCs w:val="21"/>
        </w:rPr>
        <w:t>基金</w:t>
      </w:r>
      <w:r w:rsidR="00CC2621">
        <w:rPr>
          <w:rFonts w:ascii="宋体" w:eastAsia="宋体" w:hAnsi="宋体" w:cs="Tahoma"/>
          <w:color w:val="000000"/>
          <w:kern w:val="0"/>
          <w:szCs w:val="21"/>
        </w:rPr>
        <w:t>参加</w:t>
      </w:r>
      <w:r w:rsidR="00CC2621">
        <w:rPr>
          <w:rFonts w:ascii="宋体" w:eastAsia="宋体" w:hAnsi="宋体" w:cs="Tahoma" w:hint="eastAsia"/>
          <w:color w:val="000000"/>
          <w:kern w:val="0"/>
          <w:szCs w:val="21"/>
        </w:rPr>
        <w:t>中信</w:t>
      </w:r>
      <w:r w:rsidR="00CC2621">
        <w:rPr>
          <w:rFonts w:ascii="宋体" w:eastAsia="宋体" w:hAnsi="宋体" w:cs="Tahoma"/>
          <w:color w:val="000000"/>
          <w:kern w:val="0"/>
          <w:szCs w:val="21"/>
        </w:rPr>
        <w:t>建投</w:t>
      </w:r>
      <w:r w:rsidR="00CC2621">
        <w:rPr>
          <w:rFonts w:ascii="宋体" w:eastAsia="宋体" w:hAnsi="宋体" w:cs="Tahoma" w:hint="eastAsia"/>
          <w:color w:val="000000"/>
          <w:kern w:val="0"/>
          <w:szCs w:val="21"/>
        </w:rPr>
        <w:t>新</w:t>
      </w:r>
      <w:r w:rsidR="00CC2621">
        <w:rPr>
          <w:rFonts w:ascii="宋体" w:eastAsia="宋体" w:hAnsi="宋体" w:cs="Tahoma"/>
          <w:color w:val="000000"/>
          <w:kern w:val="0"/>
          <w:szCs w:val="21"/>
        </w:rPr>
        <w:t>的</w:t>
      </w:r>
      <w:r w:rsidR="00CC2621" w:rsidRPr="0018322D">
        <w:rPr>
          <w:rFonts w:ascii="宋体" w:eastAsia="宋体" w:hAnsi="宋体" w:cs="Tahoma" w:hint="eastAsia"/>
          <w:color w:val="000000"/>
          <w:kern w:val="0"/>
          <w:szCs w:val="21"/>
        </w:rPr>
        <w:t>费率优惠活动</w:t>
      </w:r>
      <w:r w:rsidRPr="00237987">
        <w:rPr>
          <w:rFonts w:ascii="宋体" w:hAnsi="宋体" w:cs="宋体" w:hint="eastAsia"/>
          <w:color w:val="000000"/>
          <w:kern w:val="0"/>
          <w:szCs w:val="21"/>
        </w:rPr>
        <w:t>。详情如下：</w:t>
      </w:r>
    </w:p>
    <w:p w:rsidR="00CC2621" w:rsidRDefault="004B06B5" w:rsidP="00CC2621">
      <w:pPr>
        <w:pStyle w:val="a5"/>
        <w:numPr>
          <w:ilvl w:val="0"/>
          <w:numId w:val="1"/>
        </w:numPr>
        <w:spacing w:line="360" w:lineRule="auto"/>
        <w:ind w:firstLineChars="0"/>
        <w:rPr>
          <w:b/>
          <w:szCs w:val="21"/>
        </w:rPr>
      </w:pPr>
      <w:r>
        <w:rPr>
          <w:rFonts w:hint="eastAsia"/>
          <w:b/>
          <w:szCs w:val="21"/>
        </w:rPr>
        <w:t>开通定投</w:t>
      </w:r>
      <w:r>
        <w:rPr>
          <w:b/>
          <w:szCs w:val="21"/>
        </w:rPr>
        <w:t>业务的</w:t>
      </w:r>
      <w:r w:rsidR="006A6451">
        <w:rPr>
          <w:rFonts w:hint="eastAsia"/>
          <w:b/>
          <w:szCs w:val="21"/>
        </w:rPr>
        <w:t>基金</w:t>
      </w:r>
    </w:p>
    <w:tbl>
      <w:tblPr>
        <w:tblW w:w="8784" w:type="dxa"/>
        <w:tblLayout w:type="fixed"/>
        <w:tblLook w:val="04A0"/>
      </w:tblPr>
      <w:tblGrid>
        <w:gridCol w:w="562"/>
        <w:gridCol w:w="993"/>
        <w:gridCol w:w="4677"/>
        <w:gridCol w:w="2552"/>
      </w:tblGrid>
      <w:tr w:rsidR="006A6451" w:rsidRPr="006A6451" w:rsidTr="006A6451">
        <w:trPr>
          <w:trHeight w:val="27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451" w:rsidRPr="006A6451" w:rsidRDefault="006A6451" w:rsidP="006A6451">
            <w:pPr>
              <w:widowControl/>
              <w:jc w:val="center"/>
              <w:rPr>
                <w:rFonts w:ascii="宋体" w:eastAsia="宋体" w:hAnsi="宋体" w:cs="宋体"/>
                <w:b/>
                <w:bCs/>
                <w:color w:val="000000"/>
                <w:kern w:val="0"/>
                <w:szCs w:val="21"/>
              </w:rPr>
            </w:pPr>
            <w:r w:rsidRPr="006A6451">
              <w:rPr>
                <w:rFonts w:ascii="宋体" w:eastAsia="宋体" w:hAnsi="宋体" w:cs="宋体" w:hint="eastAsia"/>
                <w:b/>
                <w:bCs/>
                <w:color w:val="000000"/>
                <w:kern w:val="0"/>
                <w:szCs w:val="21"/>
              </w:rPr>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6451" w:rsidRPr="006A6451" w:rsidRDefault="006A6451" w:rsidP="006A6451">
            <w:pPr>
              <w:widowControl/>
              <w:jc w:val="center"/>
              <w:rPr>
                <w:rFonts w:ascii="宋体" w:eastAsia="宋体" w:hAnsi="宋体" w:cs="宋体"/>
                <w:b/>
                <w:bCs/>
                <w:color w:val="000000"/>
                <w:kern w:val="0"/>
                <w:szCs w:val="21"/>
              </w:rPr>
            </w:pPr>
            <w:r w:rsidRPr="006A6451">
              <w:rPr>
                <w:rFonts w:ascii="宋体" w:eastAsia="宋体" w:hAnsi="宋体" w:cs="宋体" w:hint="eastAsia"/>
                <w:b/>
                <w:bCs/>
                <w:color w:val="000000"/>
                <w:kern w:val="0"/>
                <w:szCs w:val="21"/>
              </w:rPr>
              <w:t>基金代码</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6A6451" w:rsidRPr="006A6451" w:rsidRDefault="006A6451" w:rsidP="006A6451">
            <w:pPr>
              <w:widowControl/>
              <w:jc w:val="center"/>
              <w:rPr>
                <w:rFonts w:ascii="宋体" w:eastAsia="宋体" w:hAnsi="宋体" w:cs="宋体"/>
                <w:b/>
                <w:bCs/>
                <w:color w:val="000000"/>
                <w:kern w:val="0"/>
                <w:szCs w:val="21"/>
              </w:rPr>
            </w:pPr>
            <w:r w:rsidRPr="006A6451">
              <w:rPr>
                <w:rFonts w:ascii="宋体" w:eastAsia="宋体" w:hAnsi="宋体" w:cs="宋体" w:hint="eastAsia"/>
                <w:b/>
                <w:bCs/>
                <w:color w:val="000000"/>
                <w:kern w:val="0"/>
                <w:szCs w:val="21"/>
              </w:rPr>
              <w:t>基金名称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A6451" w:rsidRPr="006A6451" w:rsidRDefault="006A6451" w:rsidP="006A6451">
            <w:pPr>
              <w:widowControl/>
              <w:jc w:val="center"/>
              <w:rPr>
                <w:rFonts w:ascii="宋体" w:eastAsia="宋体" w:hAnsi="宋体" w:cs="宋体"/>
                <w:b/>
                <w:bCs/>
                <w:color w:val="000000"/>
                <w:kern w:val="0"/>
                <w:szCs w:val="21"/>
              </w:rPr>
            </w:pPr>
            <w:r w:rsidRPr="006A6451">
              <w:rPr>
                <w:rFonts w:ascii="宋体" w:eastAsia="宋体" w:hAnsi="宋体" w:cs="宋体" w:hint="eastAsia"/>
                <w:b/>
                <w:bCs/>
                <w:color w:val="000000"/>
                <w:kern w:val="0"/>
                <w:szCs w:val="21"/>
              </w:rPr>
              <w:t>基金简称</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004250</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银河量化优选混合型证券投资基金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银河量化优选混合</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004612</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银河鑫月享6个月定期开放灵活配置混合型证券投资基金A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银河鑫月享6个月定期开放混合A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004613</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银河鑫月享6个月定期开放灵活配置混合型证券投资基金C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银河鑫月享6个月定期开放混合C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4</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005053</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银河量化价值混合型证券投资基金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银河量化价值混合</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005126</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银河量化稳进混合型证券投资基金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银河量化稳进混合</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6</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005386</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银河睿达灵活配置混合型证券投资基金A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银河睿达混合A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7</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005387</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银河睿达灵活配置混合型证券投资基金C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银河睿达混合C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8</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005459</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银河嘉谊灵活配置混合型证券投资基金A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银河嘉谊混合A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9</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005460</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银河嘉谊灵活配置混合型证券投资基金C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银河嘉谊混合C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005585</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银河文体娱乐主题灵活配置混合型证券投资基金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银河文体娱乐混合</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11</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006759</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银河乐活优萃混合型证券投资基金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银河乐活优萃混合</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12</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161505</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银河通利债券型证券投资基金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银河通利债券</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13</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161506</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银河通利债券型证券投资基金C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银河通利债券C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14</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501307</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银河中证沪港深高股息指数型证券投资基金（LOF）A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银河高股息LOF</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15</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501308</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银河中证沪港深高股息指数型证券投资基金（LOF）C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银河高C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16</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519610</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银河旺利灵活配置混合型证券投资基金A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银河旺利混合A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17</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519611</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银河旺利灵活配置混合型证券投资基金C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银河旺利混合C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18</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519616</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银河君信灵活配置混合型证券投资基金A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银河君信混合A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19</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519617</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银河君信灵活配置混合型证券投资基金C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银河君信混合C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20</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519619</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银河君荣灵活配置混合型证券投资基金A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银河君荣混合A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21</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519620</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银河君荣灵活配置混合型证券投资基金C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银河君荣混合C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22</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519622</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银河君怡纯债债券型证券投资基金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银河君怡债券</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23</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519623</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银河君耀灵活配置混合型证券投资基金A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银河君耀混合A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24</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519624</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银河君耀灵活配置混合型证券投资基金C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银河君耀混合C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25</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519625</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银河君盛灵活配置混合型证券投资基金A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银河君盛混合A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lastRenderedPageBreak/>
              <w:t>26</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519626</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银河君盛灵活配置混合型证券投资基金C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银河君盛混合C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27</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519627</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银河君润灵活配置混合型证券投资基金A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银河君润混合A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28</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519628</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银河君润灵活配置混合型证券投资基金C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银河君润混合C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29</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519629</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银河睿利灵活配置混合型证券投资基金A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银河睿利混合A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30</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519630</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银河睿利灵活配置混合型证券投资基金C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银河睿利混合C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31</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519631</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银河君欣纯债债券型证券投资基金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银河君欣债券</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32</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519654</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银河丰利纯债债券型证券投资基金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银河丰利债券</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33</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519656</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银河灵活配置混合A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34</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519657</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银河灵活配置混合C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35</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519660</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银河增利债券型发起式证券投资基金A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银河增利债券A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36</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519661</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银河增利债券型发起式证券投资基金C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银河增利债券C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37</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519662</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银河久益回报6个月定期开放债券型证券投资基金A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银河久益回报债券A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38</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519663</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银河久益回报6个月定期开放债券型证券投资基金C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银河久益回报债券C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39</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519664</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银河美丽优萃混合型证券投资基金A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银河美丽混合A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40</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519665</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银河美丽优萃混合型证券投资基金C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银河美丽混合C</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41</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519666</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银河银信添利债券型证券投资基金B</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银河银信添利债券B</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42</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519667</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银河银信添利债券型证券投资基金A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银河银信添利债券A</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43</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519673</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银河康乐股票型证券投资基金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银河康乐股票</w:t>
            </w:r>
          </w:p>
        </w:tc>
      </w:tr>
      <w:tr w:rsidR="006A6451" w:rsidRPr="006A6451" w:rsidTr="006A6451">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44</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519675</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银河泰利纯债债券型证券投资基金A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银河泰利债券A</w:t>
            </w:r>
          </w:p>
        </w:tc>
      </w:tr>
    </w:tbl>
    <w:p w:rsidR="004B06B5" w:rsidRPr="005073ED" w:rsidRDefault="005073ED" w:rsidP="004B06B5">
      <w:pPr>
        <w:pStyle w:val="a5"/>
        <w:spacing w:line="360" w:lineRule="auto"/>
        <w:ind w:left="510" w:firstLineChars="0" w:firstLine="0"/>
        <w:rPr>
          <w:szCs w:val="21"/>
        </w:rPr>
      </w:pPr>
      <w:r>
        <w:rPr>
          <w:rFonts w:hint="eastAsia"/>
          <w:szCs w:val="21"/>
        </w:rPr>
        <w:t>上述</w:t>
      </w:r>
      <w:r w:rsidR="009E58D3" w:rsidRPr="005073ED">
        <w:rPr>
          <w:rFonts w:hint="eastAsia"/>
          <w:szCs w:val="21"/>
        </w:rPr>
        <w:t>基金</w:t>
      </w:r>
      <w:r w:rsidRPr="00CD6CE8">
        <w:rPr>
          <w:rFonts w:hint="eastAsia"/>
          <w:szCs w:val="21"/>
        </w:rPr>
        <w:t>定期定额起始额度为</w:t>
      </w:r>
      <w:r>
        <w:rPr>
          <w:szCs w:val="21"/>
        </w:rPr>
        <w:t>10</w:t>
      </w:r>
      <w:r w:rsidRPr="00CD6CE8">
        <w:rPr>
          <w:rFonts w:hint="eastAsia"/>
          <w:szCs w:val="21"/>
        </w:rPr>
        <w:t>元</w:t>
      </w:r>
      <w:r w:rsidR="009E58D3" w:rsidRPr="005073ED">
        <w:rPr>
          <w:rFonts w:hint="eastAsia"/>
          <w:szCs w:val="21"/>
        </w:rPr>
        <w:t>。</w:t>
      </w:r>
    </w:p>
    <w:p w:rsidR="006A6451" w:rsidRDefault="00AA20C6" w:rsidP="00CC2621">
      <w:pPr>
        <w:pStyle w:val="a5"/>
        <w:numPr>
          <w:ilvl w:val="0"/>
          <w:numId w:val="1"/>
        </w:numPr>
        <w:spacing w:line="360" w:lineRule="auto"/>
        <w:ind w:firstLineChars="0"/>
        <w:rPr>
          <w:b/>
          <w:szCs w:val="21"/>
        </w:rPr>
      </w:pPr>
      <w:r>
        <w:rPr>
          <w:rFonts w:hint="eastAsia"/>
          <w:b/>
          <w:szCs w:val="21"/>
        </w:rPr>
        <w:t>新</w:t>
      </w:r>
      <w:r w:rsidR="006A6451">
        <w:rPr>
          <w:rFonts w:hint="eastAsia"/>
          <w:b/>
          <w:szCs w:val="21"/>
        </w:rPr>
        <w:t>参加申购</w:t>
      </w:r>
      <w:r w:rsidR="006A6451">
        <w:rPr>
          <w:b/>
          <w:szCs w:val="21"/>
        </w:rPr>
        <w:t>及定投费率</w:t>
      </w:r>
      <w:r w:rsidR="006A6451">
        <w:rPr>
          <w:rFonts w:hint="eastAsia"/>
          <w:b/>
          <w:szCs w:val="21"/>
        </w:rPr>
        <w:t>优惠</w:t>
      </w:r>
      <w:r w:rsidR="006A6451">
        <w:rPr>
          <w:b/>
          <w:szCs w:val="21"/>
        </w:rPr>
        <w:t>的</w:t>
      </w:r>
      <w:r w:rsidR="006A6451">
        <w:rPr>
          <w:rFonts w:hint="eastAsia"/>
          <w:b/>
          <w:szCs w:val="21"/>
        </w:rPr>
        <w:t>基金</w:t>
      </w:r>
    </w:p>
    <w:tbl>
      <w:tblPr>
        <w:tblW w:w="8789" w:type="dxa"/>
        <w:tblInd w:w="-5" w:type="dxa"/>
        <w:tblLayout w:type="fixed"/>
        <w:tblLook w:val="04A0"/>
      </w:tblPr>
      <w:tblGrid>
        <w:gridCol w:w="567"/>
        <w:gridCol w:w="993"/>
        <w:gridCol w:w="4677"/>
        <w:gridCol w:w="2552"/>
      </w:tblGrid>
      <w:tr w:rsidR="006A6451" w:rsidRPr="006A6451" w:rsidTr="006A6451">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451" w:rsidRPr="006A6451" w:rsidRDefault="006A6451" w:rsidP="006A6451">
            <w:pPr>
              <w:widowControl/>
              <w:jc w:val="center"/>
              <w:rPr>
                <w:rFonts w:ascii="宋体" w:eastAsia="宋体" w:hAnsi="宋体" w:cs="宋体"/>
                <w:b/>
                <w:bCs/>
                <w:color w:val="000000"/>
                <w:kern w:val="0"/>
                <w:szCs w:val="21"/>
              </w:rPr>
            </w:pPr>
            <w:r w:rsidRPr="006A6451">
              <w:rPr>
                <w:rFonts w:ascii="宋体" w:eastAsia="宋体" w:hAnsi="宋体" w:cs="宋体" w:hint="eastAsia"/>
                <w:b/>
                <w:bCs/>
                <w:color w:val="000000"/>
                <w:kern w:val="0"/>
                <w:szCs w:val="21"/>
              </w:rPr>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A6451" w:rsidRPr="006A6451" w:rsidRDefault="006A6451" w:rsidP="006A6451">
            <w:pPr>
              <w:widowControl/>
              <w:jc w:val="center"/>
              <w:rPr>
                <w:rFonts w:ascii="宋体" w:eastAsia="宋体" w:hAnsi="宋体" w:cs="宋体"/>
                <w:b/>
                <w:bCs/>
                <w:color w:val="000000"/>
                <w:kern w:val="0"/>
                <w:szCs w:val="21"/>
              </w:rPr>
            </w:pPr>
            <w:r w:rsidRPr="006A6451">
              <w:rPr>
                <w:rFonts w:ascii="宋体" w:eastAsia="宋体" w:hAnsi="宋体" w:cs="宋体" w:hint="eastAsia"/>
                <w:b/>
                <w:bCs/>
                <w:color w:val="000000"/>
                <w:kern w:val="0"/>
                <w:szCs w:val="21"/>
              </w:rPr>
              <w:t>基金代码</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6A6451" w:rsidRPr="006A6451" w:rsidRDefault="006A6451" w:rsidP="006A6451">
            <w:pPr>
              <w:widowControl/>
              <w:jc w:val="center"/>
              <w:rPr>
                <w:rFonts w:ascii="宋体" w:eastAsia="宋体" w:hAnsi="宋体" w:cs="宋体"/>
                <w:b/>
                <w:bCs/>
                <w:color w:val="000000"/>
                <w:kern w:val="0"/>
                <w:szCs w:val="21"/>
              </w:rPr>
            </w:pPr>
            <w:r w:rsidRPr="006A6451">
              <w:rPr>
                <w:rFonts w:ascii="宋体" w:eastAsia="宋体" w:hAnsi="宋体" w:cs="宋体" w:hint="eastAsia"/>
                <w:b/>
                <w:bCs/>
                <w:color w:val="000000"/>
                <w:kern w:val="0"/>
                <w:szCs w:val="21"/>
              </w:rPr>
              <w:t>基金名称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A6451" w:rsidRPr="006A6451" w:rsidRDefault="006A6451" w:rsidP="006A6451">
            <w:pPr>
              <w:widowControl/>
              <w:jc w:val="center"/>
              <w:rPr>
                <w:rFonts w:ascii="宋体" w:eastAsia="宋体" w:hAnsi="宋体" w:cs="宋体"/>
                <w:b/>
                <w:bCs/>
                <w:color w:val="000000"/>
                <w:kern w:val="0"/>
                <w:szCs w:val="21"/>
              </w:rPr>
            </w:pPr>
            <w:r w:rsidRPr="006A6451">
              <w:rPr>
                <w:rFonts w:ascii="宋体" w:eastAsia="宋体" w:hAnsi="宋体" w:cs="宋体" w:hint="eastAsia"/>
                <w:b/>
                <w:bCs/>
                <w:color w:val="000000"/>
                <w:kern w:val="0"/>
                <w:szCs w:val="21"/>
              </w:rPr>
              <w:t>基金简称</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004250</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银河量化优选混合型证券投资基金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银河量化优选混合</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004612</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银河鑫月享6个月定期开放灵活配置混合型证券投资基金A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银河鑫月享6个月定期开放混合A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3</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005053</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银河量化价值混合型证券投资基金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银河量化价值混合</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4</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005126</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银河量化稳进混合型证券投资基金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银河量化稳进混合</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005386</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银河睿达灵活配置混合型证券投资基金A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银河睿达混合A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6</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005459</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银河嘉谊灵活配置混合型证券投资基金A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银河嘉谊混合A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7</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005585</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银河文体娱乐主题灵活配置混合型证券投资基金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银河文体娱乐混合</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8</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006759</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银河乐活优萃混合型证券投资基金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银河乐活优萃混合</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9</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161505</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银河通利债券型证券投资基金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银河通利债券</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501307</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银河中证沪港深高股息指数型证券投资基金（LOF）A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银河高股息LOF</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11</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519610</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银河旺利灵活配置混合型证券投资基金A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银河旺利混合A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12</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519616</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银河君信灵活配置混合型证券投资基金A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银河君信混合A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13</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519619</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银河君荣灵活配置混合型证券投资基金A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银河君荣混合A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14</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519622</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银河君怡纯债债券型证券投资基金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银河君怡债券</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lastRenderedPageBreak/>
              <w:t>15</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519623</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银河君耀灵活配置混合型证券投资基金A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银河君耀混合A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16</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519625</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银河君盛灵活配置混合型证券投资基金A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银河君盛混合A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17</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519627</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银河君润灵活配置混合型证券投资基金A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银河君润混合A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18</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519629</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银河睿利灵活配置混合型证券投资基金A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银河睿利混合A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19</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519631</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银河君欣纯债债券型证券投资基金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银河君欣债券</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20</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519654</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银河丰利纯债债券型证券投资基金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银河丰利债券</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21</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519656</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银河灵活配置混合A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22</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519660</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银河增利债券型发起式证券投资基金A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银河增利债券A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23</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519662</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银河久益回报6个月定期开放债券型证券投资基金A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银河久益回报债券A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24</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519664</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银河美丽优萃混合型证券投资基金A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银河美丽混合A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25</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519667</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银河银信添利债券型证券投资基金A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银河银信添利债券A</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26</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519673</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银河康乐股票型证券投资基金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银河康乐股票</w:t>
            </w:r>
          </w:p>
        </w:tc>
      </w:tr>
      <w:tr w:rsidR="006A6451" w:rsidRPr="006A6451" w:rsidTr="006A6451">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6451" w:rsidRPr="006A6451" w:rsidRDefault="006A6451" w:rsidP="006A6451">
            <w:pPr>
              <w:widowControl/>
              <w:jc w:val="right"/>
              <w:rPr>
                <w:rFonts w:ascii="宋体" w:eastAsia="宋体" w:hAnsi="宋体" w:cs="宋体"/>
                <w:color w:val="000000"/>
                <w:kern w:val="0"/>
                <w:sz w:val="22"/>
              </w:rPr>
            </w:pPr>
            <w:r w:rsidRPr="006A6451">
              <w:rPr>
                <w:rFonts w:ascii="宋体" w:eastAsia="宋体" w:hAnsi="宋体" w:cs="宋体" w:hint="eastAsia"/>
                <w:color w:val="000000"/>
                <w:kern w:val="0"/>
                <w:sz w:val="22"/>
              </w:rPr>
              <w:t>27</w:t>
            </w:r>
          </w:p>
        </w:tc>
        <w:tc>
          <w:tcPr>
            <w:tcW w:w="993"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519675</w:t>
            </w:r>
          </w:p>
        </w:tc>
        <w:tc>
          <w:tcPr>
            <w:tcW w:w="4677"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银河泰利纯债债券型证券投资基金A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6A6451" w:rsidRPr="006A6451" w:rsidRDefault="006A6451" w:rsidP="006A6451">
            <w:pPr>
              <w:widowControl/>
              <w:jc w:val="left"/>
              <w:rPr>
                <w:rFonts w:ascii="宋体" w:eastAsia="宋体" w:hAnsi="宋体" w:cs="宋体"/>
                <w:color w:val="000000"/>
                <w:kern w:val="0"/>
                <w:sz w:val="22"/>
              </w:rPr>
            </w:pPr>
            <w:r w:rsidRPr="006A6451">
              <w:rPr>
                <w:rFonts w:ascii="宋体" w:eastAsia="宋体" w:hAnsi="宋体" w:cs="宋体" w:hint="eastAsia"/>
                <w:color w:val="000000"/>
                <w:kern w:val="0"/>
                <w:sz w:val="22"/>
              </w:rPr>
              <w:t>银河泰利债券A</w:t>
            </w:r>
          </w:p>
        </w:tc>
      </w:tr>
    </w:tbl>
    <w:p w:rsidR="006A6451" w:rsidRDefault="006A6451" w:rsidP="006A6451">
      <w:pPr>
        <w:pStyle w:val="a5"/>
        <w:spacing w:line="360" w:lineRule="auto"/>
        <w:ind w:left="510" w:firstLineChars="0" w:firstLine="0"/>
        <w:rPr>
          <w:b/>
          <w:szCs w:val="21"/>
        </w:rPr>
      </w:pPr>
    </w:p>
    <w:p w:rsidR="004B06B5" w:rsidRDefault="004B06B5" w:rsidP="00CC2621">
      <w:pPr>
        <w:pStyle w:val="a5"/>
        <w:numPr>
          <w:ilvl w:val="0"/>
          <w:numId w:val="1"/>
        </w:numPr>
        <w:spacing w:line="360" w:lineRule="auto"/>
        <w:ind w:firstLineChars="0"/>
        <w:rPr>
          <w:b/>
          <w:szCs w:val="21"/>
        </w:rPr>
      </w:pPr>
      <w:r>
        <w:rPr>
          <w:rFonts w:hint="eastAsia"/>
          <w:b/>
          <w:szCs w:val="21"/>
        </w:rPr>
        <w:t>调整定投起始额度</w:t>
      </w:r>
      <w:r>
        <w:rPr>
          <w:b/>
          <w:szCs w:val="21"/>
        </w:rPr>
        <w:t>的</w:t>
      </w:r>
      <w:r>
        <w:rPr>
          <w:rFonts w:hint="eastAsia"/>
          <w:b/>
          <w:szCs w:val="21"/>
        </w:rPr>
        <w:t>产品</w:t>
      </w:r>
    </w:p>
    <w:tbl>
      <w:tblPr>
        <w:tblW w:w="8784" w:type="dxa"/>
        <w:tblLook w:val="04A0"/>
      </w:tblPr>
      <w:tblGrid>
        <w:gridCol w:w="573"/>
        <w:gridCol w:w="997"/>
        <w:gridCol w:w="4662"/>
        <w:gridCol w:w="2552"/>
      </w:tblGrid>
      <w:tr w:rsidR="004B06B5" w:rsidRPr="004B06B5" w:rsidTr="004B06B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b/>
                <w:bCs/>
                <w:color w:val="000000"/>
                <w:kern w:val="0"/>
                <w:szCs w:val="21"/>
              </w:rPr>
            </w:pPr>
            <w:r w:rsidRPr="004B06B5">
              <w:rPr>
                <w:rFonts w:ascii="宋体" w:eastAsia="宋体" w:hAnsi="宋体" w:cs="宋体" w:hint="eastAsia"/>
                <w:b/>
                <w:bCs/>
                <w:color w:val="000000"/>
                <w:kern w:val="0"/>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b/>
                <w:bCs/>
                <w:color w:val="000000"/>
                <w:kern w:val="0"/>
                <w:szCs w:val="21"/>
              </w:rPr>
            </w:pPr>
            <w:r w:rsidRPr="004B06B5">
              <w:rPr>
                <w:rFonts w:ascii="宋体" w:eastAsia="宋体" w:hAnsi="宋体" w:cs="宋体" w:hint="eastAsia"/>
                <w:b/>
                <w:bCs/>
                <w:color w:val="000000"/>
                <w:kern w:val="0"/>
                <w:szCs w:val="21"/>
              </w:rPr>
              <w:t>基金代码</w:t>
            </w:r>
          </w:p>
        </w:tc>
        <w:tc>
          <w:tcPr>
            <w:tcW w:w="4662" w:type="dxa"/>
            <w:tcBorders>
              <w:top w:val="single" w:sz="4" w:space="0" w:color="auto"/>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b/>
                <w:bCs/>
                <w:color w:val="000000"/>
                <w:kern w:val="0"/>
                <w:szCs w:val="21"/>
              </w:rPr>
            </w:pPr>
            <w:r w:rsidRPr="004B06B5">
              <w:rPr>
                <w:rFonts w:ascii="宋体" w:eastAsia="宋体" w:hAnsi="宋体" w:cs="宋体" w:hint="eastAsia"/>
                <w:b/>
                <w:bCs/>
                <w:color w:val="000000"/>
                <w:kern w:val="0"/>
                <w:szCs w:val="21"/>
              </w:rPr>
              <w:t>基金名称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b/>
                <w:bCs/>
                <w:color w:val="000000"/>
                <w:kern w:val="0"/>
                <w:szCs w:val="21"/>
              </w:rPr>
            </w:pPr>
            <w:r w:rsidRPr="004B06B5">
              <w:rPr>
                <w:rFonts w:ascii="宋体" w:eastAsia="宋体" w:hAnsi="宋体" w:cs="宋体" w:hint="eastAsia"/>
                <w:b/>
                <w:bCs/>
                <w:color w:val="000000"/>
                <w:kern w:val="0"/>
                <w:szCs w:val="21"/>
              </w:rPr>
              <w:t>基金简称</w:t>
            </w:r>
          </w:p>
        </w:tc>
      </w:tr>
      <w:tr w:rsidR="004B06B5"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150005</w:t>
            </w:r>
          </w:p>
        </w:tc>
        <w:tc>
          <w:tcPr>
            <w:tcW w:w="466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银河银富货币市场基金A</w:t>
            </w:r>
          </w:p>
        </w:tc>
        <w:tc>
          <w:tcPr>
            <w:tcW w:w="255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银河银富货币A</w:t>
            </w:r>
          </w:p>
        </w:tc>
      </w:tr>
      <w:tr w:rsidR="004B06B5"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150015</w:t>
            </w:r>
          </w:p>
        </w:tc>
        <w:tc>
          <w:tcPr>
            <w:tcW w:w="466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银河银富货币市场基金B</w:t>
            </w:r>
          </w:p>
        </w:tc>
        <w:tc>
          <w:tcPr>
            <w:tcW w:w="255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银河银富货币B</w:t>
            </w:r>
          </w:p>
        </w:tc>
      </w:tr>
      <w:tr w:rsidR="004B06B5"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150103</w:t>
            </w:r>
          </w:p>
        </w:tc>
        <w:tc>
          <w:tcPr>
            <w:tcW w:w="466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银河银泰理财分红证券投资基金</w:t>
            </w:r>
          </w:p>
        </w:tc>
        <w:tc>
          <w:tcPr>
            <w:tcW w:w="255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银河银泰混合</w:t>
            </w:r>
          </w:p>
        </w:tc>
      </w:tr>
      <w:tr w:rsidR="004B06B5"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151001</w:t>
            </w:r>
          </w:p>
        </w:tc>
        <w:tc>
          <w:tcPr>
            <w:tcW w:w="466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银河稳健证券投资基金</w:t>
            </w:r>
          </w:p>
        </w:tc>
        <w:tc>
          <w:tcPr>
            <w:tcW w:w="255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银河稳健混合</w:t>
            </w:r>
          </w:p>
        </w:tc>
      </w:tr>
      <w:tr w:rsidR="004B06B5"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151002</w:t>
            </w:r>
          </w:p>
        </w:tc>
        <w:tc>
          <w:tcPr>
            <w:tcW w:w="466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银河收益证券投资基金</w:t>
            </w:r>
          </w:p>
        </w:tc>
        <w:tc>
          <w:tcPr>
            <w:tcW w:w="255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银河收益债券</w:t>
            </w:r>
          </w:p>
        </w:tc>
      </w:tr>
      <w:tr w:rsidR="004B06B5"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150968</w:t>
            </w:r>
          </w:p>
        </w:tc>
        <w:tc>
          <w:tcPr>
            <w:tcW w:w="4662" w:type="dxa"/>
            <w:tcBorders>
              <w:top w:val="nil"/>
              <w:left w:val="nil"/>
              <w:bottom w:val="nil"/>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银河研究精选混合型证券投资基金</w:t>
            </w:r>
          </w:p>
        </w:tc>
        <w:tc>
          <w:tcPr>
            <w:tcW w:w="2552" w:type="dxa"/>
            <w:tcBorders>
              <w:top w:val="nil"/>
              <w:left w:val="nil"/>
              <w:bottom w:val="nil"/>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银河研究精选混合</w:t>
            </w:r>
          </w:p>
        </w:tc>
      </w:tr>
      <w:tr w:rsidR="004B06B5"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7</w:t>
            </w:r>
          </w:p>
        </w:tc>
        <w:tc>
          <w:tcPr>
            <w:tcW w:w="0" w:type="auto"/>
            <w:tcBorders>
              <w:top w:val="nil"/>
              <w:left w:val="nil"/>
              <w:bottom w:val="single" w:sz="4" w:space="0" w:color="auto"/>
              <w:right w:val="single" w:sz="4" w:space="0" w:color="auto"/>
            </w:tcBorders>
            <w:shd w:val="clear" w:color="auto" w:fill="auto"/>
            <w:noWrap/>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150988</w:t>
            </w:r>
          </w:p>
        </w:tc>
        <w:tc>
          <w:tcPr>
            <w:tcW w:w="4662" w:type="dxa"/>
            <w:tcBorders>
              <w:top w:val="single" w:sz="4" w:space="0" w:color="auto"/>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银河钱包货币市场基金A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银河钱包货币A</w:t>
            </w:r>
          </w:p>
        </w:tc>
      </w:tr>
      <w:tr w:rsidR="004B06B5"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8</w:t>
            </w:r>
          </w:p>
        </w:tc>
        <w:tc>
          <w:tcPr>
            <w:tcW w:w="0" w:type="auto"/>
            <w:tcBorders>
              <w:top w:val="nil"/>
              <w:left w:val="nil"/>
              <w:bottom w:val="single" w:sz="4" w:space="0" w:color="auto"/>
              <w:right w:val="single" w:sz="4" w:space="0" w:color="auto"/>
            </w:tcBorders>
            <w:shd w:val="clear" w:color="auto" w:fill="auto"/>
            <w:noWrap/>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150998</w:t>
            </w:r>
          </w:p>
        </w:tc>
        <w:tc>
          <w:tcPr>
            <w:tcW w:w="466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银河钱包货币市场基金B</w:t>
            </w:r>
          </w:p>
        </w:tc>
        <w:tc>
          <w:tcPr>
            <w:tcW w:w="2552" w:type="dxa"/>
            <w:tcBorders>
              <w:top w:val="nil"/>
              <w:left w:val="nil"/>
              <w:bottom w:val="single" w:sz="4" w:space="0" w:color="auto"/>
              <w:right w:val="single" w:sz="4" w:space="0" w:color="auto"/>
            </w:tcBorders>
            <w:shd w:val="clear" w:color="auto" w:fill="auto"/>
            <w:vAlign w:val="center"/>
            <w:hideMark/>
          </w:tcPr>
          <w:p w:rsidR="004B06B5" w:rsidRPr="004B06B5" w:rsidRDefault="004B06B5" w:rsidP="004B06B5">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银河钱包货币B</w:t>
            </w:r>
          </w:p>
        </w:tc>
      </w:tr>
      <w:tr w:rsidR="005073ED" w:rsidRPr="004B06B5" w:rsidTr="00974769">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5073ED" w:rsidRPr="005073ED" w:rsidRDefault="005073ED" w:rsidP="005073ED">
            <w:pPr>
              <w:widowControl/>
              <w:jc w:val="center"/>
              <w:rPr>
                <w:rFonts w:ascii="宋体" w:eastAsia="宋体" w:hAnsi="宋体" w:cs="宋体"/>
                <w:color w:val="000000"/>
                <w:kern w:val="0"/>
                <w:szCs w:val="21"/>
              </w:rPr>
            </w:pPr>
            <w:r w:rsidRPr="005073ED">
              <w:rPr>
                <w:rFonts w:ascii="宋体" w:eastAsia="宋体" w:hAnsi="宋体" w:cs="宋体" w:hint="eastAsia"/>
                <w:color w:val="000000"/>
                <w:kern w:val="0"/>
                <w:szCs w:val="21"/>
              </w:rPr>
              <w:t>007635</w:t>
            </w:r>
          </w:p>
        </w:tc>
        <w:tc>
          <w:tcPr>
            <w:tcW w:w="4662" w:type="dxa"/>
            <w:tcBorders>
              <w:top w:val="nil"/>
              <w:left w:val="nil"/>
              <w:bottom w:val="single" w:sz="4" w:space="0" w:color="auto"/>
              <w:right w:val="single" w:sz="4" w:space="0" w:color="auto"/>
            </w:tcBorders>
            <w:shd w:val="clear" w:color="auto" w:fill="auto"/>
            <w:vAlign w:val="center"/>
            <w:hideMark/>
          </w:tcPr>
          <w:p w:rsidR="005073ED" w:rsidRPr="005073ED" w:rsidRDefault="005073ED" w:rsidP="005073ED">
            <w:pPr>
              <w:widowControl/>
              <w:jc w:val="center"/>
              <w:rPr>
                <w:rFonts w:ascii="宋体" w:eastAsia="宋体" w:hAnsi="宋体" w:cs="宋体"/>
                <w:color w:val="000000"/>
                <w:kern w:val="0"/>
                <w:szCs w:val="21"/>
              </w:rPr>
            </w:pPr>
            <w:r w:rsidRPr="005073ED">
              <w:rPr>
                <w:rFonts w:ascii="宋体" w:eastAsia="宋体" w:hAnsi="宋体" w:cs="宋体" w:hint="eastAsia"/>
                <w:color w:val="000000"/>
                <w:kern w:val="0"/>
                <w:szCs w:val="21"/>
              </w:rPr>
              <w:t>银河天盈中短债债券型证券投资基金A</w:t>
            </w:r>
          </w:p>
        </w:tc>
        <w:tc>
          <w:tcPr>
            <w:tcW w:w="2552" w:type="dxa"/>
            <w:tcBorders>
              <w:top w:val="nil"/>
              <w:left w:val="nil"/>
              <w:bottom w:val="single" w:sz="4" w:space="0" w:color="auto"/>
              <w:right w:val="single" w:sz="4" w:space="0" w:color="auto"/>
            </w:tcBorders>
            <w:shd w:val="clear" w:color="auto" w:fill="auto"/>
            <w:vAlign w:val="center"/>
            <w:hideMark/>
          </w:tcPr>
          <w:p w:rsidR="005073ED" w:rsidRPr="005073ED" w:rsidRDefault="005073ED" w:rsidP="005073ED">
            <w:pPr>
              <w:widowControl/>
              <w:jc w:val="center"/>
              <w:rPr>
                <w:rFonts w:ascii="宋体" w:eastAsia="宋体" w:hAnsi="宋体" w:cs="宋体"/>
                <w:color w:val="000000"/>
                <w:kern w:val="0"/>
                <w:szCs w:val="21"/>
              </w:rPr>
            </w:pPr>
            <w:r w:rsidRPr="005073ED">
              <w:rPr>
                <w:rFonts w:ascii="宋体" w:eastAsia="宋体" w:hAnsi="宋体" w:cs="宋体" w:hint="eastAsia"/>
                <w:color w:val="000000"/>
                <w:kern w:val="0"/>
                <w:szCs w:val="21"/>
              </w:rPr>
              <w:t>银河天盈中短债A</w:t>
            </w:r>
          </w:p>
        </w:tc>
      </w:tr>
      <w:tr w:rsidR="005073ED" w:rsidRPr="004B06B5" w:rsidTr="0097476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5073ED" w:rsidRPr="005073ED" w:rsidRDefault="005073ED" w:rsidP="005073ED">
            <w:pPr>
              <w:widowControl/>
              <w:jc w:val="center"/>
              <w:rPr>
                <w:color w:val="000000"/>
                <w:szCs w:val="21"/>
              </w:rPr>
            </w:pPr>
            <w:r w:rsidRPr="005073ED">
              <w:rPr>
                <w:rFonts w:hint="eastAsia"/>
                <w:color w:val="000000"/>
                <w:szCs w:val="21"/>
              </w:rPr>
              <w:t>007636</w:t>
            </w:r>
          </w:p>
        </w:tc>
        <w:tc>
          <w:tcPr>
            <w:tcW w:w="4662" w:type="dxa"/>
            <w:tcBorders>
              <w:top w:val="single" w:sz="4" w:space="0" w:color="auto"/>
              <w:left w:val="nil"/>
              <w:bottom w:val="single" w:sz="4" w:space="0" w:color="auto"/>
              <w:right w:val="single" w:sz="4" w:space="0" w:color="auto"/>
            </w:tcBorders>
            <w:shd w:val="clear" w:color="auto" w:fill="auto"/>
            <w:vAlign w:val="center"/>
          </w:tcPr>
          <w:p w:rsidR="005073ED" w:rsidRPr="005073ED" w:rsidRDefault="005073ED" w:rsidP="005073ED">
            <w:pPr>
              <w:jc w:val="center"/>
              <w:rPr>
                <w:color w:val="000000"/>
                <w:szCs w:val="21"/>
              </w:rPr>
            </w:pPr>
            <w:r w:rsidRPr="005073ED">
              <w:rPr>
                <w:rFonts w:hint="eastAsia"/>
                <w:color w:val="000000"/>
                <w:szCs w:val="21"/>
              </w:rPr>
              <w:t>银河天盈中短债债券型证券投资基金</w:t>
            </w:r>
            <w:r w:rsidRPr="005073ED">
              <w:rPr>
                <w:rFonts w:hint="eastAsia"/>
                <w:color w:val="000000"/>
                <w:szCs w:val="21"/>
              </w:rPr>
              <w:t>C</w:t>
            </w:r>
          </w:p>
        </w:tc>
        <w:tc>
          <w:tcPr>
            <w:tcW w:w="2552" w:type="dxa"/>
            <w:tcBorders>
              <w:top w:val="single" w:sz="4" w:space="0" w:color="auto"/>
              <w:left w:val="nil"/>
              <w:bottom w:val="single" w:sz="4" w:space="0" w:color="auto"/>
              <w:right w:val="single" w:sz="4" w:space="0" w:color="auto"/>
            </w:tcBorders>
            <w:shd w:val="clear" w:color="auto" w:fill="auto"/>
            <w:vAlign w:val="center"/>
          </w:tcPr>
          <w:p w:rsidR="005073ED" w:rsidRPr="005073ED" w:rsidRDefault="005073ED" w:rsidP="005073ED">
            <w:pPr>
              <w:jc w:val="center"/>
              <w:rPr>
                <w:color w:val="000000"/>
                <w:szCs w:val="21"/>
              </w:rPr>
            </w:pPr>
            <w:r w:rsidRPr="005073ED">
              <w:rPr>
                <w:rFonts w:hint="eastAsia"/>
                <w:color w:val="000000"/>
                <w:szCs w:val="21"/>
              </w:rPr>
              <w:t>银河天盈中短债</w:t>
            </w:r>
            <w:r w:rsidRPr="005073ED">
              <w:rPr>
                <w:rFonts w:hint="eastAsia"/>
                <w:color w:val="000000"/>
                <w:szCs w:val="21"/>
              </w:rPr>
              <w:t>C</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11</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519640</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银河鸿利灵活配置混合型证券投资基金A</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银河鸿利混合A</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12</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519641</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银河鸿利灵活配置混合型证券投资基金C</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银河鸿利混合C</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13</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519642</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银河大国智造主题灵活配置混合型证券投资基金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银河智造混合</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14</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519644</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银河智联主题灵活配置混合型证券投资基金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银河智联混合</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519655</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银河现代服务主题灵活配置混合型证券投资基金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银河服务混合</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16</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519668</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银河竞争优势成长混合型证券投资基金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银河成长混合</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17</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519669</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银河领先债券型证券投资基金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银河领先债券</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18</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519670</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银河行业优选混合型证券投资基金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银河行业混合</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19</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519671</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银河沪深300价值指数证券投资基金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银河沪深300价值指数</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519672</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银河蓝筹精选混合型证券投资基金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银河蓝筹混合</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21</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519674</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银河创新成长混合型证券投资基金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银河创新混合</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22</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519676</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银河强化收益债券型证券投资基金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银河强化债券</w:t>
            </w:r>
          </w:p>
        </w:tc>
      </w:tr>
      <w:tr w:rsidR="005073ED" w:rsidRPr="004B06B5" w:rsidTr="004B06B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23</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519677</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银河定投宝中证腾讯济安价值100A股指数型发起式证券投资基金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银河定投宝腾讯济安指数</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24</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519678</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银河消费驱动混合型证券投资基金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银河消费混合</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25</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519679</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银河主题策略混合型证券投资基金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银河主题混合</w:t>
            </w:r>
          </w:p>
        </w:tc>
      </w:tr>
      <w:tr w:rsidR="005073ED" w:rsidRPr="004B06B5" w:rsidTr="004B06B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004661</w:t>
            </w:r>
          </w:p>
        </w:tc>
        <w:tc>
          <w:tcPr>
            <w:tcW w:w="466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银河如意债券型证券投资基金</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银河如意债券</w:t>
            </w:r>
          </w:p>
        </w:tc>
      </w:tr>
      <w:tr w:rsidR="005073ED" w:rsidRPr="004B06B5" w:rsidTr="004B06B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005211</w:t>
            </w:r>
          </w:p>
        </w:tc>
        <w:tc>
          <w:tcPr>
            <w:tcW w:w="466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银河智慧主题灵活配置混合型证券投资基金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银河智慧混合</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Pr>
                <w:rFonts w:ascii="宋体" w:eastAsia="宋体" w:hAnsi="宋体" w:cs="宋体"/>
                <w:color w:val="000000"/>
                <w:kern w:val="0"/>
                <w:szCs w:val="21"/>
              </w:rPr>
              <w:t>28</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006128</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银河和美生活主题混合型证券投资基金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银河和美生活混合</w:t>
            </w:r>
          </w:p>
        </w:tc>
      </w:tr>
      <w:tr w:rsidR="005073ED" w:rsidRPr="004B06B5" w:rsidTr="004B06B5">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Pr>
                <w:rFonts w:ascii="宋体" w:eastAsia="宋体" w:hAnsi="宋体" w:cs="宋体"/>
                <w:color w:val="000000"/>
                <w:kern w:val="0"/>
                <w:szCs w:val="21"/>
              </w:rPr>
              <w:t>29</w:t>
            </w:r>
          </w:p>
        </w:tc>
        <w:tc>
          <w:tcPr>
            <w:tcW w:w="0" w:type="auto"/>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007203</w:t>
            </w:r>
          </w:p>
        </w:tc>
        <w:tc>
          <w:tcPr>
            <w:tcW w:w="466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银河新动能混合型证券投资基金</w:t>
            </w:r>
          </w:p>
        </w:tc>
        <w:tc>
          <w:tcPr>
            <w:tcW w:w="2552" w:type="dxa"/>
            <w:tcBorders>
              <w:top w:val="nil"/>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银河新动能混合</w:t>
            </w:r>
          </w:p>
        </w:tc>
      </w:tr>
    </w:tbl>
    <w:p w:rsidR="00CC2621" w:rsidRPr="00CC2621" w:rsidRDefault="00CC2621" w:rsidP="00CC2621">
      <w:pPr>
        <w:spacing w:line="360" w:lineRule="auto"/>
        <w:rPr>
          <w:b/>
          <w:szCs w:val="21"/>
        </w:rPr>
      </w:pPr>
    </w:p>
    <w:p w:rsidR="005D400B" w:rsidRDefault="00AA20C6" w:rsidP="005D400B">
      <w:pPr>
        <w:spacing w:line="360" w:lineRule="auto"/>
        <w:rPr>
          <w:b/>
          <w:szCs w:val="21"/>
        </w:rPr>
      </w:pPr>
      <w:r>
        <w:rPr>
          <w:rFonts w:hint="eastAsia"/>
          <w:b/>
          <w:szCs w:val="21"/>
        </w:rPr>
        <w:t>四</w:t>
      </w:r>
      <w:r w:rsidR="005D400B">
        <w:rPr>
          <w:b/>
          <w:szCs w:val="21"/>
        </w:rPr>
        <w:t>、</w:t>
      </w:r>
      <w:r>
        <w:rPr>
          <w:rFonts w:hint="eastAsia"/>
          <w:b/>
          <w:szCs w:val="21"/>
        </w:rPr>
        <w:t>调整</w:t>
      </w:r>
      <w:r>
        <w:rPr>
          <w:b/>
          <w:szCs w:val="21"/>
        </w:rPr>
        <w:t>并</w:t>
      </w:r>
      <w:r w:rsidR="001A568D">
        <w:rPr>
          <w:rFonts w:hint="eastAsia"/>
          <w:b/>
          <w:szCs w:val="21"/>
        </w:rPr>
        <w:t>参加</w:t>
      </w:r>
      <w:r>
        <w:rPr>
          <w:rFonts w:hint="eastAsia"/>
          <w:b/>
          <w:szCs w:val="21"/>
        </w:rPr>
        <w:t>最</w:t>
      </w:r>
      <w:r w:rsidR="001A568D">
        <w:rPr>
          <w:rFonts w:hint="eastAsia"/>
          <w:b/>
          <w:szCs w:val="21"/>
        </w:rPr>
        <w:t>新</w:t>
      </w:r>
      <w:r w:rsidR="00CC2621">
        <w:rPr>
          <w:rFonts w:hint="eastAsia"/>
          <w:b/>
          <w:szCs w:val="21"/>
        </w:rPr>
        <w:t>申购</w:t>
      </w:r>
      <w:r w:rsidR="00CC2621">
        <w:rPr>
          <w:b/>
          <w:szCs w:val="21"/>
        </w:rPr>
        <w:t>及定投费率优惠活动</w:t>
      </w:r>
      <w:r w:rsidR="00CC2621">
        <w:rPr>
          <w:rFonts w:hint="eastAsia"/>
          <w:b/>
          <w:szCs w:val="21"/>
        </w:rPr>
        <w:t>的</w:t>
      </w:r>
      <w:r w:rsidR="00CC2621">
        <w:rPr>
          <w:b/>
          <w:szCs w:val="21"/>
        </w:rPr>
        <w:t>产品</w:t>
      </w:r>
    </w:p>
    <w:tbl>
      <w:tblPr>
        <w:tblW w:w="8789" w:type="dxa"/>
        <w:tblInd w:w="-5" w:type="dxa"/>
        <w:tblLook w:val="04A0"/>
      </w:tblPr>
      <w:tblGrid>
        <w:gridCol w:w="686"/>
        <w:gridCol w:w="873"/>
        <w:gridCol w:w="4678"/>
        <w:gridCol w:w="2552"/>
      </w:tblGrid>
      <w:tr w:rsidR="00034BA9"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34BA9" w:rsidRPr="004B06B5" w:rsidRDefault="00034BA9" w:rsidP="006A6451">
            <w:pPr>
              <w:widowControl/>
              <w:jc w:val="center"/>
              <w:rPr>
                <w:rFonts w:ascii="宋体" w:eastAsia="宋体" w:hAnsi="宋体" w:cs="宋体"/>
                <w:b/>
                <w:bCs/>
                <w:color w:val="000000"/>
                <w:kern w:val="0"/>
                <w:szCs w:val="21"/>
              </w:rPr>
            </w:pPr>
            <w:r w:rsidRPr="004B06B5">
              <w:rPr>
                <w:rFonts w:ascii="宋体" w:eastAsia="宋体" w:hAnsi="宋体" w:cs="宋体" w:hint="eastAsia"/>
                <w:b/>
                <w:bCs/>
                <w:color w:val="000000"/>
                <w:kern w:val="0"/>
                <w:szCs w:val="21"/>
              </w:rPr>
              <w:t>序号</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034BA9" w:rsidRPr="004B06B5" w:rsidRDefault="00034BA9" w:rsidP="006A6451">
            <w:pPr>
              <w:widowControl/>
              <w:jc w:val="center"/>
              <w:rPr>
                <w:rFonts w:ascii="宋体" w:eastAsia="宋体" w:hAnsi="宋体" w:cs="宋体"/>
                <w:b/>
                <w:bCs/>
                <w:color w:val="000000"/>
                <w:kern w:val="0"/>
                <w:szCs w:val="21"/>
              </w:rPr>
            </w:pPr>
            <w:r w:rsidRPr="004B06B5">
              <w:rPr>
                <w:rFonts w:ascii="宋体" w:eastAsia="宋体" w:hAnsi="宋体" w:cs="宋体" w:hint="eastAsia"/>
                <w:b/>
                <w:bCs/>
                <w:color w:val="000000"/>
                <w:kern w:val="0"/>
                <w:szCs w:val="21"/>
              </w:rPr>
              <w:t>基金代码</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34BA9" w:rsidRPr="004B06B5" w:rsidRDefault="00034BA9" w:rsidP="006A6451">
            <w:pPr>
              <w:widowControl/>
              <w:jc w:val="center"/>
              <w:rPr>
                <w:rFonts w:ascii="宋体" w:eastAsia="宋体" w:hAnsi="宋体" w:cs="宋体"/>
                <w:b/>
                <w:bCs/>
                <w:color w:val="000000"/>
                <w:kern w:val="0"/>
                <w:szCs w:val="21"/>
              </w:rPr>
            </w:pPr>
            <w:r w:rsidRPr="004B06B5">
              <w:rPr>
                <w:rFonts w:ascii="宋体" w:eastAsia="宋体" w:hAnsi="宋体" w:cs="宋体" w:hint="eastAsia"/>
                <w:b/>
                <w:bCs/>
                <w:color w:val="000000"/>
                <w:kern w:val="0"/>
                <w:szCs w:val="21"/>
              </w:rPr>
              <w:t>基金名称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34BA9" w:rsidRPr="004B06B5" w:rsidRDefault="00034BA9" w:rsidP="006A6451">
            <w:pPr>
              <w:widowControl/>
              <w:jc w:val="center"/>
              <w:rPr>
                <w:rFonts w:ascii="宋体" w:eastAsia="宋体" w:hAnsi="宋体" w:cs="宋体"/>
                <w:b/>
                <w:bCs/>
                <w:color w:val="000000"/>
                <w:kern w:val="0"/>
                <w:szCs w:val="21"/>
              </w:rPr>
            </w:pPr>
            <w:r w:rsidRPr="004B06B5">
              <w:rPr>
                <w:rFonts w:ascii="宋体" w:eastAsia="宋体" w:hAnsi="宋体" w:cs="宋体" w:hint="eastAsia"/>
                <w:b/>
                <w:bCs/>
                <w:color w:val="000000"/>
                <w:kern w:val="0"/>
                <w:szCs w:val="21"/>
              </w:rPr>
              <w:t>基金简称</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151001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银河稳健证券投资基金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银河稳健混合</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151002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银河收益证券投资基金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银河收益债券</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3</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150968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银河研究精选混合型证券投资基金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银河研究精选混合</w:t>
            </w:r>
          </w:p>
        </w:tc>
      </w:tr>
      <w:tr w:rsidR="005073ED" w:rsidRPr="004B06B5" w:rsidTr="0097476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4</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5073ED" w:rsidRDefault="005073ED" w:rsidP="005073ED">
            <w:pPr>
              <w:widowControl/>
              <w:jc w:val="center"/>
              <w:rPr>
                <w:rFonts w:ascii="宋体" w:eastAsia="宋体" w:hAnsi="宋体" w:cs="宋体"/>
                <w:bCs/>
                <w:color w:val="000000"/>
                <w:kern w:val="0"/>
                <w:szCs w:val="21"/>
              </w:rPr>
            </w:pPr>
            <w:r w:rsidRPr="005073ED">
              <w:rPr>
                <w:rFonts w:ascii="宋体" w:eastAsia="宋体" w:hAnsi="宋体" w:cs="宋体" w:hint="eastAsia"/>
                <w:bCs/>
                <w:color w:val="000000"/>
                <w:kern w:val="0"/>
                <w:szCs w:val="21"/>
              </w:rPr>
              <w:t>007635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5073ED" w:rsidRDefault="005073ED" w:rsidP="005073ED">
            <w:pPr>
              <w:widowControl/>
              <w:jc w:val="center"/>
              <w:rPr>
                <w:rFonts w:ascii="宋体" w:eastAsia="宋体" w:hAnsi="宋体" w:cs="宋体"/>
                <w:bCs/>
                <w:color w:val="000000"/>
                <w:kern w:val="0"/>
                <w:szCs w:val="21"/>
              </w:rPr>
            </w:pPr>
            <w:r w:rsidRPr="005073ED">
              <w:rPr>
                <w:rFonts w:ascii="宋体" w:eastAsia="宋体" w:hAnsi="宋体" w:cs="宋体" w:hint="eastAsia"/>
                <w:bCs/>
                <w:color w:val="000000"/>
                <w:kern w:val="0"/>
                <w:szCs w:val="21"/>
              </w:rPr>
              <w:t>银河天盈中短债债券型证券投资基金A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5073ED" w:rsidRDefault="005073ED" w:rsidP="005073ED">
            <w:pPr>
              <w:widowControl/>
              <w:jc w:val="center"/>
              <w:rPr>
                <w:rFonts w:ascii="宋体" w:eastAsia="宋体" w:hAnsi="宋体" w:cs="宋体"/>
                <w:bCs/>
                <w:color w:val="000000"/>
                <w:kern w:val="0"/>
                <w:szCs w:val="21"/>
              </w:rPr>
            </w:pPr>
            <w:r w:rsidRPr="005073ED">
              <w:rPr>
                <w:rFonts w:ascii="宋体" w:eastAsia="宋体" w:hAnsi="宋体" w:cs="宋体" w:hint="eastAsia"/>
                <w:bCs/>
                <w:color w:val="000000"/>
                <w:kern w:val="0"/>
                <w:szCs w:val="21"/>
              </w:rPr>
              <w:t>银河天盈中短债A</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5</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519640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银河鸿利灵活配置混合型证券投资基金A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银河鸿利混合A</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6</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519642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银河大国智造主题灵活配置混合型证券投资基金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银河智造混合</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7</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519644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银河智联主题灵活配置混合型证券投资基金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银河智联混合</w:t>
            </w:r>
          </w:p>
        </w:tc>
        <w:bookmarkStart w:id="0" w:name="_GoBack"/>
        <w:bookmarkEnd w:id="0"/>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8</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519655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银河现代服务主题灵活配置混合型证券投资基金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银河服务混合</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9</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519668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银河竞争优势成长混合型证券投资基金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银河成长混合</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10</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519669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银河领先债券型证券投资基金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银河领先债券</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11</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519670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银河行业优选混合型证券投资基金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银河行业混合</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12</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519671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银河沪深300价值指数证券投资基金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银河沪深300价值指数</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13</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519672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银河蓝筹精选混合型证券投资基金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银河蓝筹混合</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14</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519674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银河创新成长混合型证券投资基金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银河创新混合</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15</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519676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银河强化收益债券型证券投资基金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银河强化债券</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16</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519678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银河消费驱动混合型证券投资基金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银河消费混合</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17</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519679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银河主题策略混合型证券投资基金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银河主题混合</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18</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004661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银河如意债券型证券投资基金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银河如意债券</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19</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005211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银河智慧主题灵活配置混合型证券投资基金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银河智慧混合</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20</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006128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银河和美生活主题混合型证券投资基金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银河和美生活混合</w:t>
            </w:r>
          </w:p>
        </w:tc>
      </w:tr>
      <w:tr w:rsidR="005073ED" w:rsidRPr="004B06B5" w:rsidTr="00034BA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color w:val="000000"/>
                <w:kern w:val="0"/>
                <w:szCs w:val="21"/>
              </w:rPr>
            </w:pPr>
            <w:r w:rsidRPr="004B06B5">
              <w:rPr>
                <w:rFonts w:ascii="宋体" w:eastAsia="宋体" w:hAnsi="宋体" w:cs="宋体" w:hint="eastAsia"/>
                <w:color w:val="000000"/>
                <w:kern w:val="0"/>
                <w:szCs w:val="21"/>
              </w:rPr>
              <w:t>21</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007203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银河新动能混合型证券投资基金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073ED" w:rsidRPr="004B06B5" w:rsidRDefault="005073ED" w:rsidP="005073ED">
            <w:pPr>
              <w:widowControl/>
              <w:jc w:val="center"/>
              <w:rPr>
                <w:rFonts w:ascii="宋体" w:eastAsia="宋体" w:hAnsi="宋体" w:cs="宋体"/>
                <w:bCs/>
                <w:color w:val="000000"/>
                <w:kern w:val="0"/>
                <w:szCs w:val="21"/>
              </w:rPr>
            </w:pPr>
            <w:r w:rsidRPr="004B06B5">
              <w:rPr>
                <w:rFonts w:ascii="宋体" w:eastAsia="宋体" w:hAnsi="宋体" w:cs="宋体" w:hint="eastAsia"/>
                <w:bCs/>
                <w:color w:val="000000"/>
                <w:kern w:val="0"/>
                <w:szCs w:val="21"/>
              </w:rPr>
              <w:t>银河新动能混合</w:t>
            </w:r>
          </w:p>
        </w:tc>
      </w:tr>
    </w:tbl>
    <w:p w:rsidR="005D400B" w:rsidRPr="005D400B" w:rsidRDefault="005D400B" w:rsidP="005D400B">
      <w:pPr>
        <w:spacing w:line="360" w:lineRule="auto"/>
        <w:rPr>
          <w:b/>
          <w:szCs w:val="21"/>
        </w:rPr>
      </w:pPr>
    </w:p>
    <w:p w:rsidR="00237987" w:rsidRPr="00237987" w:rsidRDefault="00AA20C6" w:rsidP="005D400B">
      <w:pPr>
        <w:spacing w:line="360" w:lineRule="auto"/>
        <w:rPr>
          <w:b/>
          <w:szCs w:val="21"/>
        </w:rPr>
      </w:pPr>
      <w:r>
        <w:rPr>
          <w:rFonts w:hint="eastAsia"/>
          <w:b/>
          <w:szCs w:val="21"/>
        </w:rPr>
        <w:t>五</w:t>
      </w:r>
      <w:r w:rsidR="004E2FC9">
        <w:rPr>
          <w:b/>
          <w:szCs w:val="21"/>
        </w:rPr>
        <w:t>、</w:t>
      </w:r>
      <w:r w:rsidR="00712739">
        <w:rPr>
          <w:rFonts w:hint="eastAsia"/>
          <w:b/>
          <w:szCs w:val="21"/>
        </w:rPr>
        <w:t>定投</w:t>
      </w:r>
      <w:r w:rsidR="004B06B5">
        <w:rPr>
          <w:rFonts w:hint="eastAsia"/>
          <w:b/>
          <w:szCs w:val="21"/>
        </w:rPr>
        <w:t>起始</w:t>
      </w:r>
      <w:r w:rsidR="004B06B5">
        <w:rPr>
          <w:b/>
          <w:szCs w:val="21"/>
        </w:rPr>
        <w:t>额度</w:t>
      </w:r>
      <w:r w:rsidR="00712739">
        <w:rPr>
          <w:b/>
          <w:szCs w:val="21"/>
        </w:rPr>
        <w:t>及</w:t>
      </w:r>
      <w:r w:rsidR="004B06B5">
        <w:rPr>
          <w:rFonts w:hint="eastAsia"/>
          <w:b/>
          <w:szCs w:val="21"/>
        </w:rPr>
        <w:t>最新</w:t>
      </w:r>
      <w:r w:rsidR="008E2CE1">
        <w:rPr>
          <w:rFonts w:hint="eastAsia"/>
          <w:b/>
          <w:szCs w:val="21"/>
        </w:rPr>
        <w:t>费率优惠</w:t>
      </w:r>
      <w:r w:rsidR="008E2CE1">
        <w:rPr>
          <w:b/>
          <w:szCs w:val="21"/>
        </w:rPr>
        <w:t>活动</w:t>
      </w:r>
      <w:r w:rsidR="00712739">
        <w:rPr>
          <w:rFonts w:hint="eastAsia"/>
          <w:b/>
          <w:szCs w:val="21"/>
        </w:rPr>
        <w:t>规则</w:t>
      </w:r>
    </w:p>
    <w:p w:rsidR="000E10B3" w:rsidRDefault="004B06B5" w:rsidP="007F4C53">
      <w:pPr>
        <w:spacing w:line="360" w:lineRule="auto"/>
        <w:ind w:firstLineChars="202" w:firstLine="424"/>
        <w:rPr>
          <w:szCs w:val="21"/>
        </w:rPr>
      </w:pPr>
      <w:r>
        <w:rPr>
          <w:rFonts w:hint="eastAsia"/>
          <w:szCs w:val="21"/>
        </w:rPr>
        <w:t>银河基金旗下产品</w:t>
      </w:r>
      <w:r w:rsidR="00AB209D" w:rsidRPr="00CD6CE8">
        <w:rPr>
          <w:rFonts w:hint="eastAsia"/>
          <w:szCs w:val="21"/>
        </w:rPr>
        <w:t>通过</w:t>
      </w:r>
      <w:r w:rsidR="00CC2621">
        <w:rPr>
          <w:rFonts w:hint="eastAsia"/>
          <w:szCs w:val="21"/>
        </w:rPr>
        <w:t>中信建投</w:t>
      </w:r>
      <w:r w:rsidR="000E10B3" w:rsidRPr="00CD6CE8">
        <w:rPr>
          <w:szCs w:val="21"/>
        </w:rPr>
        <w:t>证券</w:t>
      </w:r>
      <w:r w:rsidR="000E10B3" w:rsidRPr="00CD6CE8">
        <w:rPr>
          <w:rFonts w:hint="eastAsia"/>
          <w:szCs w:val="21"/>
        </w:rPr>
        <w:t>定期定额起始额度</w:t>
      </w:r>
      <w:r w:rsidR="00CC2621">
        <w:rPr>
          <w:rFonts w:hint="eastAsia"/>
          <w:szCs w:val="21"/>
        </w:rPr>
        <w:t>调整</w:t>
      </w:r>
      <w:r w:rsidR="000E10B3" w:rsidRPr="00CD6CE8">
        <w:rPr>
          <w:rFonts w:hint="eastAsia"/>
          <w:szCs w:val="21"/>
        </w:rPr>
        <w:t>为</w:t>
      </w:r>
      <w:r w:rsidR="00CC2621">
        <w:rPr>
          <w:szCs w:val="21"/>
        </w:rPr>
        <w:t>1</w:t>
      </w:r>
      <w:r w:rsidR="00E55496">
        <w:rPr>
          <w:szCs w:val="21"/>
        </w:rPr>
        <w:t>0</w:t>
      </w:r>
      <w:r w:rsidR="000E10B3" w:rsidRPr="00CD6CE8">
        <w:rPr>
          <w:rFonts w:hint="eastAsia"/>
          <w:szCs w:val="21"/>
        </w:rPr>
        <w:t>元</w:t>
      </w:r>
      <w:r w:rsidR="000E10B3" w:rsidRPr="00CD6CE8">
        <w:rPr>
          <w:szCs w:val="21"/>
        </w:rPr>
        <w:t>。</w:t>
      </w:r>
    </w:p>
    <w:p w:rsidR="00237987" w:rsidRPr="00CC2621" w:rsidRDefault="00CC2621" w:rsidP="001F3FFF">
      <w:pPr>
        <w:spacing w:afterLines="30" w:line="360" w:lineRule="auto"/>
        <w:ind w:firstLineChars="202" w:firstLine="424"/>
        <w:rPr>
          <w:szCs w:val="21"/>
        </w:rPr>
      </w:pPr>
      <w:r w:rsidRPr="00CC2621">
        <w:rPr>
          <w:rFonts w:hint="eastAsia"/>
          <w:szCs w:val="21"/>
        </w:rPr>
        <w:t>投资人通过中信建投证券（</w:t>
      </w:r>
      <w:r w:rsidRPr="00CC2621">
        <w:rPr>
          <w:rFonts w:hint="eastAsia"/>
          <w:szCs w:val="21"/>
        </w:rPr>
        <w:t>www.csc108.com</w:t>
      </w:r>
      <w:r w:rsidRPr="00CC2621">
        <w:rPr>
          <w:rFonts w:hint="eastAsia"/>
          <w:szCs w:val="21"/>
        </w:rPr>
        <w:t>）申购</w:t>
      </w:r>
      <w:r w:rsidR="001A568D">
        <w:rPr>
          <w:rFonts w:hint="eastAsia"/>
          <w:szCs w:val="21"/>
        </w:rPr>
        <w:t>及定投本公司</w:t>
      </w:r>
      <w:r w:rsidR="001A568D">
        <w:rPr>
          <w:szCs w:val="21"/>
        </w:rPr>
        <w:t>基金，</w:t>
      </w:r>
      <w:r w:rsidRPr="00CC2621">
        <w:rPr>
          <w:rFonts w:hint="eastAsia"/>
          <w:szCs w:val="21"/>
        </w:rPr>
        <w:t>实施费率优惠的结束时间及优惠措施以中信建投证券</w:t>
      </w:r>
      <w:r w:rsidR="001A568D">
        <w:rPr>
          <w:rFonts w:hint="eastAsia"/>
          <w:szCs w:val="21"/>
        </w:rPr>
        <w:t>活动</w:t>
      </w:r>
      <w:r w:rsidRPr="00CC2621">
        <w:rPr>
          <w:rFonts w:hint="eastAsia"/>
          <w:szCs w:val="21"/>
        </w:rPr>
        <w:t>为准。</w:t>
      </w:r>
    </w:p>
    <w:p w:rsidR="006A68A0" w:rsidRPr="001A568D" w:rsidRDefault="006A68A0" w:rsidP="001A568D">
      <w:pPr>
        <w:spacing w:line="360" w:lineRule="auto"/>
        <w:ind w:firstLineChars="200" w:firstLine="420"/>
        <w:rPr>
          <w:szCs w:val="21"/>
        </w:rPr>
      </w:pPr>
      <w:r w:rsidRPr="001A568D">
        <w:rPr>
          <w:rFonts w:hint="eastAsia"/>
          <w:szCs w:val="21"/>
        </w:rPr>
        <w:t>投资者可通过以下途径咨询有关详情</w:t>
      </w:r>
      <w:r w:rsidR="007166B6" w:rsidRPr="001A568D">
        <w:rPr>
          <w:rFonts w:hint="eastAsia"/>
          <w:szCs w:val="21"/>
        </w:rPr>
        <w:t>：</w:t>
      </w:r>
    </w:p>
    <w:p w:rsidR="00CC2621" w:rsidRPr="0018322D" w:rsidRDefault="00CC2621" w:rsidP="00CC2621">
      <w:pPr>
        <w:widowControl/>
        <w:spacing w:line="360" w:lineRule="auto"/>
        <w:ind w:firstLineChars="177" w:firstLine="372"/>
        <w:jc w:val="left"/>
        <w:rPr>
          <w:rFonts w:ascii="宋体" w:hAnsi="宋体" w:cs="宋体"/>
          <w:kern w:val="0"/>
          <w:szCs w:val="21"/>
        </w:rPr>
      </w:pPr>
      <w:r w:rsidRPr="00BE7A4F">
        <w:rPr>
          <w:rFonts w:asciiTheme="minorEastAsia" w:hAnsiTheme="minorEastAsia" w:cs="Tahoma" w:hint="eastAsia"/>
          <w:color w:val="000000"/>
          <w:kern w:val="0"/>
          <w:szCs w:val="21"/>
        </w:rPr>
        <w:t>1、</w:t>
      </w:r>
      <w:r w:rsidRPr="0018322D">
        <w:rPr>
          <w:rFonts w:ascii="宋体" w:hAnsi="宋体" w:cs="宋体" w:hint="eastAsia"/>
          <w:kern w:val="0"/>
          <w:szCs w:val="21"/>
        </w:rPr>
        <w:t>中信建投证券股份有限公司</w:t>
      </w:r>
    </w:p>
    <w:p w:rsidR="00CC2621" w:rsidRPr="0018322D" w:rsidRDefault="00CC2621" w:rsidP="00CC2621">
      <w:pPr>
        <w:widowControl/>
        <w:spacing w:line="360" w:lineRule="auto"/>
        <w:ind w:firstLineChars="177" w:firstLine="372"/>
        <w:jc w:val="left"/>
        <w:rPr>
          <w:rFonts w:ascii="宋体" w:hAnsi="宋体" w:cs="宋体"/>
          <w:kern w:val="0"/>
          <w:szCs w:val="21"/>
        </w:rPr>
      </w:pPr>
      <w:r w:rsidRPr="0018322D">
        <w:rPr>
          <w:rFonts w:ascii="宋体" w:hAnsi="宋体" w:cs="宋体" w:hint="eastAsia"/>
          <w:kern w:val="0"/>
          <w:szCs w:val="21"/>
        </w:rPr>
        <w:t>客户服务电话：400-888-8108</w:t>
      </w:r>
    </w:p>
    <w:p w:rsidR="00CC2621" w:rsidRPr="00BE7A4F" w:rsidRDefault="00CC2621" w:rsidP="00CC2621">
      <w:pPr>
        <w:widowControl/>
        <w:spacing w:line="360" w:lineRule="auto"/>
        <w:ind w:firstLineChars="177" w:firstLine="372"/>
        <w:jc w:val="left"/>
        <w:rPr>
          <w:rFonts w:ascii="宋体" w:hAnsi="宋体"/>
          <w:szCs w:val="21"/>
        </w:rPr>
      </w:pPr>
      <w:r w:rsidRPr="0018322D">
        <w:rPr>
          <w:rFonts w:ascii="宋体" w:hAnsi="宋体" w:cs="宋体" w:hint="eastAsia"/>
          <w:kern w:val="0"/>
          <w:szCs w:val="21"/>
        </w:rPr>
        <w:t>网址：www.csc108.com</w:t>
      </w:r>
    </w:p>
    <w:p w:rsidR="00CC2621" w:rsidRPr="00BE7A4F" w:rsidRDefault="00CC2621" w:rsidP="00CC2621">
      <w:pPr>
        <w:spacing w:line="360" w:lineRule="auto"/>
        <w:ind w:firstLineChars="177" w:firstLine="372"/>
        <w:rPr>
          <w:rFonts w:asciiTheme="minorEastAsia" w:hAnsiTheme="minorEastAsia" w:cs="宋体"/>
          <w:color w:val="000000"/>
          <w:kern w:val="0"/>
          <w:szCs w:val="21"/>
        </w:rPr>
      </w:pPr>
      <w:r w:rsidRPr="00BE7A4F">
        <w:rPr>
          <w:rFonts w:asciiTheme="minorEastAsia" w:hAnsiTheme="minorEastAsia" w:cs="Tahoma"/>
          <w:color w:val="000000"/>
          <w:kern w:val="0"/>
          <w:szCs w:val="21"/>
        </w:rPr>
        <w:t>2</w:t>
      </w:r>
      <w:r w:rsidRPr="00BE7A4F">
        <w:rPr>
          <w:rFonts w:asciiTheme="minorEastAsia" w:hAnsiTheme="minorEastAsia" w:cs="Tahoma" w:hint="eastAsia"/>
          <w:color w:val="000000"/>
          <w:kern w:val="0"/>
          <w:szCs w:val="21"/>
        </w:rPr>
        <w:t>、</w:t>
      </w:r>
      <w:r w:rsidRPr="00BE7A4F">
        <w:rPr>
          <w:rFonts w:asciiTheme="minorEastAsia" w:hAnsiTheme="minorEastAsia" w:cs="宋体" w:hint="eastAsia"/>
          <w:color w:val="000000"/>
          <w:kern w:val="0"/>
          <w:szCs w:val="21"/>
        </w:rPr>
        <w:t>银河基金管理有限公司</w:t>
      </w:r>
    </w:p>
    <w:p w:rsidR="00CC2621" w:rsidRPr="00BE7A4F" w:rsidRDefault="00CC2621" w:rsidP="00CC2621">
      <w:pPr>
        <w:spacing w:line="360" w:lineRule="auto"/>
        <w:ind w:firstLineChars="177" w:firstLine="372"/>
        <w:rPr>
          <w:rFonts w:asciiTheme="minorEastAsia" w:hAnsiTheme="minorEastAsia" w:cs="宋体"/>
          <w:color w:val="000000"/>
          <w:kern w:val="0"/>
          <w:szCs w:val="21"/>
        </w:rPr>
      </w:pPr>
      <w:r w:rsidRPr="00BE7A4F">
        <w:rPr>
          <w:rFonts w:asciiTheme="minorEastAsia" w:hAnsiTheme="minorEastAsia" w:cs="宋体" w:hint="eastAsia"/>
          <w:color w:val="000000"/>
          <w:kern w:val="0"/>
          <w:szCs w:val="21"/>
        </w:rPr>
        <w:t>客户服务电话：400-820-0860</w:t>
      </w:r>
    </w:p>
    <w:p w:rsidR="00CC2621" w:rsidRPr="00BE7A4F" w:rsidRDefault="00CC2621" w:rsidP="00CC2621">
      <w:pPr>
        <w:spacing w:line="360" w:lineRule="auto"/>
        <w:ind w:firstLineChars="177" w:firstLine="372"/>
        <w:rPr>
          <w:rFonts w:asciiTheme="minorEastAsia" w:hAnsiTheme="minorEastAsia" w:cs="Tahoma"/>
          <w:color w:val="000000"/>
          <w:kern w:val="0"/>
          <w:szCs w:val="21"/>
        </w:rPr>
      </w:pPr>
      <w:r w:rsidRPr="00BE7A4F">
        <w:rPr>
          <w:rFonts w:asciiTheme="minorEastAsia" w:hAnsiTheme="minorEastAsia" w:cs="宋体" w:hint="eastAsia"/>
          <w:color w:val="000000"/>
          <w:kern w:val="0"/>
          <w:szCs w:val="21"/>
        </w:rPr>
        <w:t>网址：www.galaxyasset.com</w:t>
      </w:r>
    </w:p>
    <w:p w:rsidR="00A7738A" w:rsidRPr="00A7738A" w:rsidRDefault="00CC2621" w:rsidP="00CC2621">
      <w:pPr>
        <w:spacing w:line="360" w:lineRule="auto"/>
        <w:ind w:firstLine="420"/>
        <w:rPr>
          <w:szCs w:val="21"/>
        </w:rPr>
      </w:pPr>
      <w:r>
        <w:rPr>
          <w:rFonts w:ascii="宋体" w:hAnsi="宋体" w:cs="宋体" w:hint="eastAsia"/>
          <w:color w:val="000000"/>
          <w:kern w:val="0"/>
          <w:szCs w:val="21"/>
        </w:rPr>
        <w:t>中信建投证券保留对</w:t>
      </w:r>
      <w:r>
        <w:rPr>
          <w:rFonts w:ascii="宋体" w:hAnsi="宋体" w:cs="宋体"/>
          <w:color w:val="000000"/>
          <w:kern w:val="0"/>
          <w:szCs w:val="21"/>
        </w:rPr>
        <w:t>上述</w:t>
      </w:r>
      <w:r>
        <w:rPr>
          <w:rFonts w:ascii="宋体" w:hAnsi="宋体" w:cs="宋体" w:hint="eastAsia"/>
          <w:color w:val="000000"/>
          <w:kern w:val="0"/>
          <w:szCs w:val="21"/>
        </w:rPr>
        <w:t>业务</w:t>
      </w:r>
      <w:r>
        <w:rPr>
          <w:rFonts w:ascii="宋体" w:hAnsi="宋体" w:cs="宋体"/>
          <w:color w:val="000000"/>
          <w:kern w:val="0"/>
          <w:szCs w:val="21"/>
        </w:rPr>
        <w:t>及</w:t>
      </w:r>
      <w:r w:rsidRPr="0007554C">
        <w:rPr>
          <w:rFonts w:ascii="宋体" w:hAnsi="宋体" w:cs="宋体" w:hint="eastAsia"/>
          <w:color w:val="000000"/>
          <w:kern w:val="0"/>
          <w:szCs w:val="21"/>
        </w:rPr>
        <w:t>优惠活动的最终解释权。</w:t>
      </w:r>
      <w:r w:rsidRPr="00BE7A4F">
        <w:rPr>
          <w:rFonts w:ascii="宋体" w:hAnsi="宋体" w:cs="宋体" w:hint="eastAsia"/>
          <w:color w:val="000000"/>
          <w:kern w:val="0"/>
          <w:szCs w:val="21"/>
        </w:rPr>
        <w:t>特此公告。</w:t>
      </w:r>
    </w:p>
    <w:p w:rsidR="00A7738A" w:rsidRPr="00A7738A" w:rsidRDefault="00AA20C6" w:rsidP="00A7738A">
      <w:pPr>
        <w:spacing w:line="360" w:lineRule="auto"/>
        <w:rPr>
          <w:b/>
          <w:szCs w:val="21"/>
        </w:rPr>
      </w:pPr>
      <w:r>
        <w:rPr>
          <w:rFonts w:hint="eastAsia"/>
          <w:b/>
          <w:szCs w:val="21"/>
        </w:rPr>
        <w:t>六</w:t>
      </w:r>
      <w:r w:rsidR="00A7738A" w:rsidRPr="00A7738A">
        <w:rPr>
          <w:rFonts w:hint="eastAsia"/>
          <w:b/>
          <w:szCs w:val="21"/>
        </w:rPr>
        <w:t>、风险提示</w:t>
      </w:r>
    </w:p>
    <w:p w:rsidR="006A68A0" w:rsidRPr="00A7738A" w:rsidRDefault="00A7738A" w:rsidP="00A7738A">
      <w:pPr>
        <w:spacing w:line="360" w:lineRule="auto"/>
        <w:ind w:firstLine="420"/>
        <w:rPr>
          <w:szCs w:val="21"/>
        </w:rPr>
      </w:pPr>
      <w:r w:rsidRPr="00A7738A">
        <w:rPr>
          <w:rFonts w:hint="eastAsia"/>
          <w:szCs w:val="21"/>
        </w:rPr>
        <w:t>本公司承诺以诚实信用、勤勉尽责的原则管理和运用基金资产，但不保证基金一定盈利，也不保证最低收益。敬请投资者注意投资风险。投资者投资于上述基金前应认真阅读基金的基金合同、招募说明书等法律文件。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103D0D" w:rsidRPr="00237987" w:rsidRDefault="00EF132F" w:rsidP="00EF132F">
      <w:pPr>
        <w:spacing w:line="360" w:lineRule="auto"/>
        <w:ind w:left="420"/>
        <w:rPr>
          <w:szCs w:val="21"/>
        </w:rPr>
      </w:pPr>
      <w:r w:rsidRPr="00237987">
        <w:rPr>
          <w:rFonts w:hint="eastAsia"/>
          <w:szCs w:val="21"/>
        </w:rPr>
        <w:t>本公告的解释权归银河基金管理有限公司。</w:t>
      </w:r>
      <w:r w:rsidRPr="00237987">
        <w:rPr>
          <w:szCs w:val="21"/>
        </w:rPr>
        <w:br/>
      </w:r>
      <w:r w:rsidR="00103D0D" w:rsidRPr="00237987">
        <w:rPr>
          <w:rFonts w:hint="eastAsia"/>
          <w:szCs w:val="21"/>
        </w:rPr>
        <w:t>特此公告。</w:t>
      </w:r>
    </w:p>
    <w:p w:rsidR="00131D67" w:rsidRPr="00237987" w:rsidRDefault="00131D67" w:rsidP="006A68A0">
      <w:pPr>
        <w:spacing w:line="360" w:lineRule="auto"/>
        <w:jc w:val="right"/>
        <w:rPr>
          <w:szCs w:val="21"/>
        </w:rPr>
      </w:pPr>
    </w:p>
    <w:p w:rsidR="00103D0D" w:rsidRPr="00237987" w:rsidRDefault="00103D0D" w:rsidP="006A68A0">
      <w:pPr>
        <w:spacing w:line="360" w:lineRule="auto"/>
        <w:jc w:val="right"/>
        <w:rPr>
          <w:szCs w:val="21"/>
        </w:rPr>
      </w:pPr>
      <w:r w:rsidRPr="00237987">
        <w:rPr>
          <w:rFonts w:hint="eastAsia"/>
          <w:szCs w:val="21"/>
        </w:rPr>
        <w:t>银河基金管理有限公司</w:t>
      </w:r>
    </w:p>
    <w:p w:rsidR="00B13F19" w:rsidRDefault="006A68A0" w:rsidP="00BA1459">
      <w:pPr>
        <w:spacing w:line="360" w:lineRule="auto"/>
        <w:ind w:firstLineChars="2250" w:firstLine="4725"/>
        <w:jc w:val="right"/>
      </w:pPr>
      <w:r w:rsidRPr="00237987">
        <w:rPr>
          <w:rFonts w:ascii="宋体" w:hAnsi="宋体" w:hint="eastAsia"/>
          <w:szCs w:val="21"/>
        </w:rPr>
        <w:t>20</w:t>
      </w:r>
      <w:r w:rsidR="00A7738A">
        <w:rPr>
          <w:rFonts w:ascii="宋体" w:hAnsi="宋体"/>
          <w:szCs w:val="21"/>
        </w:rPr>
        <w:t>20</w:t>
      </w:r>
      <w:r w:rsidRPr="00237987">
        <w:rPr>
          <w:rFonts w:ascii="宋体" w:hAnsi="宋体" w:hint="eastAsia"/>
          <w:szCs w:val="21"/>
        </w:rPr>
        <w:t>年</w:t>
      </w:r>
      <w:r w:rsidR="004E2FC9">
        <w:rPr>
          <w:rFonts w:ascii="宋体" w:hAnsi="宋体" w:hint="eastAsia"/>
          <w:szCs w:val="21"/>
        </w:rPr>
        <w:t>4</w:t>
      </w:r>
      <w:r w:rsidRPr="00237987">
        <w:rPr>
          <w:rFonts w:ascii="宋体" w:hAnsi="宋体" w:hint="eastAsia"/>
          <w:szCs w:val="21"/>
        </w:rPr>
        <w:t>月</w:t>
      </w:r>
      <w:r w:rsidR="00556FB9">
        <w:rPr>
          <w:rFonts w:ascii="宋体" w:hAnsi="宋体"/>
          <w:szCs w:val="21"/>
        </w:rPr>
        <w:t>20</w:t>
      </w:r>
      <w:r w:rsidRPr="00237987">
        <w:rPr>
          <w:rFonts w:ascii="宋体" w:hAnsi="宋体" w:hint="eastAsia"/>
          <w:szCs w:val="21"/>
        </w:rPr>
        <w:t>日</w:t>
      </w:r>
    </w:p>
    <w:sectPr w:rsidR="00B13F19" w:rsidSect="00B13F1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701" w:rsidRDefault="00722701" w:rsidP="00EF132F">
      <w:r>
        <w:separator/>
      </w:r>
    </w:p>
  </w:endnote>
  <w:endnote w:type="continuationSeparator" w:id="1">
    <w:p w:rsidR="00722701" w:rsidRDefault="00722701" w:rsidP="00EF1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814"/>
      <w:docPartObj>
        <w:docPartGallery w:val="Page Numbers (Bottom of Page)"/>
        <w:docPartUnique/>
      </w:docPartObj>
    </w:sdtPr>
    <w:sdtContent>
      <w:p w:rsidR="006A6451" w:rsidRDefault="001809FB">
        <w:pPr>
          <w:pStyle w:val="a4"/>
          <w:jc w:val="center"/>
        </w:pPr>
        <w:r w:rsidRPr="001809FB">
          <w:fldChar w:fldCharType="begin"/>
        </w:r>
        <w:r w:rsidR="006A6451">
          <w:instrText xml:space="preserve"> PAGE   \* MERGEFORMAT </w:instrText>
        </w:r>
        <w:r w:rsidRPr="001809FB">
          <w:fldChar w:fldCharType="separate"/>
        </w:r>
        <w:r w:rsidR="001F3FFF" w:rsidRPr="001F3FFF">
          <w:rPr>
            <w:noProof/>
            <w:lang w:val="zh-CN"/>
          </w:rPr>
          <w:t>1</w:t>
        </w:r>
        <w:r>
          <w:rPr>
            <w:noProof/>
            <w:lang w:val="zh-CN"/>
          </w:rPr>
          <w:fldChar w:fldCharType="end"/>
        </w:r>
      </w:p>
    </w:sdtContent>
  </w:sdt>
  <w:p w:rsidR="006A6451" w:rsidRDefault="006A64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701" w:rsidRDefault="00722701" w:rsidP="00EF132F">
      <w:r>
        <w:separator/>
      </w:r>
    </w:p>
  </w:footnote>
  <w:footnote w:type="continuationSeparator" w:id="1">
    <w:p w:rsidR="00722701" w:rsidRDefault="00722701" w:rsidP="00EF1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C3961"/>
    <w:multiLevelType w:val="hybridMultilevel"/>
    <w:tmpl w:val="A78E7194"/>
    <w:lvl w:ilvl="0" w:tplc="419C92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D0D"/>
    <w:rsid w:val="000106DB"/>
    <w:rsid w:val="000212AF"/>
    <w:rsid w:val="000327D2"/>
    <w:rsid w:val="00034BA9"/>
    <w:rsid w:val="00066B0A"/>
    <w:rsid w:val="000A0073"/>
    <w:rsid w:val="000B7A92"/>
    <w:rsid w:val="000C342E"/>
    <w:rsid w:val="000E10B3"/>
    <w:rsid w:val="000F4CD4"/>
    <w:rsid w:val="00103D0D"/>
    <w:rsid w:val="00115106"/>
    <w:rsid w:val="00131D67"/>
    <w:rsid w:val="0014389E"/>
    <w:rsid w:val="001479A4"/>
    <w:rsid w:val="00162EFD"/>
    <w:rsid w:val="001719F7"/>
    <w:rsid w:val="001809FB"/>
    <w:rsid w:val="0018544C"/>
    <w:rsid w:val="00186152"/>
    <w:rsid w:val="00194C5E"/>
    <w:rsid w:val="001A568D"/>
    <w:rsid w:val="001B0ABF"/>
    <w:rsid w:val="001C3B39"/>
    <w:rsid w:val="001C6D3C"/>
    <w:rsid w:val="001E2DD4"/>
    <w:rsid w:val="001F0E50"/>
    <w:rsid w:val="001F3FFF"/>
    <w:rsid w:val="001F4D75"/>
    <w:rsid w:val="00200BC8"/>
    <w:rsid w:val="00237987"/>
    <w:rsid w:val="00243205"/>
    <w:rsid w:val="00264FC3"/>
    <w:rsid w:val="0027271F"/>
    <w:rsid w:val="00282F99"/>
    <w:rsid w:val="002C32D2"/>
    <w:rsid w:val="002C5373"/>
    <w:rsid w:val="002D3AE5"/>
    <w:rsid w:val="002D412B"/>
    <w:rsid w:val="002D6684"/>
    <w:rsid w:val="002E763A"/>
    <w:rsid w:val="002F4819"/>
    <w:rsid w:val="00322459"/>
    <w:rsid w:val="00327444"/>
    <w:rsid w:val="00337DDA"/>
    <w:rsid w:val="0034188C"/>
    <w:rsid w:val="00343D5E"/>
    <w:rsid w:val="00357D8D"/>
    <w:rsid w:val="003628E3"/>
    <w:rsid w:val="00387DA0"/>
    <w:rsid w:val="00387DEA"/>
    <w:rsid w:val="003A634E"/>
    <w:rsid w:val="003B6773"/>
    <w:rsid w:val="003B7E79"/>
    <w:rsid w:val="003C56EA"/>
    <w:rsid w:val="003D0237"/>
    <w:rsid w:val="003D6A5A"/>
    <w:rsid w:val="00403351"/>
    <w:rsid w:val="0040734B"/>
    <w:rsid w:val="00422432"/>
    <w:rsid w:val="00422F1C"/>
    <w:rsid w:val="0043777A"/>
    <w:rsid w:val="00446569"/>
    <w:rsid w:val="00457986"/>
    <w:rsid w:val="004617A3"/>
    <w:rsid w:val="00477E4A"/>
    <w:rsid w:val="004844B7"/>
    <w:rsid w:val="004B06B5"/>
    <w:rsid w:val="004C2AF5"/>
    <w:rsid w:val="004C3BEF"/>
    <w:rsid w:val="004C5138"/>
    <w:rsid w:val="004D7CFC"/>
    <w:rsid w:val="004E2FC9"/>
    <w:rsid w:val="004F0300"/>
    <w:rsid w:val="005073ED"/>
    <w:rsid w:val="00523E05"/>
    <w:rsid w:val="00523FED"/>
    <w:rsid w:val="00527B4A"/>
    <w:rsid w:val="005333CF"/>
    <w:rsid w:val="00542193"/>
    <w:rsid w:val="0055099D"/>
    <w:rsid w:val="00556FB9"/>
    <w:rsid w:val="00561557"/>
    <w:rsid w:val="005637B7"/>
    <w:rsid w:val="0057295E"/>
    <w:rsid w:val="00584C88"/>
    <w:rsid w:val="00584F65"/>
    <w:rsid w:val="00592988"/>
    <w:rsid w:val="005A472E"/>
    <w:rsid w:val="005B1BFA"/>
    <w:rsid w:val="005B6EC3"/>
    <w:rsid w:val="005D089B"/>
    <w:rsid w:val="005D13B1"/>
    <w:rsid w:val="005D400B"/>
    <w:rsid w:val="005F304F"/>
    <w:rsid w:val="006134F7"/>
    <w:rsid w:val="006159E2"/>
    <w:rsid w:val="006241D5"/>
    <w:rsid w:val="00626A6E"/>
    <w:rsid w:val="006466A1"/>
    <w:rsid w:val="00667ADC"/>
    <w:rsid w:val="00667FFA"/>
    <w:rsid w:val="00671A70"/>
    <w:rsid w:val="00680DCB"/>
    <w:rsid w:val="00692DE0"/>
    <w:rsid w:val="0069392E"/>
    <w:rsid w:val="006A6451"/>
    <w:rsid w:val="006A68A0"/>
    <w:rsid w:val="006D2BA2"/>
    <w:rsid w:val="006D7F2D"/>
    <w:rsid w:val="006F56AD"/>
    <w:rsid w:val="006F64B5"/>
    <w:rsid w:val="00701A79"/>
    <w:rsid w:val="007042BD"/>
    <w:rsid w:val="00704323"/>
    <w:rsid w:val="0070673B"/>
    <w:rsid w:val="00712739"/>
    <w:rsid w:val="00713822"/>
    <w:rsid w:val="007166B6"/>
    <w:rsid w:val="00722701"/>
    <w:rsid w:val="007433BF"/>
    <w:rsid w:val="00747C60"/>
    <w:rsid w:val="007661A9"/>
    <w:rsid w:val="00777D5B"/>
    <w:rsid w:val="0078183E"/>
    <w:rsid w:val="007F0065"/>
    <w:rsid w:val="007F4C53"/>
    <w:rsid w:val="00814A1D"/>
    <w:rsid w:val="00840F4F"/>
    <w:rsid w:val="008473DC"/>
    <w:rsid w:val="00851D35"/>
    <w:rsid w:val="0088284F"/>
    <w:rsid w:val="008905E8"/>
    <w:rsid w:val="00892B89"/>
    <w:rsid w:val="00896C59"/>
    <w:rsid w:val="008A4496"/>
    <w:rsid w:val="008B1EA0"/>
    <w:rsid w:val="008B2B84"/>
    <w:rsid w:val="008B4C1D"/>
    <w:rsid w:val="008B5B17"/>
    <w:rsid w:val="008B7422"/>
    <w:rsid w:val="008E04BF"/>
    <w:rsid w:val="008E25ED"/>
    <w:rsid w:val="008E2CE1"/>
    <w:rsid w:val="00910B80"/>
    <w:rsid w:val="00915D70"/>
    <w:rsid w:val="00936505"/>
    <w:rsid w:val="00940EAD"/>
    <w:rsid w:val="00942A4F"/>
    <w:rsid w:val="00956A04"/>
    <w:rsid w:val="00957A3B"/>
    <w:rsid w:val="00961EF5"/>
    <w:rsid w:val="00963116"/>
    <w:rsid w:val="00974091"/>
    <w:rsid w:val="009975DF"/>
    <w:rsid w:val="009A126D"/>
    <w:rsid w:val="009A3E66"/>
    <w:rsid w:val="009B10B6"/>
    <w:rsid w:val="009B23F9"/>
    <w:rsid w:val="009C736F"/>
    <w:rsid w:val="009D01CE"/>
    <w:rsid w:val="009E58D3"/>
    <w:rsid w:val="009F63C6"/>
    <w:rsid w:val="00A307CB"/>
    <w:rsid w:val="00A511E5"/>
    <w:rsid w:val="00A76807"/>
    <w:rsid w:val="00A7738A"/>
    <w:rsid w:val="00A779D7"/>
    <w:rsid w:val="00A90905"/>
    <w:rsid w:val="00A9324D"/>
    <w:rsid w:val="00A93742"/>
    <w:rsid w:val="00A954CC"/>
    <w:rsid w:val="00AA0A46"/>
    <w:rsid w:val="00AA20C6"/>
    <w:rsid w:val="00AB209D"/>
    <w:rsid w:val="00AD42F2"/>
    <w:rsid w:val="00AF04F8"/>
    <w:rsid w:val="00AF32B6"/>
    <w:rsid w:val="00B0447E"/>
    <w:rsid w:val="00B13F19"/>
    <w:rsid w:val="00B420DC"/>
    <w:rsid w:val="00B44FF0"/>
    <w:rsid w:val="00B4530D"/>
    <w:rsid w:val="00B45D8D"/>
    <w:rsid w:val="00B55EDD"/>
    <w:rsid w:val="00B60523"/>
    <w:rsid w:val="00B67DE5"/>
    <w:rsid w:val="00B72388"/>
    <w:rsid w:val="00B723DF"/>
    <w:rsid w:val="00B81463"/>
    <w:rsid w:val="00BA1459"/>
    <w:rsid w:val="00BB342E"/>
    <w:rsid w:val="00BC55C6"/>
    <w:rsid w:val="00BC6D6B"/>
    <w:rsid w:val="00BD4CF7"/>
    <w:rsid w:val="00BD6D0D"/>
    <w:rsid w:val="00BE2B25"/>
    <w:rsid w:val="00C03E8B"/>
    <w:rsid w:val="00C10677"/>
    <w:rsid w:val="00C21E4A"/>
    <w:rsid w:val="00C5719F"/>
    <w:rsid w:val="00C64F54"/>
    <w:rsid w:val="00C671EE"/>
    <w:rsid w:val="00C95531"/>
    <w:rsid w:val="00CA4FAA"/>
    <w:rsid w:val="00CB077B"/>
    <w:rsid w:val="00CC2621"/>
    <w:rsid w:val="00CC5613"/>
    <w:rsid w:val="00CD6CE8"/>
    <w:rsid w:val="00CD6FEE"/>
    <w:rsid w:val="00CE0D02"/>
    <w:rsid w:val="00CE1EA3"/>
    <w:rsid w:val="00CF2D99"/>
    <w:rsid w:val="00CF3209"/>
    <w:rsid w:val="00CF548A"/>
    <w:rsid w:val="00D10C41"/>
    <w:rsid w:val="00D50F0C"/>
    <w:rsid w:val="00DC329E"/>
    <w:rsid w:val="00DD2E64"/>
    <w:rsid w:val="00DE13FE"/>
    <w:rsid w:val="00E0253B"/>
    <w:rsid w:val="00E03A11"/>
    <w:rsid w:val="00E05100"/>
    <w:rsid w:val="00E11547"/>
    <w:rsid w:val="00E17D4A"/>
    <w:rsid w:val="00E20037"/>
    <w:rsid w:val="00E24BE3"/>
    <w:rsid w:val="00E32B5A"/>
    <w:rsid w:val="00E55496"/>
    <w:rsid w:val="00E63255"/>
    <w:rsid w:val="00E65372"/>
    <w:rsid w:val="00E70FD9"/>
    <w:rsid w:val="00E723A6"/>
    <w:rsid w:val="00E724C7"/>
    <w:rsid w:val="00E84EC0"/>
    <w:rsid w:val="00E87957"/>
    <w:rsid w:val="00EC66D4"/>
    <w:rsid w:val="00ED3A77"/>
    <w:rsid w:val="00EF132F"/>
    <w:rsid w:val="00EF2AEE"/>
    <w:rsid w:val="00F0124C"/>
    <w:rsid w:val="00F060FF"/>
    <w:rsid w:val="00F1292E"/>
    <w:rsid w:val="00F15454"/>
    <w:rsid w:val="00F32AD1"/>
    <w:rsid w:val="00F335ED"/>
    <w:rsid w:val="00F53D1A"/>
    <w:rsid w:val="00F62C1D"/>
    <w:rsid w:val="00FB64D5"/>
    <w:rsid w:val="00FC77E8"/>
    <w:rsid w:val="00FD1CA6"/>
    <w:rsid w:val="00FE17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32F"/>
    <w:rPr>
      <w:sz w:val="18"/>
      <w:szCs w:val="18"/>
    </w:rPr>
  </w:style>
  <w:style w:type="paragraph" w:styleId="a4">
    <w:name w:val="footer"/>
    <w:basedOn w:val="a"/>
    <w:link w:val="Char0"/>
    <w:uiPriority w:val="99"/>
    <w:unhideWhenUsed/>
    <w:rsid w:val="00EF132F"/>
    <w:pPr>
      <w:tabs>
        <w:tab w:val="center" w:pos="4153"/>
        <w:tab w:val="right" w:pos="8306"/>
      </w:tabs>
      <w:snapToGrid w:val="0"/>
      <w:jc w:val="left"/>
    </w:pPr>
    <w:rPr>
      <w:sz w:val="18"/>
      <w:szCs w:val="18"/>
    </w:rPr>
  </w:style>
  <w:style w:type="character" w:customStyle="1" w:styleId="Char0">
    <w:name w:val="页脚 Char"/>
    <w:basedOn w:val="a0"/>
    <w:link w:val="a4"/>
    <w:uiPriority w:val="99"/>
    <w:rsid w:val="00EF132F"/>
    <w:rPr>
      <w:sz w:val="18"/>
      <w:szCs w:val="18"/>
    </w:rPr>
  </w:style>
  <w:style w:type="paragraph" w:styleId="a5">
    <w:name w:val="List Paragraph"/>
    <w:basedOn w:val="a"/>
    <w:uiPriority w:val="34"/>
    <w:qFormat/>
    <w:rsid w:val="00237987"/>
    <w:pPr>
      <w:ind w:firstLineChars="200" w:firstLine="420"/>
    </w:pPr>
  </w:style>
  <w:style w:type="paragraph" w:styleId="a6">
    <w:name w:val="Balloon Text"/>
    <w:basedOn w:val="a"/>
    <w:link w:val="Char1"/>
    <w:uiPriority w:val="99"/>
    <w:semiHidden/>
    <w:unhideWhenUsed/>
    <w:rsid w:val="00E70FD9"/>
    <w:rPr>
      <w:sz w:val="18"/>
      <w:szCs w:val="18"/>
    </w:rPr>
  </w:style>
  <w:style w:type="character" w:customStyle="1" w:styleId="Char1">
    <w:name w:val="批注框文本 Char"/>
    <w:basedOn w:val="a0"/>
    <w:link w:val="a6"/>
    <w:uiPriority w:val="99"/>
    <w:semiHidden/>
    <w:rsid w:val="00E70FD9"/>
    <w:rPr>
      <w:sz w:val="18"/>
      <w:szCs w:val="18"/>
    </w:rPr>
  </w:style>
</w:styles>
</file>

<file path=word/webSettings.xml><?xml version="1.0" encoding="utf-8"?>
<w:webSettings xmlns:r="http://schemas.openxmlformats.org/officeDocument/2006/relationships" xmlns:w="http://schemas.openxmlformats.org/wordprocessingml/2006/main">
  <w:divs>
    <w:div w:id="102578820">
      <w:bodyDiv w:val="1"/>
      <w:marLeft w:val="0"/>
      <w:marRight w:val="0"/>
      <w:marTop w:val="0"/>
      <w:marBottom w:val="0"/>
      <w:divBdr>
        <w:top w:val="none" w:sz="0" w:space="0" w:color="auto"/>
        <w:left w:val="none" w:sz="0" w:space="0" w:color="auto"/>
        <w:bottom w:val="none" w:sz="0" w:space="0" w:color="auto"/>
        <w:right w:val="none" w:sz="0" w:space="0" w:color="auto"/>
      </w:divBdr>
      <w:divsChild>
        <w:div w:id="2029519689">
          <w:marLeft w:val="0"/>
          <w:marRight w:val="0"/>
          <w:marTop w:val="376"/>
          <w:marBottom w:val="376"/>
          <w:divBdr>
            <w:top w:val="none" w:sz="0" w:space="0" w:color="auto"/>
            <w:left w:val="none" w:sz="0" w:space="0" w:color="auto"/>
            <w:bottom w:val="none" w:sz="0" w:space="0" w:color="auto"/>
            <w:right w:val="none" w:sz="0" w:space="0" w:color="auto"/>
          </w:divBdr>
          <w:divsChild>
            <w:div w:id="1545361237">
              <w:marLeft w:val="0"/>
              <w:marRight w:val="0"/>
              <w:marTop w:val="0"/>
              <w:marBottom w:val="0"/>
              <w:divBdr>
                <w:top w:val="none" w:sz="0" w:space="0" w:color="auto"/>
                <w:left w:val="none" w:sz="0" w:space="0" w:color="auto"/>
                <w:bottom w:val="none" w:sz="0" w:space="0" w:color="auto"/>
                <w:right w:val="none" w:sz="0" w:space="0" w:color="auto"/>
              </w:divBdr>
              <w:divsChild>
                <w:div w:id="53748671">
                  <w:marLeft w:val="0"/>
                  <w:marRight w:val="0"/>
                  <w:marTop w:val="0"/>
                  <w:marBottom w:val="0"/>
                  <w:divBdr>
                    <w:top w:val="none" w:sz="0" w:space="0" w:color="auto"/>
                    <w:left w:val="none" w:sz="0" w:space="0" w:color="auto"/>
                    <w:bottom w:val="none" w:sz="0" w:space="0" w:color="auto"/>
                    <w:right w:val="none" w:sz="0" w:space="0" w:color="auto"/>
                  </w:divBdr>
                  <w:divsChild>
                    <w:div w:id="1166048308">
                      <w:marLeft w:val="0"/>
                      <w:marRight w:val="0"/>
                      <w:marTop w:val="0"/>
                      <w:marBottom w:val="0"/>
                      <w:divBdr>
                        <w:top w:val="none" w:sz="0" w:space="0" w:color="auto"/>
                        <w:left w:val="none" w:sz="0" w:space="0" w:color="auto"/>
                        <w:bottom w:val="none" w:sz="0" w:space="0" w:color="auto"/>
                        <w:right w:val="none" w:sz="0" w:space="0" w:color="auto"/>
                      </w:divBdr>
                      <w:divsChild>
                        <w:div w:id="4436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1753">
      <w:bodyDiv w:val="1"/>
      <w:marLeft w:val="0"/>
      <w:marRight w:val="0"/>
      <w:marTop w:val="0"/>
      <w:marBottom w:val="0"/>
      <w:divBdr>
        <w:top w:val="none" w:sz="0" w:space="0" w:color="auto"/>
        <w:left w:val="none" w:sz="0" w:space="0" w:color="auto"/>
        <w:bottom w:val="none" w:sz="0" w:space="0" w:color="auto"/>
        <w:right w:val="none" w:sz="0" w:space="0" w:color="auto"/>
      </w:divBdr>
    </w:div>
    <w:div w:id="221840037">
      <w:bodyDiv w:val="1"/>
      <w:marLeft w:val="0"/>
      <w:marRight w:val="0"/>
      <w:marTop w:val="0"/>
      <w:marBottom w:val="0"/>
      <w:divBdr>
        <w:top w:val="none" w:sz="0" w:space="0" w:color="auto"/>
        <w:left w:val="none" w:sz="0" w:space="0" w:color="auto"/>
        <w:bottom w:val="none" w:sz="0" w:space="0" w:color="auto"/>
        <w:right w:val="none" w:sz="0" w:space="0" w:color="auto"/>
      </w:divBdr>
    </w:div>
    <w:div w:id="320282219">
      <w:bodyDiv w:val="1"/>
      <w:marLeft w:val="0"/>
      <w:marRight w:val="0"/>
      <w:marTop w:val="0"/>
      <w:marBottom w:val="0"/>
      <w:divBdr>
        <w:top w:val="none" w:sz="0" w:space="0" w:color="auto"/>
        <w:left w:val="none" w:sz="0" w:space="0" w:color="auto"/>
        <w:bottom w:val="none" w:sz="0" w:space="0" w:color="auto"/>
        <w:right w:val="none" w:sz="0" w:space="0" w:color="auto"/>
      </w:divBdr>
    </w:div>
    <w:div w:id="380597170">
      <w:bodyDiv w:val="1"/>
      <w:marLeft w:val="0"/>
      <w:marRight w:val="0"/>
      <w:marTop w:val="0"/>
      <w:marBottom w:val="0"/>
      <w:divBdr>
        <w:top w:val="none" w:sz="0" w:space="0" w:color="auto"/>
        <w:left w:val="none" w:sz="0" w:space="0" w:color="auto"/>
        <w:bottom w:val="none" w:sz="0" w:space="0" w:color="auto"/>
        <w:right w:val="none" w:sz="0" w:space="0" w:color="auto"/>
      </w:divBdr>
      <w:divsChild>
        <w:div w:id="391076491">
          <w:marLeft w:val="0"/>
          <w:marRight w:val="0"/>
          <w:marTop w:val="450"/>
          <w:marBottom w:val="450"/>
          <w:divBdr>
            <w:top w:val="none" w:sz="0" w:space="0" w:color="auto"/>
            <w:left w:val="none" w:sz="0" w:space="0" w:color="auto"/>
            <w:bottom w:val="none" w:sz="0" w:space="0" w:color="auto"/>
            <w:right w:val="none" w:sz="0" w:space="0" w:color="auto"/>
          </w:divBdr>
          <w:divsChild>
            <w:div w:id="1715157570">
              <w:marLeft w:val="0"/>
              <w:marRight w:val="0"/>
              <w:marTop w:val="0"/>
              <w:marBottom w:val="0"/>
              <w:divBdr>
                <w:top w:val="none" w:sz="0" w:space="0" w:color="auto"/>
                <w:left w:val="none" w:sz="0" w:space="0" w:color="auto"/>
                <w:bottom w:val="none" w:sz="0" w:space="0" w:color="auto"/>
                <w:right w:val="none" w:sz="0" w:space="0" w:color="auto"/>
              </w:divBdr>
              <w:divsChild>
                <w:div w:id="386104098">
                  <w:marLeft w:val="0"/>
                  <w:marRight w:val="0"/>
                  <w:marTop w:val="0"/>
                  <w:marBottom w:val="0"/>
                  <w:divBdr>
                    <w:top w:val="none" w:sz="0" w:space="0" w:color="auto"/>
                    <w:left w:val="none" w:sz="0" w:space="0" w:color="auto"/>
                    <w:bottom w:val="none" w:sz="0" w:space="0" w:color="auto"/>
                    <w:right w:val="none" w:sz="0" w:space="0" w:color="auto"/>
                  </w:divBdr>
                  <w:divsChild>
                    <w:div w:id="1566141885">
                      <w:marLeft w:val="0"/>
                      <w:marRight w:val="0"/>
                      <w:marTop w:val="0"/>
                      <w:marBottom w:val="0"/>
                      <w:divBdr>
                        <w:top w:val="none" w:sz="0" w:space="0" w:color="auto"/>
                        <w:left w:val="none" w:sz="0" w:space="0" w:color="auto"/>
                        <w:bottom w:val="none" w:sz="0" w:space="0" w:color="auto"/>
                        <w:right w:val="none" w:sz="0" w:space="0" w:color="auto"/>
                      </w:divBdr>
                      <w:divsChild>
                        <w:div w:id="15989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78945">
      <w:bodyDiv w:val="1"/>
      <w:marLeft w:val="0"/>
      <w:marRight w:val="0"/>
      <w:marTop w:val="0"/>
      <w:marBottom w:val="0"/>
      <w:divBdr>
        <w:top w:val="none" w:sz="0" w:space="0" w:color="auto"/>
        <w:left w:val="none" w:sz="0" w:space="0" w:color="auto"/>
        <w:bottom w:val="none" w:sz="0" w:space="0" w:color="auto"/>
        <w:right w:val="none" w:sz="0" w:space="0" w:color="auto"/>
      </w:divBdr>
      <w:divsChild>
        <w:div w:id="1195922886">
          <w:marLeft w:val="0"/>
          <w:marRight w:val="0"/>
          <w:marTop w:val="450"/>
          <w:marBottom w:val="450"/>
          <w:divBdr>
            <w:top w:val="none" w:sz="0" w:space="0" w:color="auto"/>
            <w:left w:val="none" w:sz="0" w:space="0" w:color="auto"/>
            <w:bottom w:val="none" w:sz="0" w:space="0" w:color="auto"/>
            <w:right w:val="none" w:sz="0" w:space="0" w:color="auto"/>
          </w:divBdr>
          <w:divsChild>
            <w:div w:id="63988691">
              <w:marLeft w:val="0"/>
              <w:marRight w:val="0"/>
              <w:marTop w:val="0"/>
              <w:marBottom w:val="0"/>
              <w:divBdr>
                <w:top w:val="none" w:sz="0" w:space="0" w:color="auto"/>
                <w:left w:val="none" w:sz="0" w:space="0" w:color="auto"/>
                <w:bottom w:val="none" w:sz="0" w:space="0" w:color="auto"/>
                <w:right w:val="none" w:sz="0" w:space="0" w:color="auto"/>
              </w:divBdr>
              <w:divsChild>
                <w:div w:id="310444512">
                  <w:marLeft w:val="0"/>
                  <w:marRight w:val="0"/>
                  <w:marTop w:val="0"/>
                  <w:marBottom w:val="0"/>
                  <w:divBdr>
                    <w:top w:val="none" w:sz="0" w:space="0" w:color="auto"/>
                    <w:left w:val="none" w:sz="0" w:space="0" w:color="auto"/>
                    <w:bottom w:val="none" w:sz="0" w:space="0" w:color="auto"/>
                    <w:right w:val="none" w:sz="0" w:space="0" w:color="auto"/>
                  </w:divBdr>
                  <w:divsChild>
                    <w:div w:id="130280988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87788">
      <w:bodyDiv w:val="1"/>
      <w:marLeft w:val="0"/>
      <w:marRight w:val="0"/>
      <w:marTop w:val="0"/>
      <w:marBottom w:val="0"/>
      <w:divBdr>
        <w:top w:val="none" w:sz="0" w:space="0" w:color="auto"/>
        <w:left w:val="none" w:sz="0" w:space="0" w:color="auto"/>
        <w:bottom w:val="none" w:sz="0" w:space="0" w:color="auto"/>
        <w:right w:val="none" w:sz="0" w:space="0" w:color="auto"/>
      </w:divBdr>
    </w:div>
    <w:div w:id="725299344">
      <w:bodyDiv w:val="1"/>
      <w:marLeft w:val="0"/>
      <w:marRight w:val="0"/>
      <w:marTop w:val="0"/>
      <w:marBottom w:val="0"/>
      <w:divBdr>
        <w:top w:val="none" w:sz="0" w:space="0" w:color="auto"/>
        <w:left w:val="none" w:sz="0" w:space="0" w:color="auto"/>
        <w:bottom w:val="none" w:sz="0" w:space="0" w:color="auto"/>
        <w:right w:val="none" w:sz="0" w:space="0" w:color="auto"/>
      </w:divBdr>
    </w:div>
    <w:div w:id="735859719">
      <w:bodyDiv w:val="1"/>
      <w:marLeft w:val="0"/>
      <w:marRight w:val="0"/>
      <w:marTop w:val="0"/>
      <w:marBottom w:val="0"/>
      <w:divBdr>
        <w:top w:val="none" w:sz="0" w:space="0" w:color="auto"/>
        <w:left w:val="none" w:sz="0" w:space="0" w:color="auto"/>
        <w:bottom w:val="none" w:sz="0" w:space="0" w:color="auto"/>
        <w:right w:val="none" w:sz="0" w:space="0" w:color="auto"/>
      </w:divBdr>
    </w:div>
    <w:div w:id="789783141">
      <w:bodyDiv w:val="1"/>
      <w:marLeft w:val="0"/>
      <w:marRight w:val="0"/>
      <w:marTop w:val="0"/>
      <w:marBottom w:val="0"/>
      <w:divBdr>
        <w:top w:val="none" w:sz="0" w:space="0" w:color="auto"/>
        <w:left w:val="none" w:sz="0" w:space="0" w:color="auto"/>
        <w:bottom w:val="none" w:sz="0" w:space="0" w:color="auto"/>
        <w:right w:val="none" w:sz="0" w:space="0" w:color="auto"/>
      </w:divBdr>
    </w:div>
    <w:div w:id="839394851">
      <w:bodyDiv w:val="1"/>
      <w:marLeft w:val="0"/>
      <w:marRight w:val="0"/>
      <w:marTop w:val="0"/>
      <w:marBottom w:val="0"/>
      <w:divBdr>
        <w:top w:val="none" w:sz="0" w:space="0" w:color="auto"/>
        <w:left w:val="none" w:sz="0" w:space="0" w:color="auto"/>
        <w:bottom w:val="none" w:sz="0" w:space="0" w:color="auto"/>
        <w:right w:val="none" w:sz="0" w:space="0" w:color="auto"/>
      </w:divBdr>
    </w:div>
    <w:div w:id="998772688">
      <w:bodyDiv w:val="1"/>
      <w:marLeft w:val="0"/>
      <w:marRight w:val="0"/>
      <w:marTop w:val="0"/>
      <w:marBottom w:val="0"/>
      <w:divBdr>
        <w:top w:val="none" w:sz="0" w:space="0" w:color="auto"/>
        <w:left w:val="none" w:sz="0" w:space="0" w:color="auto"/>
        <w:bottom w:val="none" w:sz="0" w:space="0" w:color="auto"/>
        <w:right w:val="none" w:sz="0" w:space="0" w:color="auto"/>
      </w:divBdr>
    </w:div>
    <w:div w:id="1076584796">
      <w:bodyDiv w:val="1"/>
      <w:marLeft w:val="0"/>
      <w:marRight w:val="0"/>
      <w:marTop w:val="0"/>
      <w:marBottom w:val="0"/>
      <w:divBdr>
        <w:top w:val="none" w:sz="0" w:space="0" w:color="auto"/>
        <w:left w:val="none" w:sz="0" w:space="0" w:color="auto"/>
        <w:bottom w:val="none" w:sz="0" w:space="0" w:color="auto"/>
        <w:right w:val="none" w:sz="0" w:space="0" w:color="auto"/>
      </w:divBdr>
      <w:divsChild>
        <w:div w:id="483163530">
          <w:marLeft w:val="0"/>
          <w:marRight w:val="0"/>
          <w:marTop w:val="450"/>
          <w:marBottom w:val="450"/>
          <w:divBdr>
            <w:top w:val="none" w:sz="0" w:space="0" w:color="auto"/>
            <w:left w:val="none" w:sz="0" w:space="0" w:color="auto"/>
            <w:bottom w:val="none" w:sz="0" w:space="0" w:color="auto"/>
            <w:right w:val="none" w:sz="0" w:space="0" w:color="auto"/>
          </w:divBdr>
          <w:divsChild>
            <w:div w:id="1760326865">
              <w:marLeft w:val="0"/>
              <w:marRight w:val="0"/>
              <w:marTop w:val="0"/>
              <w:marBottom w:val="0"/>
              <w:divBdr>
                <w:top w:val="none" w:sz="0" w:space="0" w:color="auto"/>
                <w:left w:val="none" w:sz="0" w:space="0" w:color="auto"/>
                <w:bottom w:val="none" w:sz="0" w:space="0" w:color="auto"/>
                <w:right w:val="none" w:sz="0" w:space="0" w:color="auto"/>
              </w:divBdr>
              <w:divsChild>
                <w:div w:id="924459630">
                  <w:marLeft w:val="0"/>
                  <w:marRight w:val="0"/>
                  <w:marTop w:val="0"/>
                  <w:marBottom w:val="0"/>
                  <w:divBdr>
                    <w:top w:val="none" w:sz="0" w:space="0" w:color="auto"/>
                    <w:left w:val="none" w:sz="0" w:space="0" w:color="auto"/>
                    <w:bottom w:val="none" w:sz="0" w:space="0" w:color="auto"/>
                    <w:right w:val="none" w:sz="0" w:space="0" w:color="auto"/>
                  </w:divBdr>
                  <w:divsChild>
                    <w:div w:id="624506481">
                      <w:marLeft w:val="0"/>
                      <w:marRight w:val="0"/>
                      <w:marTop w:val="0"/>
                      <w:marBottom w:val="0"/>
                      <w:divBdr>
                        <w:top w:val="none" w:sz="0" w:space="0" w:color="auto"/>
                        <w:left w:val="none" w:sz="0" w:space="0" w:color="auto"/>
                        <w:bottom w:val="none" w:sz="0" w:space="0" w:color="auto"/>
                        <w:right w:val="none" w:sz="0" w:space="0" w:color="auto"/>
                      </w:divBdr>
                      <w:divsChild>
                        <w:div w:id="230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64467">
      <w:bodyDiv w:val="1"/>
      <w:marLeft w:val="0"/>
      <w:marRight w:val="0"/>
      <w:marTop w:val="0"/>
      <w:marBottom w:val="0"/>
      <w:divBdr>
        <w:top w:val="none" w:sz="0" w:space="0" w:color="auto"/>
        <w:left w:val="none" w:sz="0" w:space="0" w:color="auto"/>
        <w:bottom w:val="none" w:sz="0" w:space="0" w:color="auto"/>
        <w:right w:val="none" w:sz="0" w:space="0" w:color="auto"/>
      </w:divBdr>
    </w:div>
    <w:div w:id="1325546018">
      <w:bodyDiv w:val="1"/>
      <w:marLeft w:val="0"/>
      <w:marRight w:val="0"/>
      <w:marTop w:val="0"/>
      <w:marBottom w:val="0"/>
      <w:divBdr>
        <w:top w:val="none" w:sz="0" w:space="0" w:color="auto"/>
        <w:left w:val="none" w:sz="0" w:space="0" w:color="auto"/>
        <w:bottom w:val="none" w:sz="0" w:space="0" w:color="auto"/>
        <w:right w:val="none" w:sz="0" w:space="0" w:color="auto"/>
      </w:divBdr>
    </w:div>
    <w:div w:id="1465199261">
      <w:bodyDiv w:val="1"/>
      <w:marLeft w:val="0"/>
      <w:marRight w:val="0"/>
      <w:marTop w:val="0"/>
      <w:marBottom w:val="0"/>
      <w:divBdr>
        <w:top w:val="none" w:sz="0" w:space="0" w:color="auto"/>
        <w:left w:val="none" w:sz="0" w:space="0" w:color="auto"/>
        <w:bottom w:val="none" w:sz="0" w:space="0" w:color="auto"/>
        <w:right w:val="none" w:sz="0" w:space="0" w:color="auto"/>
      </w:divBdr>
      <w:divsChild>
        <w:div w:id="918369669">
          <w:marLeft w:val="0"/>
          <w:marRight w:val="0"/>
          <w:marTop w:val="450"/>
          <w:marBottom w:val="450"/>
          <w:divBdr>
            <w:top w:val="none" w:sz="0" w:space="0" w:color="auto"/>
            <w:left w:val="none" w:sz="0" w:space="0" w:color="auto"/>
            <w:bottom w:val="none" w:sz="0" w:space="0" w:color="auto"/>
            <w:right w:val="none" w:sz="0" w:space="0" w:color="auto"/>
          </w:divBdr>
          <w:divsChild>
            <w:div w:id="607934218">
              <w:marLeft w:val="0"/>
              <w:marRight w:val="0"/>
              <w:marTop w:val="0"/>
              <w:marBottom w:val="0"/>
              <w:divBdr>
                <w:top w:val="none" w:sz="0" w:space="0" w:color="auto"/>
                <w:left w:val="none" w:sz="0" w:space="0" w:color="auto"/>
                <w:bottom w:val="none" w:sz="0" w:space="0" w:color="auto"/>
                <w:right w:val="none" w:sz="0" w:space="0" w:color="auto"/>
              </w:divBdr>
              <w:divsChild>
                <w:div w:id="189296725">
                  <w:marLeft w:val="0"/>
                  <w:marRight w:val="0"/>
                  <w:marTop w:val="0"/>
                  <w:marBottom w:val="0"/>
                  <w:divBdr>
                    <w:top w:val="none" w:sz="0" w:space="0" w:color="auto"/>
                    <w:left w:val="none" w:sz="0" w:space="0" w:color="auto"/>
                    <w:bottom w:val="none" w:sz="0" w:space="0" w:color="auto"/>
                    <w:right w:val="none" w:sz="0" w:space="0" w:color="auto"/>
                  </w:divBdr>
                  <w:divsChild>
                    <w:div w:id="787237526">
                      <w:marLeft w:val="0"/>
                      <w:marRight w:val="0"/>
                      <w:marTop w:val="0"/>
                      <w:marBottom w:val="0"/>
                      <w:divBdr>
                        <w:top w:val="none" w:sz="0" w:space="0" w:color="auto"/>
                        <w:left w:val="none" w:sz="0" w:space="0" w:color="auto"/>
                        <w:bottom w:val="none" w:sz="0" w:space="0" w:color="auto"/>
                        <w:right w:val="none" w:sz="0" w:space="0" w:color="auto"/>
                      </w:divBdr>
                      <w:divsChild>
                        <w:div w:id="269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98986">
      <w:bodyDiv w:val="1"/>
      <w:marLeft w:val="0"/>
      <w:marRight w:val="0"/>
      <w:marTop w:val="0"/>
      <w:marBottom w:val="0"/>
      <w:divBdr>
        <w:top w:val="none" w:sz="0" w:space="0" w:color="auto"/>
        <w:left w:val="none" w:sz="0" w:space="0" w:color="auto"/>
        <w:bottom w:val="none" w:sz="0" w:space="0" w:color="auto"/>
        <w:right w:val="none" w:sz="0" w:space="0" w:color="auto"/>
      </w:divBdr>
    </w:div>
    <w:div w:id="1707756272">
      <w:bodyDiv w:val="1"/>
      <w:marLeft w:val="0"/>
      <w:marRight w:val="0"/>
      <w:marTop w:val="0"/>
      <w:marBottom w:val="0"/>
      <w:divBdr>
        <w:top w:val="none" w:sz="0" w:space="0" w:color="auto"/>
        <w:left w:val="none" w:sz="0" w:space="0" w:color="auto"/>
        <w:bottom w:val="none" w:sz="0" w:space="0" w:color="auto"/>
        <w:right w:val="none" w:sz="0" w:space="0" w:color="auto"/>
      </w:divBdr>
    </w:div>
    <w:div w:id="1839618667">
      <w:bodyDiv w:val="1"/>
      <w:marLeft w:val="0"/>
      <w:marRight w:val="0"/>
      <w:marTop w:val="0"/>
      <w:marBottom w:val="0"/>
      <w:divBdr>
        <w:top w:val="none" w:sz="0" w:space="0" w:color="auto"/>
        <w:left w:val="none" w:sz="0" w:space="0" w:color="auto"/>
        <w:bottom w:val="none" w:sz="0" w:space="0" w:color="auto"/>
        <w:right w:val="none" w:sz="0" w:space="0" w:color="auto"/>
      </w:divBdr>
    </w:div>
    <w:div w:id="1936084628">
      <w:bodyDiv w:val="1"/>
      <w:marLeft w:val="0"/>
      <w:marRight w:val="0"/>
      <w:marTop w:val="0"/>
      <w:marBottom w:val="0"/>
      <w:divBdr>
        <w:top w:val="none" w:sz="0" w:space="0" w:color="auto"/>
        <w:left w:val="none" w:sz="0" w:space="0" w:color="auto"/>
        <w:bottom w:val="none" w:sz="0" w:space="0" w:color="auto"/>
        <w:right w:val="none" w:sz="0" w:space="0" w:color="auto"/>
      </w:divBdr>
      <w:divsChild>
        <w:div w:id="383532049">
          <w:marLeft w:val="0"/>
          <w:marRight w:val="0"/>
          <w:marTop w:val="450"/>
          <w:marBottom w:val="450"/>
          <w:divBdr>
            <w:top w:val="none" w:sz="0" w:space="0" w:color="auto"/>
            <w:left w:val="none" w:sz="0" w:space="0" w:color="auto"/>
            <w:bottom w:val="none" w:sz="0" w:space="0" w:color="auto"/>
            <w:right w:val="none" w:sz="0" w:space="0" w:color="auto"/>
          </w:divBdr>
          <w:divsChild>
            <w:div w:id="1572813041">
              <w:marLeft w:val="0"/>
              <w:marRight w:val="0"/>
              <w:marTop w:val="0"/>
              <w:marBottom w:val="0"/>
              <w:divBdr>
                <w:top w:val="none" w:sz="0" w:space="0" w:color="auto"/>
                <w:left w:val="none" w:sz="0" w:space="0" w:color="auto"/>
                <w:bottom w:val="none" w:sz="0" w:space="0" w:color="auto"/>
                <w:right w:val="none" w:sz="0" w:space="0" w:color="auto"/>
              </w:divBdr>
              <w:divsChild>
                <w:div w:id="1114863103">
                  <w:marLeft w:val="0"/>
                  <w:marRight w:val="0"/>
                  <w:marTop w:val="0"/>
                  <w:marBottom w:val="0"/>
                  <w:divBdr>
                    <w:top w:val="none" w:sz="0" w:space="0" w:color="auto"/>
                    <w:left w:val="none" w:sz="0" w:space="0" w:color="auto"/>
                    <w:bottom w:val="none" w:sz="0" w:space="0" w:color="auto"/>
                    <w:right w:val="none" w:sz="0" w:space="0" w:color="auto"/>
                  </w:divBdr>
                  <w:divsChild>
                    <w:div w:id="888610246">
                      <w:marLeft w:val="0"/>
                      <w:marRight w:val="0"/>
                      <w:marTop w:val="0"/>
                      <w:marBottom w:val="0"/>
                      <w:divBdr>
                        <w:top w:val="none" w:sz="0" w:space="0" w:color="auto"/>
                        <w:left w:val="none" w:sz="0" w:space="0" w:color="auto"/>
                        <w:bottom w:val="none" w:sz="0" w:space="0" w:color="auto"/>
                        <w:right w:val="none" w:sz="0" w:space="0" w:color="auto"/>
                      </w:divBdr>
                      <w:divsChild>
                        <w:div w:id="1875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24413">
      <w:bodyDiv w:val="1"/>
      <w:marLeft w:val="0"/>
      <w:marRight w:val="0"/>
      <w:marTop w:val="0"/>
      <w:marBottom w:val="0"/>
      <w:divBdr>
        <w:top w:val="none" w:sz="0" w:space="0" w:color="auto"/>
        <w:left w:val="none" w:sz="0" w:space="0" w:color="auto"/>
        <w:bottom w:val="none" w:sz="0" w:space="0" w:color="auto"/>
        <w:right w:val="none" w:sz="0" w:space="0" w:color="auto"/>
      </w:divBdr>
    </w:div>
    <w:div w:id="21251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4571</Characters>
  <Application>Microsoft Office Word</Application>
  <DocSecurity>4</DocSecurity>
  <Lines>38</Lines>
  <Paragraphs>10</Paragraphs>
  <ScaleCrop>false</ScaleCrop>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zhangchunying</dc:creator>
  <cp:lastModifiedBy>JonMMx 2000</cp:lastModifiedBy>
  <cp:revision>2</cp:revision>
  <cp:lastPrinted>2020-04-15T03:07:00Z</cp:lastPrinted>
  <dcterms:created xsi:type="dcterms:W3CDTF">2020-04-19T16:01:00Z</dcterms:created>
  <dcterms:modified xsi:type="dcterms:W3CDTF">2020-04-19T16:01:00Z</dcterms:modified>
</cp:coreProperties>
</file>