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0008F">
      <w:pPr>
        <w:jc w:val="center"/>
        <w:rPr>
          <w:rFonts w:ascii="宋体" w:hAnsi="宋体" w:hint="eastAsia"/>
          <w:b/>
          <w:sz w:val="48"/>
          <w:szCs w:val="48"/>
        </w:rPr>
      </w:pPr>
      <w:bookmarkStart w:id="0" w:name="t_2_0_table"/>
      <w:bookmarkEnd w:id="0"/>
      <w:r>
        <w:rPr>
          <w:rFonts w:ascii="宋体" w:hAnsi="宋体" w:hint="eastAsia"/>
          <w:b/>
          <w:sz w:val="48"/>
          <w:szCs w:val="48"/>
        </w:rPr>
        <w:t>泰达宏利中证主要消费红利指数型证券投资基金开放申购、赎回、转换及定期定额投资业务的公告</w:t>
      </w:r>
    </w:p>
    <w:p w:rsidR="003F2B07" w:rsidRPr="0030008F" w:rsidRDefault="003F2B07">
      <w:pPr>
        <w:jc w:val="center"/>
        <w:rPr>
          <w:rFonts w:ascii="宋体" w:hAnsi="宋体" w:hint="eastAsia"/>
          <w:sz w:val="30"/>
          <w:szCs w:val="30"/>
        </w:rPr>
      </w:pPr>
    </w:p>
    <w:p w:rsidR="003F2B07" w:rsidRDefault="003F2B07">
      <w:pPr>
        <w:jc w:val="center"/>
        <w:rPr>
          <w:rFonts w:ascii="宋体" w:hAnsi="宋体" w:hint="eastAsia"/>
          <w:sz w:val="30"/>
          <w:szCs w:val="30"/>
        </w:rPr>
      </w:pPr>
      <w:bookmarkStart w:id="1" w:name="t_2_0_0002_a2_fm1"/>
      <w:bookmarkEnd w:id="1"/>
    </w:p>
    <w:p w:rsidR="003F2B07" w:rsidRDefault="003F2B07">
      <w:pPr>
        <w:jc w:val="center"/>
        <w:rPr>
          <w:rFonts w:ascii="宋体" w:hAnsi="宋体" w:hint="eastAsia"/>
          <w:sz w:val="30"/>
          <w:szCs w:val="30"/>
        </w:rPr>
      </w:pPr>
    </w:p>
    <w:p w:rsidR="003F2B07" w:rsidRDefault="003F2B07">
      <w:pPr>
        <w:jc w:val="center"/>
        <w:rPr>
          <w:rFonts w:ascii="宋体" w:hAnsi="宋体" w:hint="eastAsia"/>
          <w:sz w:val="30"/>
          <w:szCs w:val="30"/>
        </w:rPr>
      </w:pPr>
    </w:p>
    <w:p w:rsidR="003F2B07" w:rsidRDefault="003F2B07">
      <w:pPr>
        <w:jc w:val="center"/>
        <w:rPr>
          <w:rFonts w:ascii="宋体" w:hAnsi="宋体" w:hint="eastAsia"/>
          <w:sz w:val="30"/>
          <w:szCs w:val="30"/>
        </w:rPr>
      </w:pPr>
    </w:p>
    <w:p w:rsidR="003F2B07" w:rsidRDefault="003F2B07">
      <w:pPr>
        <w:jc w:val="center"/>
        <w:rPr>
          <w:rFonts w:ascii="宋体" w:hAnsi="宋体" w:hint="eastAsia"/>
          <w:sz w:val="30"/>
          <w:szCs w:val="30"/>
        </w:rPr>
      </w:pP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F2B07">
      <w:pPr>
        <w:ind w:left="2100" w:firstLine="420"/>
        <w:rPr>
          <w:rFonts w:ascii="宋体" w:hAnsi="宋体" w:hint="eastAsia"/>
          <w:b/>
          <w:sz w:val="28"/>
          <w:szCs w:val="28"/>
        </w:rPr>
      </w:pPr>
      <w:r>
        <w:rPr>
          <w:rFonts w:ascii="宋体" w:hAnsi="宋体" w:hint="eastAsia"/>
          <w:b/>
          <w:sz w:val="28"/>
          <w:szCs w:val="28"/>
        </w:rPr>
        <w:t>公告</w:t>
      </w:r>
      <w:r>
        <w:rPr>
          <w:rFonts w:ascii="宋体" w:hAnsi="宋体"/>
          <w:b/>
          <w:sz w:val="28"/>
          <w:szCs w:val="28"/>
        </w:rPr>
        <w:t>送出日期：</w:t>
      </w:r>
      <w:bookmarkStart w:id="2" w:name="t_2_0_0003_a1_fm1"/>
      <w:bookmarkEnd w:id="2"/>
      <w:r w:rsidR="0030008F">
        <w:rPr>
          <w:rFonts w:ascii="宋体" w:hAnsi="宋体"/>
          <w:b/>
          <w:sz w:val="28"/>
          <w:szCs w:val="28"/>
        </w:rPr>
        <w:t>2020年4月16日</w:t>
      </w:r>
    </w:p>
    <w:p w:rsidR="003F2B07" w:rsidRDefault="003F2B07">
      <w:pPr>
        <w:rPr>
          <w:rFonts w:hint="eastAsia"/>
          <w:sz w:val="24"/>
        </w:rPr>
      </w:pPr>
    </w:p>
    <w:p w:rsidR="003F2B07" w:rsidRDefault="003F2B07">
      <w:pPr>
        <w:rPr>
          <w:rFonts w:hint="eastAsia"/>
          <w:sz w:val="24"/>
        </w:rPr>
      </w:pPr>
    </w:p>
    <w:p w:rsidR="003F2B07" w:rsidRDefault="003F2B07">
      <w:pPr>
        <w:rPr>
          <w:rFonts w:hint="eastAsia"/>
        </w:rPr>
      </w:pPr>
    </w:p>
    <w:p w:rsidR="003F2B07" w:rsidRDefault="003F2B07" w:rsidP="0090786B">
      <w:pPr>
        <w:pStyle w:val="2"/>
        <w:numPr>
          <w:ilvl w:val="0"/>
          <w:numId w:val="1"/>
        </w:numPr>
        <w:spacing w:beforeLines="50" w:afterLines="50" w:line="240" w:lineRule="auto"/>
        <w:jc w:val="left"/>
        <w:rPr>
          <w:rFonts w:ascii="宋体" w:eastAsia="宋体" w:hAnsi="宋体" w:hint="eastAsia"/>
          <w:bCs/>
          <w:sz w:val="24"/>
          <w:szCs w:val="24"/>
        </w:rPr>
      </w:pPr>
      <w:bookmarkStart w:id="3" w:name="t_2_1_table"/>
      <w:bookmarkStart w:id="4" w:name="m01"/>
      <w:bookmarkEnd w:id="3"/>
      <w:r>
        <w:rPr>
          <w:rFonts w:ascii="宋体" w:eastAsia="宋体" w:hAnsi="宋体" w:hint="eastAsia"/>
          <w:bCs/>
          <w:sz w:val="24"/>
          <w:szCs w:val="24"/>
        </w:rPr>
        <w:lastRenderedPageBreak/>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2323"/>
        <w:gridCol w:w="2537"/>
      </w:tblGrid>
      <w:tr w:rsidR="003F2B07" w:rsidTr="0030008F">
        <w:tc>
          <w:tcPr>
            <w:tcW w:w="3960" w:type="dxa"/>
          </w:tcPr>
          <w:p w:rsidR="003F2B07" w:rsidRDefault="003F2B07">
            <w:pPr>
              <w:rPr>
                <w:rFonts w:ascii="宋体" w:hAnsi="宋体" w:hint="eastAsia"/>
                <w:szCs w:val="21"/>
              </w:rPr>
            </w:pPr>
            <w:bookmarkStart w:id="5" w:name="m01_tab"/>
            <w:r>
              <w:rPr>
                <w:rFonts w:ascii="宋体" w:hAnsi="宋体" w:hint="eastAsia"/>
                <w:szCs w:val="21"/>
              </w:rPr>
              <w:t>基金名称</w:t>
            </w:r>
          </w:p>
        </w:tc>
        <w:tc>
          <w:tcPr>
            <w:tcW w:w="4860" w:type="dxa"/>
            <w:gridSpan w:val="2"/>
          </w:tcPr>
          <w:p w:rsidR="003F2B07" w:rsidRDefault="0030008F">
            <w:pPr>
              <w:rPr>
                <w:rFonts w:ascii="宋体" w:hAnsi="宋体" w:hint="eastAsia"/>
                <w:szCs w:val="21"/>
              </w:rPr>
            </w:pPr>
            <w:bookmarkStart w:id="6" w:name="t_2_1_0009_a1_fm1"/>
            <w:bookmarkEnd w:id="6"/>
            <w:r>
              <w:rPr>
                <w:rFonts w:ascii="宋体" w:hAnsi="宋体" w:hint="eastAsia"/>
                <w:szCs w:val="21"/>
              </w:rPr>
              <w:t>泰达宏利中证主要消费红利指数型证券投资基金</w:t>
            </w:r>
          </w:p>
        </w:tc>
      </w:tr>
      <w:tr w:rsidR="003F2B07" w:rsidTr="0030008F">
        <w:tc>
          <w:tcPr>
            <w:tcW w:w="3960" w:type="dxa"/>
          </w:tcPr>
          <w:p w:rsidR="003F2B07" w:rsidRDefault="003F2B07">
            <w:pPr>
              <w:rPr>
                <w:rFonts w:ascii="宋体" w:hAnsi="宋体" w:hint="eastAsia"/>
                <w:szCs w:val="21"/>
              </w:rPr>
            </w:pPr>
            <w:r>
              <w:rPr>
                <w:rFonts w:ascii="宋体" w:hAnsi="宋体" w:hint="eastAsia"/>
                <w:szCs w:val="21"/>
              </w:rPr>
              <w:t>基金简称</w:t>
            </w:r>
          </w:p>
        </w:tc>
        <w:tc>
          <w:tcPr>
            <w:tcW w:w="4860" w:type="dxa"/>
            <w:gridSpan w:val="2"/>
          </w:tcPr>
          <w:p w:rsidR="003F2B07" w:rsidRDefault="0030008F">
            <w:pPr>
              <w:rPr>
                <w:rFonts w:ascii="宋体" w:hAnsi="宋体" w:hint="eastAsia"/>
                <w:szCs w:val="21"/>
              </w:rPr>
            </w:pPr>
            <w:bookmarkStart w:id="7" w:name="t_2_1_0011_a1_fm1"/>
            <w:bookmarkEnd w:id="7"/>
            <w:r>
              <w:rPr>
                <w:rFonts w:ascii="宋体" w:hAnsi="宋体" w:hint="eastAsia"/>
                <w:szCs w:val="21"/>
              </w:rPr>
              <w:t>泰达消费红利指数</w:t>
            </w:r>
          </w:p>
        </w:tc>
      </w:tr>
      <w:tr w:rsidR="003F2B07" w:rsidTr="0030008F">
        <w:tc>
          <w:tcPr>
            <w:tcW w:w="3960" w:type="dxa"/>
          </w:tcPr>
          <w:p w:rsidR="003F2B07" w:rsidRDefault="003F2B07">
            <w:pPr>
              <w:rPr>
                <w:rFonts w:ascii="宋体" w:hAnsi="宋体" w:hint="eastAsia"/>
                <w:szCs w:val="21"/>
              </w:rPr>
            </w:pPr>
            <w:r>
              <w:rPr>
                <w:rFonts w:ascii="宋体" w:hAnsi="宋体" w:hint="eastAsia"/>
                <w:szCs w:val="21"/>
              </w:rPr>
              <w:t>基金主代码</w:t>
            </w:r>
          </w:p>
        </w:tc>
        <w:tc>
          <w:tcPr>
            <w:tcW w:w="4860" w:type="dxa"/>
            <w:gridSpan w:val="2"/>
          </w:tcPr>
          <w:p w:rsidR="003F2B07" w:rsidRDefault="0030008F">
            <w:pPr>
              <w:rPr>
                <w:rFonts w:ascii="宋体" w:hAnsi="宋体" w:hint="eastAsia"/>
                <w:szCs w:val="21"/>
              </w:rPr>
            </w:pPr>
            <w:bookmarkStart w:id="8" w:name="t_2_1_0012_a1_fm1"/>
            <w:bookmarkEnd w:id="8"/>
            <w:r>
              <w:rPr>
                <w:rFonts w:ascii="宋体" w:hAnsi="宋体"/>
                <w:szCs w:val="21"/>
              </w:rPr>
              <w:t>008928</w:t>
            </w:r>
          </w:p>
        </w:tc>
      </w:tr>
      <w:tr w:rsidR="003F2B07" w:rsidTr="0030008F">
        <w:tc>
          <w:tcPr>
            <w:tcW w:w="3960" w:type="dxa"/>
          </w:tcPr>
          <w:p w:rsidR="003F2B07" w:rsidRDefault="003F2B07">
            <w:pPr>
              <w:rPr>
                <w:rFonts w:ascii="宋体" w:hAnsi="宋体" w:hint="eastAsia"/>
                <w:szCs w:val="21"/>
              </w:rPr>
            </w:pPr>
            <w:r>
              <w:rPr>
                <w:rFonts w:ascii="宋体" w:hAnsi="宋体" w:hint="eastAsia"/>
                <w:szCs w:val="21"/>
              </w:rPr>
              <w:t>基金运作方式</w:t>
            </w:r>
          </w:p>
        </w:tc>
        <w:tc>
          <w:tcPr>
            <w:tcW w:w="4860" w:type="dxa"/>
            <w:gridSpan w:val="2"/>
          </w:tcPr>
          <w:p w:rsidR="003F2B07" w:rsidRDefault="0030008F">
            <w:pPr>
              <w:rPr>
                <w:rFonts w:ascii="宋体" w:hAnsi="宋体" w:hint="eastAsia"/>
                <w:szCs w:val="21"/>
              </w:rPr>
            </w:pPr>
            <w:bookmarkStart w:id="9" w:name="t_2_1_0017_a1_fm1"/>
            <w:bookmarkEnd w:id="9"/>
            <w:r>
              <w:rPr>
                <w:rFonts w:ascii="宋体" w:hAnsi="宋体" w:hint="eastAsia"/>
                <w:szCs w:val="21"/>
              </w:rPr>
              <w:t>契约型开放式</w:t>
            </w:r>
          </w:p>
        </w:tc>
      </w:tr>
      <w:tr w:rsidR="003F2B07" w:rsidTr="0030008F">
        <w:tc>
          <w:tcPr>
            <w:tcW w:w="3960" w:type="dxa"/>
          </w:tcPr>
          <w:p w:rsidR="003F2B07" w:rsidRDefault="003F2B07">
            <w:pPr>
              <w:rPr>
                <w:rFonts w:ascii="宋体" w:hAnsi="宋体" w:hint="eastAsia"/>
                <w:szCs w:val="21"/>
              </w:rPr>
            </w:pPr>
            <w:r>
              <w:rPr>
                <w:rFonts w:ascii="宋体" w:hAnsi="宋体" w:hint="eastAsia"/>
                <w:szCs w:val="21"/>
              </w:rPr>
              <w:t>基金合同生效日</w:t>
            </w:r>
          </w:p>
        </w:tc>
        <w:tc>
          <w:tcPr>
            <w:tcW w:w="4860" w:type="dxa"/>
            <w:gridSpan w:val="2"/>
          </w:tcPr>
          <w:p w:rsidR="003F2B07" w:rsidRDefault="0030008F">
            <w:pPr>
              <w:rPr>
                <w:rFonts w:ascii="宋体" w:hAnsi="宋体" w:hint="eastAsia"/>
                <w:szCs w:val="21"/>
              </w:rPr>
            </w:pPr>
            <w:bookmarkStart w:id="10" w:name="t_2_1_0018_a1_fm1"/>
            <w:bookmarkEnd w:id="10"/>
            <w:r>
              <w:rPr>
                <w:rFonts w:ascii="宋体" w:hAnsi="宋体"/>
                <w:szCs w:val="21"/>
              </w:rPr>
              <w:t>2020年3月26日</w:t>
            </w:r>
          </w:p>
        </w:tc>
      </w:tr>
      <w:tr w:rsidR="003F2B07" w:rsidTr="0030008F">
        <w:tc>
          <w:tcPr>
            <w:tcW w:w="3960" w:type="dxa"/>
          </w:tcPr>
          <w:p w:rsidR="003F2B07" w:rsidRDefault="003F2B07">
            <w:pPr>
              <w:rPr>
                <w:rFonts w:ascii="宋体" w:hAnsi="宋体" w:hint="eastAsia"/>
                <w:szCs w:val="21"/>
              </w:rPr>
            </w:pPr>
            <w:r>
              <w:rPr>
                <w:rFonts w:ascii="宋体" w:hAnsi="宋体" w:hint="eastAsia"/>
                <w:szCs w:val="21"/>
              </w:rPr>
              <w:t>基金管理人名称</w:t>
            </w:r>
          </w:p>
        </w:tc>
        <w:tc>
          <w:tcPr>
            <w:tcW w:w="4860" w:type="dxa"/>
            <w:gridSpan w:val="2"/>
          </w:tcPr>
          <w:p w:rsidR="003F2B07" w:rsidRDefault="0030008F">
            <w:pPr>
              <w:rPr>
                <w:rFonts w:ascii="宋体" w:hAnsi="宋体" w:hint="eastAsia"/>
                <w:szCs w:val="21"/>
              </w:rPr>
            </w:pPr>
            <w:bookmarkStart w:id="11" w:name="t_2_1_0186_a1_fm1"/>
            <w:bookmarkEnd w:id="11"/>
            <w:r>
              <w:rPr>
                <w:rFonts w:ascii="宋体" w:hAnsi="宋体" w:hint="eastAsia"/>
                <w:szCs w:val="21"/>
              </w:rPr>
              <w:t>泰达宏利基金管理有限公司</w:t>
            </w:r>
          </w:p>
        </w:tc>
      </w:tr>
      <w:tr w:rsidR="003F2B07" w:rsidTr="0030008F">
        <w:tc>
          <w:tcPr>
            <w:tcW w:w="3960" w:type="dxa"/>
          </w:tcPr>
          <w:p w:rsidR="003F2B07" w:rsidRDefault="003F2B07">
            <w:pPr>
              <w:rPr>
                <w:rFonts w:ascii="宋体" w:hAnsi="宋体" w:hint="eastAsia"/>
                <w:szCs w:val="21"/>
              </w:rPr>
            </w:pPr>
            <w:r>
              <w:rPr>
                <w:rFonts w:ascii="宋体" w:hAnsi="宋体" w:hint="eastAsia"/>
                <w:szCs w:val="21"/>
              </w:rPr>
              <w:t>基金托管人名称</w:t>
            </w:r>
          </w:p>
        </w:tc>
        <w:tc>
          <w:tcPr>
            <w:tcW w:w="4860" w:type="dxa"/>
            <w:gridSpan w:val="2"/>
          </w:tcPr>
          <w:p w:rsidR="003F2B07" w:rsidRDefault="0030008F">
            <w:pPr>
              <w:rPr>
                <w:rFonts w:ascii="宋体" w:hAnsi="宋体" w:hint="eastAsia"/>
                <w:szCs w:val="21"/>
              </w:rPr>
            </w:pPr>
            <w:bookmarkStart w:id="12" w:name="t_2_1_0213_a1_fm1"/>
            <w:bookmarkEnd w:id="12"/>
            <w:r>
              <w:rPr>
                <w:rFonts w:ascii="宋体" w:hAnsi="宋体" w:hint="eastAsia"/>
                <w:szCs w:val="21"/>
              </w:rPr>
              <w:t>中国农业银行股份有限公司</w:t>
            </w:r>
          </w:p>
        </w:tc>
      </w:tr>
      <w:tr w:rsidR="003F2B07" w:rsidTr="0030008F">
        <w:tc>
          <w:tcPr>
            <w:tcW w:w="3960" w:type="dxa"/>
          </w:tcPr>
          <w:p w:rsidR="003F2B07" w:rsidRDefault="003F2B07">
            <w:pPr>
              <w:rPr>
                <w:rFonts w:ascii="宋体" w:hAnsi="宋体" w:hint="eastAsia"/>
                <w:szCs w:val="21"/>
              </w:rPr>
            </w:pPr>
            <w:r>
              <w:rPr>
                <w:rFonts w:ascii="宋体" w:hAnsi="宋体" w:hint="eastAsia"/>
                <w:szCs w:val="21"/>
              </w:rPr>
              <w:t>基金注册登记机构名称</w:t>
            </w:r>
          </w:p>
        </w:tc>
        <w:tc>
          <w:tcPr>
            <w:tcW w:w="4860" w:type="dxa"/>
            <w:gridSpan w:val="2"/>
          </w:tcPr>
          <w:p w:rsidR="003F2B07" w:rsidRDefault="0030008F">
            <w:pPr>
              <w:rPr>
                <w:rFonts w:ascii="宋体" w:hAnsi="宋体" w:hint="eastAsia"/>
                <w:szCs w:val="21"/>
              </w:rPr>
            </w:pPr>
            <w:bookmarkStart w:id="13" w:name="t_2_1_0310_a1_fm1"/>
            <w:bookmarkEnd w:id="13"/>
            <w:r>
              <w:rPr>
                <w:rFonts w:ascii="宋体" w:hAnsi="宋体" w:hint="eastAsia"/>
                <w:szCs w:val="21"/>
              </w:rPr>
              <w:t>泰达宏利基金管理有限公司</w:t>
            </w:r>
          </w:p>
        </w:tc>
      </w:tr>
      <w:tr w:rsidR="003F2B07" w:rsidTr="0030008F">
        <w:tc>
          <w:tcPr>
            <w:tcW w:w="3960" w:type="dxa"/>
          </w:tcPr>
          <w:p w:rsidR="003F2B07" w:rsidRDefault="003F2B07">
            <w:pPr>
              <w:rPr>
                <w:rFonts w:ascii="宋体" w:hAnsi="宋体" w:hint="eastAsia"/>
                <w:szCs w:val="21"/>
              </w:rPr>
            </w:pPr>
            <w:r>
              <w:rPr>
                <w:rFonts w:ascii="宋体" w:hAnsi="宋体" w:hint="eastAsia"/>
                <w:szCs w:val="21"/>
              </w:rPr>
              <w:t>公告依据</w:t>
            </w:r>
          </w:p>
        </w:tc>
        <w:tc>
          <w:tcPr>
            <w:tcW w:w="4860" w:type="dxa"/>
            <w:gridSpan w:val="2"/>
          </w:tcPr>
          <w:p w:rsidR="003F2B07" w:rsidRDefault="0030008F">
            <w:pPr>
              <w:rPr>
                <w:rFonts w:ascii="宋体" w:hAnsi="宋体" w:hint="eastAsia"/>
                <w:szCs w:val="21"/>
              </w:rPr>
            </w:pPr>
            <w:bookmarkStart w:id="14" w:name="t_2_1_2631_a1_fm1"/>
            <w:bookmarkEnd w:id="14"/>
            <w:r>
              <w:rPr>
                <w:rFonts w:ascii="宋体" w:hAnsi="宋体" w:hint="eastAsia"/>
                <w:szCs w:val="21"/>
              </w:rPr>
              <w:t>《泰达宏利中证主要消费红利指数型证券投资基金基金合同》（以下简称基金合同）、《泰达宏利中证主要消费红利指数型证券投资基金招募说明书》（以下简称招募说明书）</w:t>
            </w:r>
          </w:p>
        </w:tc>
      </w:tr>
      <w:tr w:rsidR="003F2B07" w:rsidTr="0030008F">
        <w:tc>
          <w:tcPr>
            <w:tcW w:w="3960" w:type="dxa"/>
          </w:tcPr>
          <w:p w:rsidR="003F2B07" w:rsidRDefault="003F2B07">
            <w:pPr>
              <w:rPr>
                <w:rFonts w:ascii="宋体" w:hAnsi="宋体" w:hint="eastAsia"/>
                <w:szCs w:val="21"/>
              </w:rPr>
            </w:pPr>
            <w:r>
              <w:rPr>
                <w:rFonts w:ascii="宋体" w:hAnsi="宋体" w:hint="eastAsia"/>
                <w:szCs w:val="21"/>
              </w:rPr>
              <w:t>申购起始日</w:t>
            </w:r>
          </w:p>
        </w:tc>
        <w:tc>
          <w:tcPr>
            <w:tcW w:w="4860" w:type="dxa"/>
            <w:gridSpan w:val="2"/>
          </w:tcPr>
          <w:p w:rsidR="003F2B07" w:rsidRDefault="0030008F">
            <w:pPr>
              <w:rPr>
                <w:rFonts w:ascii="宋体" w:hAnsi="宋体" w:hint="eastAsia"/>
                <w:szCs w:val="21"/>
              </w:rPr>
            </w:pPr>
            <w:bookmarkStart w:id="15" w:name="t_2_1_2660_a1_fm1"/>
            <w:bookmarkEnd w:id="15"/>
            <w:r>
              <w:rPr>
                <w:rFonts w:ascii="宋体" w:hAnsi="宋体"/>
                <w:szCs w:val="21"/>
              </w:rPr>
              <w:t>2020年4月20日</w:t>
            </w:r>
          </w:p>
        </w:tc>
      </w:tr>
      <w:tr w:rsidR="003F2B07" w:rsidTr="0030008F">
        <w:tc>
          <w:tcPr>
            <w:tcW w:w="3960" w:type="dxa"/>
          </w:tcPr>
          <w:p w:rsidR="003F2B07" w:rsidRDefault="003F2B07">
            <w:pPr>
              <w:rPr>
                <w:rFonts w:ascii="宋体" w:hAnsi="宋体" w:hint="eastAsia"/>
                <w:szCs w:val="21"/>
              </w:rPr>
            </w:pPr>
            <w:r>
              <w:rPr>
                <w:rFonts w:ascii="宋体" w:hAnsi="宋体" w:hint="eastAsia"/>
                <w:szCs w:val="21"/>
              </w:rPr>
              <w:t>赎回起始日</w:t>
            </w:r>
          </w:p>
        </w:tc>
        <w:tc>
          <w:tcPr>
            <w:tcW w:w="4860" w:type="dxa"/>
            <w:gridSpan w:val="2"/>
          </w:tcPr>
          <w:p w:rsidR="003F2B07" w:rsidRDefault="0030008F">
            <w:pPr>
              <w:rPr>
                <w:rFonts w:ascii="宋体" w:hAnsi="宋体" w:hint="eastAsia"/>
                <w:szCs w:val="21"/>
              </w:rPr>
            </w:pPr>
            <w:bookmarkStart w:id="16" w:name="t_2_1_2661_a1_fm1"/>
            <w:bookmarkEnd w:id="16"/>
            <w:r>
              <w:rPr>
                <w:rFonts w:ascii="宋体" w:hAnsi="宋体"/>
                <w:szCs w:val="21"/>
              </w:rPr>
              <w:t>2020年4月20日</w:t>
            </w:r>
          </w:p>
        </w:tc>
      </w:tr>
      <w:tr w:rsidR="003F2B07" w:rsidTr="0030008F">
        <w:tc>
          <w:tcPr>
            <w:tcW w:w="3960" w:type="dxa"/>
          </w:tcPr>
          <w:p w:rsidR="003F2B07" w:rsidRDefault="003F2B07">
            <w:pPr>
              <w:rPr>
                <w:rFonts w:ascii="宋体" w:hAnsi="宋体" w:hint="eastAsia"/>
                <w:szCs w:val="21"/>
              </w:rPr>
            </w:pPr>
            <w:r>
              <w:rPr>
                <w:rFonts w:ascii="宋体" w:hAnsi="宋体" w:hint="eastAsia"/>
                <w:szCs w:val="21"/>
              </w:rPr>
              <w:t>转换转入起始日</w:t>
            </w:r>
          </w:p>
        </w:tc>
        <w:tc>
          <w:tcPr>
            <w:tcW w:w="4860" w:type="dxa"/>
            <w:gridSpan w:val="2"/>
          </w:tcPr>
          <w:p w:rsidR="003F2B07" w:rsidRDefault="0030008F">
            <w:pPr>
              <w:rPr>
                <w:rFonts w:ascii="宋体" w:hAnsi="宋体" w:hint="eastAsia"/>
                <w:szCs w:val="21"/>
              </w:rPr>
            </w:pPr>
            <w:bookmarkStart w:id="17" w:name="t_2_1_2793_a1_fm1"/>
            <w:bookmarkEnd w:id="17"/>
            <w:r>
              <w:rPr>
                <w:rFonts w:ascii="宋体" w:hAnsi="宋体"/>
                <w:szCs w:val="21"/>
              </w:rPr>
              <w:t>2020年4月20日</w:t>
            </w:r>
          </w:p>
        </w:tc>
      </w:tr>
      <w:tr w:rsidR="003F2B07" w:rsidTr="0030008F">
        <w:tc>
          <w:tcPr>
            <w:tcW w:w="3960" w:type="dxa"/>
          </w:tcPr>
          <w:p w:rsidR="003F2B07" w:rsidRDefault="003F2B07">
            <w:pPr>
              <w:rPr>
                <w:rFonts w:ascii="宋体" w:hAnsi="宋体" w:hint="eastAsia"/>
                <w:szCs w:val="21"/>
              </w:rPr>
            </w:pPr>
            <w:r>
              <w:rPr>
                <w:rFonts w:ascii="宋体" w:hAnsi="宋体" w:hint="eastAsia"/>
                <w:szCs w:val="21"/>
              </w:rPr>
              <w:t>转换转出起始日</w:t>
            </w:r>
          </w:p>
        </w:tc>
        <w:tc>
          <w:tcPr>
            <w:tcW w:w="4860" w:type="dxa"/>
            <w:gridSpan w:val="2"/>
          </w:tcPr>
          <w:p w:rsidR="003F2B07" w:rsidRDefault="0030008F">
            <w:pPr>
              <w:rPr>
                <w:rFonts w:ascii="宋体" w:hAnsi="宋体" w:hint="eastAsia"/>
                <w:szCs w:val="21"/>
              </w:rPr>
            </w:pPr>
            <w:bookmarkStart w:id="18" w:name="t_2_1_2794_a1_fm1"/>
            <w:bookmarkEnd w:id="18"/>
            <w:r>
              <w:rPr>
                <w:rFonts w:ascii="宋体" w:hAnsi="宋体"/>
                <w:szCs w:val="21"/>
              </w:rPr>
              <w:t>2020年4月20日</w:t>
            </w:r>
          </w:p>
        </w:tc>
      </w:tr>
      <w:tr w:rsidR="003F2B07" w:rsidTr="0030008F">
        <w:tc>
          <w:tcPr>
            <w:tcW w:w="3960" w:type="dxa"/>
          </w:tcPr>
          <w:p w:rsidR="003F2B07" w:rsidRDefault="003F2B07">
            <w:pPr>
              <w:rPr>
                <w:rFonts w:ascii="宋体" w:hAnsi="宋体" w:hint="eastAsia"/>
                <w:szCs w:val="21"/>
              </w:rPr>
            </w:pPr>
            <w:r>
              <w:rPr>
                <w:rFonts w:ascii="宋体" w:hAnsi="宋体" w:hint="eastAsia"/>
                <w:szCs w:val="21"/>
              </w:rPr>
              <w:t>定期定额投资起始日</w:t>
            </w:r>
          </w:p>
        </w:tc>
        <w:tc>
          <w:tcPr>
            <w:tcW w:w="4860" w:type="dxa"/>
            <w:gridSpan w:val="2"/>
          </w:tcPr>
          <w:p w:rsidR="003F2B07" w:rsidRDefault="0030008F">
            <w:pPr>
              <w:rPr>
                <w:rFonts w:ascii="宋体" w:hAnsi="宋体" w:hint="eastAsia"/>
                <w:szCs w:val="21"/>
              </w:rPr>
            </w:pPr>
            <w:bookmarkStart w:id="19" w:name="t_2_1_2795_a1_fm1"/>
            <w:bookmarkEnd w:id="19"/>
            <w:r>
              <w:rPr>
                <w:rFonts w:ascii="宋体" w:hAnsi="宋体"/>
                <w:szCs w:val="21"/>
              </w:rPr>
              <w:t>2020年4月20日</w:t>
            </w:r>
          </w:p>
        </w:tc>
      </w:tr>
      <w:tr w:rsidR="003F2B07" w:rsidTr="0030008F">
        <w:tc>
          <w:tcPr>
            <w:tcW w:w="3960" w:type="dxa"/>
          </w:tcPr>
          <w:p w:rsidR="003F2B07" w:rsidRDefault="003F2B07">
            <w:pPr>
              <w:rPr>
                <w:rFonts w:ascii="宋体" w:hAnsi="宋体" w:hint="eastAsia"/>
                <w:szCs w:val="21"/>
              </w:rPr>
            </w:pPr>
            <w:r>
              <w:rPr>
                <w:rFonts w:ascii="宋体" w:hAnsi="宋体" w:hint="eastAsia"/>
                <w:szCs w:val="21"/>
              </w:rPr>
              <w:t>下属分级基金的基金简称</w:t>
            </w:r>
          </w:p>
        </w:tc>
        <w:tc>
          <w:tcPr>
            <w:tcW w:w="2323" w:type="dxa"/>
          </w:tcPr>
          <w:p w:rsidR="003F2B07" w:rsidRDefault="0030008F">
            <w:pPr>
              <w:rPr>
                <w:rFonts w:ascii="宋体" w:hAnsi="宋体" w:hint="eastAsia"/>
                <w:szCs w:val="21"/>
              </w:rPr>
            </w:pPr>
            <w:r>
              <w:rPr>
                <w:rFonts w:ascii="宋体" w:hAnsi="宋体" w:hint="eastAsia"/>
                <w:szCs w:val="21"/>
              </w:rPr>
              <w:t>泰达消费红利指数</w:t>
            </w:r>
            <w:r>
              <w:rPr>
                <w:rFonts w:ascii="宋体" w:hAnsi="宋体"/>
                <w:szCs w:val="21"/>
              </w:rPr>
              <w:t>A</w:t>
            </w:r>
          </w:p>
        </w:tc>
        <w:tc>
          <w:tcPr>
            <w:tcW w:w="2537" w:type="dxa"/>
          </w:tcPr>
          <w:p w:rsidR="003F2B07" w:rsidRDefault="0030008F">
            <w:pPr>
              <w:rPr>
                <w:rFonts w:ascii="宋体" w:hAnsi="宋体" w:hint="eastAsia"/>
                <w:szCs w:val="21"/>
              </w:rPr>
            </w:pPr>
            <w:bookmarkStart w:id="20" w:name="t_1_1_fj_0011B_a1_fm1"/>
            <w:bookmarkStart w:id="21" w:name="t_1_1_fj_0011C_a1_fm1"/>
            <w:bookmarkEnd w:id="20"/>
            <w:bookmarkEnd w:id="21"/>
            <w:r>
              <w:rPr>
                <w:rFonts w:ascii="宋体" w:hAnsi="宋体" w:hint="eastAsia"/>
                <w:szCs w:val="21"/>
              </w:rPr>
              <w:t>泰达消费红利指数</w:t>
            </w:r>
            <w:r>
              <w:rPr>
                <w:rFonts w:ascii="宋体" w:hAnsi="宋体"/>
                <w:szCs w:val="21"/>
              </w:rPr>
              <w:t>C</w:t>
            </w:r>
          </w:p>
        </w:tc>
      </w:tr>
      <w:tr w:rsidR="003F2B07" w:rsidTr="0030008F">
        <w:tc>
          <w:tcPr>
            <w:tcW w:w="3960" w:type="dxa"/>
          </w:tcPr>
          <w:p w:rsidR="003F2B07" w:rsidRDefault="003F2B07">
            <w:pPr>
              <w:rPr>
                <w:rFonts w:ascii="宋体" w:hAnsi="宋体" w:hint="eastAsia"/>
                <w:szCs w:val="21"/>
              </w:rPr>
            </w:pPr>
            <w:r>
              <w:rPr>
                <w:rFonts w:ascii="宋体" w:hAnsi="宋体" w:hint="eastAsia"/>
                <w:szCs w:val="21"/>
              </w:rPr>
              <w:t>下属分级基金的交易代码</w:t>
            </w:r>
          </w:p>
        </w:tc>
        <w:tc>
          <w:tcPr>
            <w:tcW w:w="2323" w:type="dxa"/>
          </w:tcPr>
          <w:p w:rsidR="003F2B07" w:rsidRDefault="0030008F">
            <w:pPr>
              <w:rPr>
                <w:rFonts w:ascii="宋体" w:hAnsi="宋体" w:hint="eastAsia"/>
                <w:szCs w:val="21"/>
              </w:rPr>
            </w:pPr>
            <w:r>
              <w:rPr>
                <w:rFonts w:ascii="宋体" w:hAnsi="宋体"/>
                <w:szCs w:val="21"/>
              </w:rPr>
              <w:t>008928</w:t>
            </w:r>
          </w:p>
        </w:tc>
        <w:tc>
          <w:tcPr>
            <w:tcW w:w="2537" w:type="dxa"/>
          </w:tcPr>
          <w:p w:rsidR="003F2B07" w:rsidRDefault="0030008F">
            <w:pPr>
              <w:rPr>
                <w:rFonts w:ascii="宋体" w:hAnsi="宋体" w:hint="eastAsia"/>
                <w:szCs w:val="21"/>
              </w:rPr>
            </w:pPr>
            <w:bookmarkStart w:id="22" w:name="t_1_1_fj_0012B_a1_fm1"/>
            <w:bookmarkStart w:id="23" w:name="t_1_1_fj_0012C_a1_fm1"/>
            <w:bookmarkEnd w:id="22"/>
            <w:bookmarkEnd w:id="23"/>
            <w:r>
              <w:rPr>
                <w:rFonts w:ascii="宋体" w:hAnsi="宋体"/>
                <w:szCs w:val="21"/>
              </w:rPr>
              <w:t>008929</w:t>
            </w:r>
          </w:p>
        </w:tc>
      </w:tr>
      <w:tr w:rsidR="003F2B07" w:rsidTr="0030008F">
        <w:tc>
          <w:tcPr>
            <w:tcW w:w="3960" w:type="dxa"/>
          </w:tcPr>
          <w:p w:rsidR="003F2B07" w:rsidRDefault="00F34E60">
            <w:pPr>
              <w:rPr>
                <w:rFonts w:ascii="宋体" w:hAnsi="宋体" w:hint="eastAsia"/>
                <w:szCs w:val="21"/>
              </w:rPr>
            </w:pPr>
            <w:r>
              <w:rPr>
                <w:rFonts w:ascii="宋体" w:hAnsi="宋体" w:hint="eastAsia"/>
                <w:szCs w:val="21"/>
              </w:rPr>
              <w:t>该分级基金是否开放申购、赎回（</w:t>
            </w:r>
            <w:r w:rsidR="003F2B07">
              <w:rPr>
                <w:rFonts w:ascii="宋体" w:hAnsi="宋体" w:hint="eastAsia"/>
                <w:szCs w:val="21"/>
              </w:rPr>
              <w:t>转换、定期定额投资）</w:t>
            </w:r>
          </w:p>
        </w:tc>
        <w:tc>
          <w:tcPr>
            <w:tcW w:w="2323" w:type="dxa"/>
          </w:tcPr>
          <w:p w:rsidR="003F2B07" w:rsidRDefault="0030008F">
            <w:pPr>
              <w:rPr>
                <w:rFonts w:ascii="宋体" w:hAnsi="宋体"/>
                <w:szCs w:val="21"/>
              </w:rPr>
            </w:pPr>
            <w:r>
              <w:rPr>
                <w:rFonts w:ascii="宋体" w:hAnsi="宋体" w:hint="eastAsia"/>
                <w:szCs w:val="21"/>
              </w:rPr>
              <w:t>是</w:t>
            </w:r>
          </w:p>
        </w:tc>
        <w:tc>
          <w:tcPr>
            <w:tcW w:w="2537" w:type="dxa"/>
          </w:tcPr>
          <w:p w:rsidR="003F2B07" w:rsidRDefault="0030008F">
            <w:pPr>
              <w:rPr>
                <w:rFonts w:ascii="宋体" w:hAnsi="宋体"/>
                <w:szCs w:val="21"/>
              </w:rPr>
            </w:pPr>
            <w:r>
              <w:rPr>
                <w:rFonts w:ascii="宋体" w:hAnsi="宋体" w:hint="eastAsia"/>
                <w:szCs w:val="21"/>
              </w:rPr>
              <w:t>是</w:t>
            </w:r>
          </w:p>
        </w:tc>
      </w:tr>
    </w:tbl>
    <w:p w:rsidR="003F2B07" w:rsidRDefault="003F2B07">
      <w:pPr>
        <w:spacing w:line="360" w:lineRule="auto"/>
        <w:jc w:val="left"/>
        <w:rPr>
          <w:rFonts w:ascii="宋体" w:hAnsi="宋体" w:hint="eastAsia"/>
          <w:color w:val="0000FF"/>
          <w:kern w:val="0"/>
          <w:szCs w:val="21"/>
        </w:rPr>
      </w:pPr>
      <w:bookmarkStart w:id="24" w:name="t_2_1_2645_a1_fm1"/>
      <w:bookmarkEnd w:id="5"/>
      <w:r>
        <w:rPr>
          <w:rFonts w:ascii="宋体" w:hAnsi="宋体" w:hint="eastAsia"/>
          <w:szCs w:val="21"/>
        </w:rPr>
        <w:t>注：</w:t>
      </w:r>
      <w:bookmarkEnd w:id="24"/>
      <w:r w:rsidR="0030008F">
        <w:rPr>
          <w:rFonts w:ascii="宋体" w:hAnsi="宋体"/>
          <w:szCs w:val="21"/>
        </w:rPr>
        <w:t>-</w:t>
      </w:r>
    </w:p>
    <w:bookmarkEnd w:id="4"/>
    <w:p w:rsidR="003F2B07" w:rsidRDefault="003F2B07">
      <w:pPr>
        <w:rPr>
          <w:rFonts w:ascii="宋体" w:hAnsi="宋体" w:hint="eastAsia"/>
          <w:color w:val="0000FF"/>
          <w:kern w:val="0"/>
          <w:sz w:val="18"/>
        </w:rPr>
      </w:pPr>
    </w:p>
    <w:p w:rsidR="003F2B07" w:rsidRDefault="00F34E60" w:rsidP="003328C1">
      <w:pPr>
        <w:pStyle w:val="2"/>
        <w:numPr>
          <w:ilvl w:val="0"/>
          <w:numId w:val="1"/>
        </w:numPr>
        <w:spacing w:beforeLines="50" w:afterLines="50" w:line="240" w:lineRule="auto"/>
        <w:jc w:val="left"/>
        <w:rPr>
          <w:rFonts w:ascii="宋体" w:eastAsia="宋体" w:hAnsi="宋体" w:hint="eastAsia"/>
          <w:bCs/>
          <w:sz w:val="24"/>
          <w:szCs w:val="24"/>
        </w:rPr>
      </w:pPr>
      <w:bookmarkStart w:id="25" w:name="t_2_2_table"/>
      <w:bookmarkEnd w:id="25"/>
      <w:r>
        <w:rPr>
          <w:rFonts w:ascii="宋体" w:eastAsia="宋体" w:hAnsi="宋体" w:hint="eastAsia"/>
          <w:bCs/>
          <w:sz w:val="24"/>
          <w:szCs w:val="24"/>
        </w:rPr>
        <w:t>日常申购、赎回（</w:t>
      </w:r>
      <w:r w:rsidR="003F2B07">
        <w:rPr>
          <w:rFonts w:ascii="宋体" w:eastAsia="宋体" w:hAnsi="宋体" w:hint="eastAsia"/>
          <w:bCs/>
          <w:sz w:val="24"/>
          <w:szCs w:val="24"/>
        </w:rPr>
        <w:t>转换、定期定额投资）业务的办理时间</w:t>
      </w:r>
    </w:p>
    <w:p w:rsidR="003F2B07" w:rsidRDefault="0030008F">
      <w:pPr>
        <w:spacing w:line="360" w:lineRule="auto"/>
        <w:ind w:firstLineChars="200" w:firstLine="420"/>
        <w:jc w:val="left"/>
        <w:rPr>
          <w:rFonts w:ascii="宋体" w:hAnsi="宋体" w:hint="eastAsia"/>
          <w:szCs w:val="21"/>
        </w:rPr>
      </w:pPr>
      <w:bookmarkStart w:id="26" w:name="t_2_2_2819_a1_fm1"/>
      <w:bookmarkEnd w:id="26"/>
      <w:r>
        <w:rPr>
          <w:rFonts w:ascii="宋体" w:hAnsi="宋体" w:hint="eastAsia"/>
          <w:szCs w:val="21"/>
        </w:rPr>
        <w:t>本基金将于</w:t>
      </w:r>
      <w:r>
        <w:rPr>
          <w:rFonts w:ascii="宋体" w:hAnsi="宋体"/>
          <w:szCs w:val="21"/>
        </w:rPr>
        <w:t>2020年4月20日起每个开放日办理日常申购、赎回、转换及定期定额投资业务。本基金的开放日为上海证券交易所、深圳证券交易所的正常交易日（本基金管理人公告暂停交易时除外），若出现新的证券交易市场、证券交易所交易时间变更或其他特殊情况，基金管理人将视情况对前述开放日及开放时间进行相应的调整。对于具体办理时间，由于各销售机构系统及业务安排等原因，投资者应以各销售机构的规定为准。</w:t>
      </w:r>
    </w:p>
    <w:p w:rsidR="003F2B07" w:rsidRDefault="003F2B07" w:rsidP="003328C1">
      <w:pPr>
        <w:pStyle w:val="2"/>
        <w:numPr>
          <w:ilvl w:val="0"/>
          <w:numId w:val="1"/>
        </w:numPr>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日常申购业务</w:t>
      </w:r>
    </w:p>
    <w:p w:rsidR="003F2B07" w:rsidRDefault="003F2B07" w:rsidP="00130B97">
      <w:pPr>
        <w:numPr>
          <w:ilvl w:val="1"/>
          <w:numId w:val="1"/>
        </w:numPr>
        <w:spacing w:beforeLines="50" w:afterLines="50"/>
        <w:jc w:val="left"/>
        <w:rPr>
          <w:rFonts w:ascii="宋体" w:hAnsi="宋体" w:hint="eastAsia"/>
          <w:b/>
          <w:sz w:val="24"/>
          <w:szCs w:val="20"/>
        </w:rPr>
      </w:pPr>
      <w:bookmarkStart w:id="27" w:name="t_2_3_1_table"/>
      <w:bookmarkEnd w:id="27"/>
      <w:r>
        <w:rPr>
          <w:rFonts w:ascii="宋体" w:hAnsi="宋体" w:hint="eastAsia"/>
          <w:b/>
          <w:sz w:val="24"/>
          <w:szCs w:val="20"/>
        </w:rPr>
        <w:t>申购金额限制</w:t>
      </w:r>
    </w:p>
    <w:p w:rsidR="0030008F" w:rsidRDefault="0030008F">
      <w:pPr>
        <w:spacing w:line="360" w:lineRule="auto"/>
        <w:ind w:firstLineChars="200" w:firstLine="420"/>
        <w:rPr>
          <w:rFonts w:ascii="宋体" w:hAnsi="宋体"/>
          <w:szCs w:val="21"/>
        </w:rPr>
      </w:pPr>
      <w:bookmarkStart w:id="28" w:name="t_2_3_1_2820_a1_fm1"/>
      <w:bookmarkEnd w:id="28"/>
      <w:r>
        <w:rPr>
          <w:rFonts w:ascii="宋体" w:hAnsi="宋体" w:hint="eastAsia"/>
          <w:szCs w:val="21"/>
        </w:rPr>
        <w:t>通过直销中心申购本基金，单个基金账户单笔首次申购最低金额为</w:t>
      </w:r>
      <w:r>
        <w:rPr>
          <w:rFonts w:ascii="宋体" w:hAnsi="宋体"/>
          <w:szCs w:val="21"/>
        </w:rPr>
        <w:t>10万元（含申购费），追加申购最低金额为1000元（含申购费），已在直销中心有认购本基金记录的投资者不受首次申购最低金额的限制，但受追加申购最低金额的限制;通过代销机构申购本基金，单个基金账户单笔申购最低金额为1元人民币（含申购费）。销售机构在不低于上述规定的前提下，可根据自身的相关</w:t>
      </w:r>
      <w:r>
        <w:rPr>
          <w:rFonts w:ascii="宋体" w:hAnsi="宋体"/>
          <w:szCs w:val="21"/>
        </w:rPr>
        <w:lastRenderedPageBreak/>
        <w:t>情况设定本基金的申购金额下限，投资者在办理申购业务时，需遵循对应销售机构的规定。</w:t>
      </w:r>
    </w:p>
    <w:p w:rsidR="0030008F" w:rsidRDefault="0030008F">
      <w:pPr>
        <w:spacing w:line="360" w:lineRule="auto"/>
        <w:ind w:firstLineChars="200" w:firstLine="420"/>
        <w:rPr>
          <w:rFonts w:ascii="宋体" w:hAnsi="宋体"/>
          <w:szCs w:val="21"/>
        </w:rPr>
      </w:pPr>
      <w:r>
        <w:rPr>
          <w:rFonts w:ascii="宋体" w:hAnsi="宋体" w:hint="eastAsia"/>
          <w:szCs w:val="21"/>
        </w:rPr>
        <w:t>通过基金管理人网上直销申购本基金，单个基金账户单笔最低申购金额为</w:t>
      </w:r>
      <w:r>
        <w:rPr>
          <w:rFonts w:ascii="宋体" w:hAnsi="宋体"/>
          <w:szCs w:val="21"/>
        </w:rPr>
        <w:t>1元（含申购费），单笔</w:t>
      </w:r>
      <w:r>
        <w:rPr>
          <w:rFonts w:ascii="宋体" w:hAnsi="宋体" w:hint="eastAsia"/>
          <w:szCs w:val="21"/>
        </w:rPr>
        <w:t>交易上限及单日累计交易上限请参照网上直销说明。</w:t>
      </w:r>
    </w:p>
    <w:p w:rsidR="003F2B07" w:rsidRDefault="003F2B07">
      <w:pPr>
        <w:spacing w:line="360" w:lineRule="auto"/>
        <w:ind w:firstLineChars="200" w:firstLine="420"/>
        <w:rPr>
          <w:rFonts w:ascii="宋体" w:hAnsi="宋体" w:hint="eastAsia"/>
          <w:szCs w:val="21"/>
        </w:rPr>
      </w:pPr>
    </w:p>
    <w:p w:rsidR="003F2B07" w:rsidRDefault="003F2B07" w:rsidP="00130B97">
      <w:pPr>
        <w:numPr>
          <w:ilvl w:val="1"/>
          <w:numId w:val="1"/>
        </w:numPr>
        <w:spacing w:beforeLines="50" w:afterLines="50"/>
        <w:jc w:val="left"/>
        <w:rPr>
          <w:rFonts w:ascii="宋体" w:hAnsi="宋体" w:hint="eastAsia"/>
          <w:b/>
          <w:sz w:val="24"/>
          <w:szCs w:val="20"/>
        </w:rPr>
      </w:pPr>
      <w:bookmarkStart w:id="29" w:name="t_2_3_2_table"/>
      <w:bookmarkEnd w:id="29"/>
      <w:r>
        <w:rPr>
          <w:rFonts w:ascii="宋体" w:hAnsi="宋体" w:hint="eastAsia"/>
          <w:b/>
          <w:sz w:val="24"/>
          <w:szCs w:val="20"/>
        </w:rPr>
        <w:t>申购费率</w:t>
      </w:r>
    </w:p>
    <w:p w:rsidR="003F2B07" w:rsidRDefault="0030008F">
      <w:pPr>
        <w:spacing w:line="360" w:lineRule="auto"/>
        <w:ind w:firstLineChars="200" w:firstLine="420"/>
        <w:jc w:val="left"/>
        <w:rPr>
          <w:rFonts w:ascii="宋体" w:hAnsi="宋体" w:hint="eastAsia"/>
          <w:szCs w:val="21"/>
        </w:rPr>
      </w:pPr>
      <w:bookmarkStart w:id="30" w:name="t_2_3_2_2842_a1_fm1"/>
      <w:bookmarkEnd w:id="30"/>
      <w:r>
        <w:rPr>
          <w:rFonts w:ascii="宋体" w:hAnsi="宋体" w:hint="eastAsia"/>
          <w:szCs w:val="21"/>
        </w:rPr>
        <w:t>关于日常申购的金额限制、费率等事项，请仔细阅读基金合同、本基金招募说明书和其它相关公告。</w:t>
      </w:r>
    </w:p>
    <w:p w:rsidR="003F2B07" w:rsidRDefault="003F2B07" w:rsidP="00130B97">
      <w:pPr>
        <w:numPr>
          <w:ilvl w:val="2"/>
          <w:numId w:val="1"/>
        </w:numPr>
        <w:spacing w:beforeLines="50" w:afterLines="50"/>
        <w:jc w:val="left"/>
        <w:rPr>
          <w:rFonts w:ascii="宋体" w:hAnsi="宋体" w:hint="eastAsia"/>
          <w:b/>
          <w:sz w:val="24"/>
          <w:szCs w:val="20"/>
        </w:rPr>
      </w:pPr>
      <w:bookmarkStart w:id="31" w:name="m03_02_01"/>
      <w:r>
        <w:rPr>
          <w:rFonts w:ascii="宋体" w:hAnsi="宋体" w:hint="eastAsia"/>
          <w:b/>
          <w:sz w:val="24"/>
          <w:szCs w:val="20"/>
        </w:rPr>
        <w:t>前端收费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7"/>
        <w:gridCol w:w="3240"/>
      </w:tblGrid>
      <w:tr w:rsidR="0030008F" w:rsidTr="0030008F">
        <w:trPr>
          <w:trHeight w:val="394"/>
          <w:jc w:val="center"/>
        </w:trPr>
        <w:tc>
          <w:tcPr>
            <w:tcW w:w="2607" w:type="dxa"/>
            <w:vAlign w:val="center"/>
          </w:tcPr>
          <w:p w:rsidR="0030008F" w:rsidRDefault="0030008F">
            <w:pPr>
              <w:jc w:val="center"/>
              <w:rPr>
                <w:rFonts w:ascii="宋体" w:hAnsi="宋体" w:hint="eastAsia"/>
                <w:szCs w:val="21"/>
              </w:rPr>
            </w:pPr>
            <w:bookmarkStart w:id="32" w:name="m03_02_01_tab"/>
            <w:r>
              <w:rPr>
                <w:rFonts w:ascii="宋体" w:hAnsi="宋体" w:hint="eastAsia"/>
                <w:szCs w:val="21"/>
              </w:rPr>
              <w:t>申购金额（M）</w:t>
            </w:r>
          </w:p>
        </w:tc>
        <w:tc>
          <w:tcPr>
            <w:tcW w:w="3240" w:type="dxa"/>
            <w:vAlign w:val="center"/>
          </w:tcPr>
          <w:p w:rsidR="0030008F" w:rsidRDefault="0030008F">
            <w:pPr>
              <w:jc w:val="center"/>
              <w:rPr>
                <w:rFonts w:ascii="宋体" w:hAnsi="宋体" w:hint="eastAsia"/>
                <w:szCs w:val="21"/>
              </w:rPr>
            </w:pPr>
            <w:r>
              <w:rPr>
                <w:rFonts w:ascii="宋体" w:hAnsi="宋体" w:hint="eastAsia"/>
                <w:szCs w:val="21"/>
              </w:rPr>
              <w:t>申购费率</w:t>
            </w:r>
          </w:p>
        </w:tc>
      </w:tr>
      <w:tr w:rsidR="0030008F" w:rsidTr="0030008F">
        <w:trPr>
          <w:jc w:val="center"/>
        </w:trPr>
        <w:tc>
          <w:tcPr>
            <w:tcW w:w="2607" w:type="dxa"/>
          </w:tcPr>
          <w:p w:rsidR="0030008F" w:rsidRDefault="0030008F">
            <w:pPr>
              <w:jc w:val="center"/>
              <w:rPr>
                <w:rFonts w:ascii="宋体" w:hAnsi="宋体" w:hint="eastAsia"/>
                <w:szCs w:val="21"/>
              </w:rPr>
            </w:pPr>
            <w:bookmarkStart w:id="33" w:name="t_2_3_2_q_01_2682_a1_fm2210"/>
            <w:bookmarkEnd w:id="33"/>
            <w:r>
              <w:rPr>
                <w:rFonts w:ascii="宋体" w:hAnsi="宋体" w:hint="eastAsia"/>
                <w:szCs w:val="21"/>
              </w:rPr>
              <w:t>M&lt;1000000</w:t>
            </w:r>
          </w:p>
        </w:tc>
        <w:tc>
          <w:tcPr>
            <w:tcW w:w="3240" w:type="dxa"/>
          </w:tcPr>
          <w:p w:rsidR="0030008F" w:rsidRDefault="0030008F">
            <w:pPr>
              <w:jc w:val="center"/>
              <w:rPr>
                <w:rFonts w:ascii="宋体" w:hAnsi="宋体" w:hint="eastAsia"/>
                <w:szCs w:val="21"/>
              </w:rPr>
            </w:pPr>
            <w:bookmarkStart w:id="34" w:name="t_2_3_2_q_02_2683_a1_fm2412"/>
            <w:bookmarkEnd w:id="34"/>
            <w:r>
              <w:rPr>
                <w:rFonts w:ascii="宋体" w:hAnsi="宋体"/>
                <w:szCs w:val="21"/>
              </w:rPr>
              <w:t>1.20%</w:t>
            </w:r>
          </w:p>
        </w:tc>
        <w:bookmarkStart w:id="35" w:name="t_2_3_2_q_03_2684_a1_fm1"/>
        <w:bookmarkEnd w:id="35"/>
      </w:tr>
      <w:tr w:rsidR="0030008F" w:rsidTr="0030008F">
        <w:trPr>
          <w:jc w:val="center"/>
        </w:trPr>
        <w:tc>
          <w:tcPr>
            <w:tcW w:w="2607" w:type="dxa"/>
          </w:tcPr>
          <w:p w:rsidR="0030008F" w:rsidRDefault="0030008F">
            <w:pPr>
              <w:jc w:val="center"/>
              <w:rPr>
                <w:rFonts w:ascii="宋体" w:hAnsi="宋体" w:hint="eastAsia"/>
                <w:szCs w:val="21"/>
              </w:rPr>
            </w:pPr>
            <w:r>
              <w:rPr>
                <w:rFonts w:ascii="宋体" w:hAnsi="宋体"/>
                <w:szCs w:val="21"/>
              </w:rPr>
              <w:t>1000000&lt;=M&lt;2500000</w:t>
            </w:r>
          </w:p>
        </w:tc>
        <w:tc>
          <w:tcPr>
            <w:tcW w:w="3240" w:type="dxa"/>
          </w:tcPr>
          <w:p w:rsidR="0030008F" w:rsidRDefault="0030008F">
            <w:pPr>
              <w:jc w:val="center"/>
              <w:rPr>
                <w:rFonts w:ascii="宋体" w:hAnsi="宋体"/>
                <w:szCs w:val="21"/>
              </w:rPr>
            </w:pPr>
            <w:r>
              <w:rPr>
                <w:rFonts w:ascii="宋体" w:hAnsi="宋体"/>
                <w:szCs w:val="21"/>
              </w:rPr>
              <w:t>0.80%</w:t>
            </w:r>
          </w:p>
        </w:tc>
      </w:tr>
      <w:tr w:rsidR="0030008F" w:rsidTr="0030008F">
        <w:trPr>
          <w:jc w:val="center"/>
        </w:trPr>
        <w:tc>
          <w:tcPr>
            <w:tcW w:w="2607" w:type="dxa"/>
          </w:tcPr>
          <w:p w:rsidR="0030008F" w:rsidRDefault="0030008F">
            <w:pPr>
              <w:jc w:val="center"/>
              <w:rPr>
                <w:rFonts w:ascii="宋体" w:hAnsi="宋体"/>
                <w:szCs w:val="21"/>
              </w:rPr>
            </w:pPr>
            <w:r>
              <w:rPr>
                <w:rFonts w:ascii="宋体" w:hAnsi="宋体"/>
                <w:szCs w:val="21"/>
              </w:rPr>
              <w:t>2500000&lt;=M&lt;5000000</w:t>
            </w:r>
          </w:p>
        </w:tc>
        <w:tc>
          <w:tcPr>
            <w:tcW w:w="3240" w:type="dxa"/>
          </w:tcPr>
          <w:p w:rsidR="0030008F" w:rsidRDefault="0030008F">
            <w:pPr>
              <w:jc w:val="center"/>
              <w:rPr>
                <w:rFonts w:ascii="宋体" w:hAnsi="宋体"/>
                <w:szCs w:val="21"/>
              </w:rPr>
            </w:pPr>
            <w:r>
              <w:rPr>
                <w:rFonts w:ascii="宋体" w:hAnsi="宋体"/>
                <w:szCs w:val="21"/>
              </w:rPr>
              <w:t>0.50%</w:t>
            </w:r>
          </w:p>
        </w:tc>
      </w:tr>
      <w:tr w:rsidR="0030008F" w:rsidTr="0030008F">
        <w:trPr>
          <w:jc w:val="center"/>
        </w:trPr>
        <w:tc>
          <w:tcPr>
            <w:tcW w:w="2607" w:type="dxa"/>
          </w:tcPr>
          <w:p w:rsidR="0030008F" w:rsidRDefault="0030008F">
            <w:pPr>
              <w:jc w:val="center"/>
              <w:rPr>
                <w:rFonts w:ascii="宋体" w:hAnsi="宋体"/>
                <w:szCs w:val="21"/>
              </w:rPr>
            </w:pPr>
            <w:r>
              <w:rPr>
                <w:rFonts w:ascii="宋体" w:hAnsi="宋体"/>
                <w:szCs w:val="21"/>
              </w:rPr>
              <w:t>5000000&lt;=M</w:t>
            </w:r>
          </w:p>
        </w:tc>
        <w:tc>
          <w:tcPr>
            <w:tcW w:w="3240" w:type="dxa"/>
          </w:tcPr>
          <w:p w:rsidR="0030008F" w:rsidRDefault="0030008F">
            <w:pPr>
              <w:jc w:val="center"/>
              <w:rPr>
                <w:rFonts w:ascii="宋体" w:hAnsi="宋体"/>
                <w:szCs w:val="21"/>
              </w:rPr>
            </w:pPr>
            <w:r>
              <w:rPr>
                <w:rFonts w:ascii="宋体" w:hAnsi="宋体"/>
                <w:szCs w:val="21"/>
              </w:rPr>
              <w:t>1000元/笔</w:t>
            </w:r>
          </w:p>
        </w:tc>
      </w:tr>
    </w:tbl>
    <w:p w:rsidR="0030008F" w:rsidRDefault="003F2B07">
      <w:pPr>
        <w:spacing w:line="360" w:lineRule="auto"/>
        <w:jc w:val="left"/>
        <w:rPr>
          <w:rFonts w:ascii="宋体" w:hAnsi="宋体"/>
          <w:szCs w:val="21"/>
        </w:rPr>
      </w:pPr>
      <w:bookmarkStart w:id="36" w:name="t_2_3_2_q_2685_a1_fm1"/>
      <w:bookmarkEnd w:id="32"/>
      <w:r>
        <w:rPr>
          <w:rFonts w:hint="eastAsia"/>
          <w:szCs w:val="21"/>
        </w:rPr>
        <w:t>注：</w:t>
      </w:r>
      <w:bookmarkEnd w:id="36"/>
      <w:r w:rsidR="0030008F">
        <w:rPr>
          <w:rFonts w:ascii="宋体" w:hAnsi="宋体" w:hint="eastAsia"/>
          <w:szCs w:val="21"/>
        </w:rPr>
        <w:t>（</w:t>
      </w:r>
      <w:r w:rsidR="0030008F">
        <w:rPr>
          <w:rFonts w:ascii="宋体" w:hAnsi="宋体"/>
          <w:szCs w:val="21"/>
        </w:rPr>
        <w:t>1）本基金非养老金客户申购费率如上表。通过本公司直销柜台申购本基金A类份额的养老金客户，实施特定申购费率，申购金额（含申购费，下同）&lt;100万元，特定申购费率为0.30%；申购金额100万元≤M&lt;250万元，特定申购费率为0.20%；申购金额250 万元≤M&lt;500万元，特定申购费率为0.125%；申购金额M≥500 万元，特定申购费率为每笔1000 元；</w:t>
      </w:r>
    </w:p>
    <w:p w:rsidR="0030008F" w:rsidRDefault="0030008F">
      <w:pPr>
        <w:spacing w:line="360" w:lineRule="auto"/>
        <w:jc w:val="left"/>
        <w:rPr>
          <w:rFonts w:ascii="宋体" w:hAnsi="宋体"/>
          <w:szCs w:val="21"/>
        </w:rPr>
      </w:pPr>
      <w:r>
        <w:rPr>
          <w:rFonts w:ascii="宋体" w:hAnsi="宋体" w:hint="eastAsia"/>
          <w:szCs w:val="21"/>
        </w:rPr>
        <w:t>（</w:t>
      </w:r>
      <w:r>
        <w:rPr>
          <w:rFonts w:ascii="宋体" w:hAnsi="宋体"/>
          <w:szCs w:val="21"/>
        </w:rPr>
        <w:t>2）投资者如果有多笔申购，适用费率按单笔分别计算。</w:t>
      </w:r>
    </w:p>
    <w:p w:rsidR="003F2B07" w:rsidRDefault="0030008F">
      <w:pPr>
        <w:spacing w:line="360" w:lineRule="auto"/>
        <w:jc w:val="left"/>
        <w:rPr>
          <w:rFonts w:hint="eastAsia"/>
          <w:szCs w:val="21"/>
        </w:rPr>
      </w:pPr>
      <w:r>
        <w:rPr>
          <w:rFonts w:ascii="宋体" w:hAnsi="宋体" w:hint="eastAsia"/>
          <w:szCs w:val="21"/>
        </w:rPr>
        <w:t>（</w:t>
      </w:r>
      <w:r>
        <w:rPr>
          <w:rFonts w:ascii="宋体" w:hAnsi="宋体"/>
          <w:szCs w:val="21"/>
        </w:rPr>
        <w:t>3）本基金C类基金份额不收取申购费用，但收取销售服务费。C类基金份额的销售服务费年费率为0.25%。</w:t>
      </w:r>
    </w:p>
    <w:p w:rsidR="003F2B07" w:rsidRDefault="003F2B07" w:rsidP="00130B97">
      <w:pPr>
        <w:numPr>
          <w:ilvl w:val="1"/>
          <w:numId w:val="1"/>
        </w:numPr>
        <w:spacing w:beforeLines="50" w:afterLines="50"/>
        <w:jc w:val="left"/>
        <w:rPr>
          <w:rFonts w:ascii="宋体" w:hAnsi="宋体" w:hint="eastAsia"/>
          <w:b/>
          <w:sz w:val="24"/>
          <w:szCs w:val="20"/>
        </w:rPr>
      </w:pPr>
      <w:bookmarkStart w:id="37" w:name="t_2_3_3_table"/>
      <w:bookmarkEnd w:id="31"/>
      <w:bookmarkEnd w:id="37"/>
      <w:r>
        <w:rPr>
          <w:rFonts w:ascii="宋体" w:hAnsi="宋体" w:hint="eastAsia"/>
          <w:b/>
          <w:sz w:val="24"/>
          <w:szCs w:val="20"/>
        </w:rPr>
        <w:t>其他与申购相关的事项</w:t>
      </w:r>
    </w:p>
    <w:p w:rsidR="003F2B07" w:rsidRDefault="0030008F">
      <w:pPr>
        <w:spacing w:line="360" w:lineRule="auto"/>
        <w:ind w:firstLineChars="200" w:firstLine="420"/>
        <w:jc w:val="left"/>
        <w:rPr>
          <w:rFonts w:ascii="宋体" w:hAnsi="宋体" w:hint="eastAsia"/>
          <w:szCs w:val="21"/>
        </w:rPr>
      </w:pPr>
      <w:bookmarkStart w:id="38" w:name="t_2_3_3_2821_a1_fm1"/>
      <w:bookmarkEnd w:id="38"/>
      <w:r>
        <w:rPr>
          <w:rFonts w:ascii="宋体" w:hAnsi="宋体" w:hint="eastAsia"/>
          <w:szCs w:val="21"/>
        </w:rPr>
        <w:t>无。</w:t>
      </w:r>
    </w:p>
    <w:p w:rsidR="003F2B07" w:rsidRDefault="003F2B07" w:rsidP="00130B97">
      <w:pPr>
        <w:pStyle w:val="2"/>
        <w:numPr>
          <w:ilvl w:val="0"/>
          <w:numId w:val="1"/>
        </w:numPr>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日常赎回业务</w:t>
      </w:r>
    </w:p>
    <w:p w:rsidR="003F2B07" w:rsidRDefault="003F2B07" w:rsidP="004310F0">
      <w:pPr>
        <w:numPr>
          <w:ilvl w:val="1"/>
          <w:numId w:val="1"/>
        </w:numPr>
        <w:spacing w:beforeLines="50" w:afterLines="50"/>
        <w:jc w:val="left"/>
        <w:rPr>
          <w:rFonts w:ascii="宋体" w:hAnsi="宋体" w:hint="eastAsia"/>
          <w:b/>
          <w:sz w:val="24"/>
          <w:szCs w:val="20"/>
        </w:rPr>
      </w:pPr>
      <w:r>
        <w:rPr>
          <w:rFonts w:ascii="宋体" w:hAnsi="宋体" w:hint="eastAsia"/>
          <w:b/>
          <w:sz w:val="24"/>
          <w:szCs w:val="20"/>
        </w:rPr>
        <w:t>赎回份额限制</w:t>
      </w:r>
    </w:p>
    <w:p w:rsidR="0030008F" w:rsidRDefault="0030008F">
      <w:pPr>
        <w:spacing w:line="360" w:lineRule="auto"/>
        <w:ind w:firstLineChars="200" w:firstLine="420"/>
        <w:jc w:val="left"/>
        <w:rPr>
          <w:rFonts w:ascii="宋体" w:hAnsi="宋体"/>
          <w:szCs w:val="21"/>
        </w:rPr>
      </w:pPr>
      <w:bookmarkStart w:id="39" w:name="t_2_4_1_2822_a1_fm1"/>
      <w:bookmarkEnd w:id="39"/>
      <w:r>
        <w:rPr>
          <w:rFonts w:ascii="宋体" w:hAnsi="宋体" w:hint="eastAsia"/>
          <w:szCs w:val="21"/>
        </w:rPr>
        <w:t>投资者可将全部或部分基金份额赎回。本基金按照份额进行赎回，申请赎回份额精确到小数点后两位，单笔赎回的基金份额不得低于</w:t>
      </w:r>
      <w:r>
        <w:rPr>
          <w:rFonts w:ascii="宋体" w:hAnsi="宋体"/>
          <w:szCs w:val="21"/>
        </w:rPr>
        <w:t>1份。基金份额持有人赎回时或赎回后，在销售机构（网点）单个交易账户保留的基金份额余额不足1份的，基金管理人有权一次将持有人在该交易账户保留的剩余基金份额全部赎回。</w:t>
      </w:r>
    </w:p>
    <w:p w:rsidR="003F2B07" w:rsidRDefault="0030008F">
      <w:pPr>
        <w:spacing w:line="360" w:lineRule="auto"/>
        <w:ind w:firstLineChars="200" w:firstLine="420"/>
        <w:jc w:val="left"/>
        <w:rPr>
          <w:rFonts w:ascii="宋体" w:hAnsi="宋体" w:hint="eastAsia"/>
          <w:szCs w:val="21"/>
        </w:rPr>
      </w:pPr>
      <w:r>
        <w:rPr>
          <w:rFonts w:ascii="宋体" w:hAnsi="宋体" w:hint="eastAsia"/>
          <w:szCs w:val="21"/>
        </w:rPr>
        <w:t>基金管理人可在法律法规允许的情况下，调整上述规定申购金额和赎回份额的数量限制。基金管理人必须在调整实施前依照《公开募集证券投资基金信息披露管理办法》的有关规定在指定媒介上公告。</w:t>
      </w:r>
    </w:p>
    <w:p w:rsidR="003F2B07" w:rsidRDefault="003F2B07" w:rsidP="004310F0">
      <w:pPr>
        <w:numPr>
          <w:ilvl w:val="1"/>
          <w:numId w:val="1"/>
        </w:numPr>
        <w:spacing w:beforeLines="50" w:afterLines="50"/>
        <w:rPr>
          <w:rFonts w:ascii="宋体" w:hAnsi="宋体" w:hint="eastAsia"/>
          <w:b/>
          <w:sz w:val="24"/>
          <w:szCs w:val="20"/>
        </w:rPr>
      </w:pPr>
      <w:bookmarkStart w:id="40" w:name="t_2_4_2_table"/>
      <w:bookmarkStart w:id="41" w:name="m04_02"/>
      <w:bookmarkEnd w:id="40"/>
      <w:r>
        <w:rPr>
          <w:rFonts w:ascii="宋体" w:hAnsi="宋体" w:hint="eastAsia"/>
          <w:b/>
          <w:sz w:val="24"/>
          <w:szCs w:val="20"/>
        </w:rPr>
        <w:t>赎回费率</w:t>
      </w:r>
    </w:p>
    <w:p w:rsidR="003F2B07" w:rsidRDefault="0030008F">
      <w:pPr>
        <w:spacing w:line="360" w:lineRule="auto"/>
        <w:ind w:firstLineChars="200" w:firstLine="420"/>
        <w:rPr>
          <w:rFonts w:ascii="宋体" w:hAnsi="宋体" w:hint="eastAsia"/>
          <w:szCs w:val="21"/>
        </w:rPr>
      </w:pPr>
      <w:bookmarkStart w:id="42" w:name="t_2_4_2_2843_a1_fm1"/>
      <w:bookmarkStart w:id="43" w:name="m04_02_tab"/>
      <w:bookmarkEnd w:id="42"/>
      <w:r>
        <w:rPr>
          <w:rFonts w:ascii="宋体" w:hAnsi="宋体" w:hint="eastAsia"/>
          <w:szCs w:val="21"/>
        </w:rPr>
        <w:t>本基金</w:t>
      </w:r>
      <w:r>
        <w:rPr>
          <w:rFonts w:ascii="宋体" w:hAnsi="宋体"/>
          <w:szCs w:val="21"/>
        </w:rPr>
        <w:t>A类基金份额与C类基金份额设置不同的赎回费率。赎回费用由赎回基金份额的基金份额持有人承担。本基金的赎回费用在投资者赎回本基金份额时收取，扣除用于支付登记费和其他必要的手续费后的余额归基金财产，具体见招募说明书规定。赎回费率详见下表：</w:t>
      </w:r>
    </w:p>
    <w:p w:rsidR="003F2B07" w:rsidRDefault="003F2B07">
      <w:pPr>
        <w:rPr>
          <w:rFonts w:hint="eastAsia"/>
          <w:sz w:val="24"/>
        </w:rPr>
      </w:pPr>
      <w:bookmarkStart w:id="44" w:name="t_2_4_2_2699_a1_fm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4"/>
        <w:gridCol w:w="4727"/>
      </w:tblGrid>
      <w:tr w:rsidR="003F2B07" w:rsidTr="0030008F">
        <w:trPr>
          <w:trHeight w:val="421"/>
          <w:jc w:val="center"/>
        </w:trPr>
        <w:tc>
          <w:tcPr>
            <w:tcW w:w="4164" w:type="dxa"/>
            <w:vAlign w:val="center"/>
          </w:tcPr>
          <w:p w:rsidR="003F2B07" w:rsidRDefault="00FB1BEF">
            <w:pPr>
              <w:jc w:val="center"/>
              <w:rPr>
                <w:rFonts w:ascii="宋体" w:hAnsi="宋体" w:hint="eastAsia"/>
                <w:szCs w:val="21"/>
              </w:rPr>
            </w:pPr>
            <w:bookmarkStart w:id="45" w:name="m04_02_01_tab"/>
            <w:r>
              <w:rPr>
                <w:rFonts w:ascii="宋体" w:hAnsi="宋体" w:hint="eastAsia"/>
                <w:szCs w:val="21"/>
              </w:rPr>
              <w:t>A级</w:t>
            </w:r>
            <w:r w:rsidR="003F2B07">
              <w:rPr>
                <w:rFonts w:ascii="宋体" w:hAnsi="宋体" w:hint="eastAsia"/>
                <w:szCs w:val="21"/>
              </w:rPr>
              <w:t>持有期限（N）</w:t>
            </w:r>
          </w:p>
        </w:tc>
        <w:tc>
          <w:tcPr>
            <w:tcW w:w="4727" w:type="dxa"/>
            <w:vAlign w:val="center"/>
          </w:tcPr>
          <w:p w:rsidR="003F2B07" w:rsidRDefault="003F2B07">
            <w:pPr>
              <w:jc w:val="center"/>
              <w:rPr>
                <w:rFonts w:ascii="宋体" w:hAnsi="宋体" w:hint="eastAsia"/>
                <w:szCs w:val="21"/>
              </w:rPr>
            </w:pPr>
            <w:r>
              <w:rPr>
                <w:rFonts w:ascii="宋体" w:hAnsi="宋体" w:hint="eastAsia"/>
                <w:szCs w:val="21"/>
              </w:rPr>
              <w:t>赎回费率</w:t>
            </w:r>
          </w:p>
        </w:tc>
      </w:tr>
      <w:tr w:rsidR="003F2B07" w:rsidTr="0030008F">
        <w:trPr>
          <w:jc w:val="center"/>
        </w:trPr>
        <w:tc>
          <w:tcPr>
            <w:tcW w:w="4164" w:type="dxa"/>
          </w:tcPr>
          <w:p w:rsidR="003F2B07" w:rsidRDefault="0030008F">
            <w:pPr>
              <w:jc w:val="center"/>
              <w:rPr>
                <w:rFonts w:ascii="宋体" w:hAnsi="宋体" w:hint="eastAsia"/>
                <w:szCs w:val="21"/>
              </w:rPr>
            </w:pPr>
            <w:r>
              <w:rPr>
                <w:rFonts w:ascii="宋体" w:hAnsi="宋体" w:hint="eastAsia"/>
                <w:szCs w:val="21"/>
              </w:rPr>
              <w:t>1天&lt;=N&lt;=6天</w:t>
            </w:r>
          </w:p>
        </w:tc>
        <w:tc>
          <w:tcPr>
            <w:tcW w:w="4727" w:type="dxa"/>
          </w:tcPr>
          <w:p w:rsidR="003F2B07" w:rsidRDefault="0030008F">
            <w:pPr>
              <w:jc w:val="center"/>
              <w:rPr>
                <w:rFonts w:ascii="宋体" w:hAnsi="宋体" w:hint="eastAsia"/>
                <w:szCs w:val="21"/>
              </w:rPr>
            </w:pPr>
            <w:r>
              <w:rPr>
                <w:rFonts w:ascii="宋体" w:hAnsi="宋体" w:hint="eastAsia"/>
                <w:szCs w:val="21"/>
              </w:rPr>
              <w:t>1.50%</w:t>
            </w:r>
          </w:p>
        </w:tc>
      </w:tr>
      <w:tr w:rsidR="0030008F" w:rsidTr="0030008F">
        <w:trPr>
          <w:jc w:val="center"/>
        </w:trPr>
        <w:tc>
          <w:tcPr>
            <w:tcW w:w="4164" w:type="dxa"/>
          </w:tcPr>
          <w:p w:rsidR="0030008F" w:rsidRDefault="0030008F">
            <w:pPr>
              <w:jc w:val="center"/>
              <w:rPr>
                <w:rFonts w:ascii="宋体" w:hAnsi="宋体" w:hint="eastAsia"/>
                <w:szCs w:val="21"/>
              </w:rPr>
            </w:pPr>
            <w:r>
              <w:rPr>
                <w:rFonts w:ascii="宋体" w:hAnsi="宋体"/>
                <w:szCs w:val="21"/>
              </w:rPr>
              <w:t>7天&lt;=N&lt;=179天</w:t>
            </w:r>
          </w:p>
        </w:tc>
        <w:tc>
          <w:tcPr>
            <w:tcW w:w="4727" w:type="dxa"/>
          </w:tcPr>
          <w:p w:rsidR="0030008F" w:rsidRDefault="0030008F">
            <w:pPr>
              <w:jc w:val="center"/>
              <w:rPr>
                <w:rFonts w:ascii="宋体" w:hAnsi="宋体" w:hint="eastAsia"/>
                <w:szCs w:val="21"/>
              </w:rPr>
            </w:pPr>
            <w:r>
              <w:rPr>
                <w:rFonts w:ascii="宋体" w:hAnsi="宋体"/>
                <w:szCs w:val="21"/>
              </w:rPr>
              <w:t>0.50%</w:t>
            </w:r>
          </w:p>
        </w:tc>
      </w:tr>
      <w:tr w:rsidR="0030008F" w:rsidTr="0030008F">
        <w:trPr>
          <w:jc w:val="center"/>
        </w:trPr>
        <w:tc>
          <w:tcPr>
            <w:tcW w:w="4164" w:type="dxa"/>
          </w:tcPr>
          <w:p w:rsidR="0030008F" w:rsidRDefault="0030008F">
            <w:pPr>
              <w:jc w:val="center"/>
              <w:rPr>
                <w:rFonts w:ascii="宋体" w:hAnsi="宋体"/>
                <w:szCs w:val="21"/>
              </w:rPr>
            </w:pPr>
            <w:r>
              <w:rPr>
                <w:rFonts w:ascii="宋体" w:hAnsi="宋体"/>
                <w:szCs w:val="21"/>
              </w:rPr>
              <w:t>180天&lt;=N&lt;=365天</w:t>
            </w:r>
          </w:p>
        </w:tc>
        <w:tc>
          <w:tcPr>
            <w:tcW w:w="4727" w:type="dxa"/>
          </w:tcPr>
          <w:p w:rsidR="0030008F" w:rsidRDefault="0030008F">
            <w:pPr>
              <w:jc w:val="center"/>
              <w:rPr>
                <w:rFonts w:ascii="宋体" w:hAnsi="宋体"/>
                <w:szCs w:val="21"/>
              </w:rPr>
            </w:pPr>
            <w:r>
              <w:rPr>
                <w:rFonts w:ascii="宋体" w:hAnsi="宋体"/>
                <w:szCs w:val="21"/>
              </w:rPr>
              <w:t>0.10%</w:t>
            </w:r>
          </w:p>
        </w:tc>
      </w:tr>
      <w:tr w:rsidR="0030008F" w:rsidTr="0030008F">
        <w:trPr>
          <w:jc w:val="center"/>
        </w:trPr>
        <w:tc>
          <w:tcPr>
            <w:tcW w:w="4164" w:type="dxa"/>
          </w:tcPr>
          <w:p w:rsidR="0030008F" w:rsidRDefault="0030008F">
            <w:pPr>
              <w:jc w:val="center"/>
              <w:rPr>
                <w:rFonts w:ascii="宋体" w:hAnsi="宋体"/>
                <w:szCs w:val="21"/>
              </w:rPr>
            </w:pPr>
            <w:r>
              <w:rPr>
                <w:rFonts w:ascii="宋体" w:hAnsi="宋体"/>
                <w:szCs w:val="21"/>
              </w:rPr>
              <w:t>366天&lt;=N</w:t>
            </w:r>
          </w:p>
        </w:tc>
        <w:tc>
          <w:tcPr>
            <w:tcW w:w="4727" w:type="dxa"/>
          </w:tcPr>
          <w:p w:rsidR="0030008F" w:rsidRDefault="0030008F">
            <w:pPr>
              <w:jc w:val="center"/>
              <w:rPr>
                <w:rFonts w:ascii="宋体" w:hAnsi="宋体"/>
                <w:szCs w:val="21"/>
              </w:rPr>
            </w:pPr>
            <w:r>
              <w:rPr>
                <w:rFonts w:ascii="宋体" w:hAnsi="宋体"/>
                <w:szCs w:val="21"/>
              </w:rPr>
              <w:t>0.00%</w:t>
            </w:r>
          </w:p>
        </w:tc>
      </w:tr>
      <w:bookmarkEnd w:id="45"/>
    </w:tbl>
    <w:p w:rsidR="00FB1BEF" w:rsidRDefault="00FB1BEF">
      <w:pPr>
        <w:spacing w:line="360" w:lineRule="auto"/>
        <w:jc w:val="left"/>
        <w:rPr>
          <w:rFonts w:hint="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4"/>
        <w:gridCol w:w="4727"/>
      </w:tblGrid>
      <w:tr w:rsidR="00FB1BEF" w:rsidTr="0030008F">
        <w:trPr>
          <w:trHeight w:val="421"/>
          <w:jc w:val="center"/>
        </w:trPr>
        <w:tc>
          <w:tcPr>
            <w:tcW w:w="4164" w:type="dxa"/>
            <w:vAlign w:val="center"/>
          </w:tcPr>
          <w:p w:rsidR="00FB1BEF" w:rsidRDefault="00FB1BEF" w:rsidP="00B76529">
            <w:pPr>
              <w:jc w:val="center"/>
              <w:rPr>
                <w:rFonts w:ascii="宋体" w:hAnsi="宋体" w:hint="eastAsia"/>
                <w:szCs w:val="21"/>
              </w:rPr>
            </w:pPr>
            <w:bookmarkStart w:id="46" w:name="m04_02_02_tab"/>
            <w:r>
              <w:rPr>
                <w:rFonts w:ascii="宋体" w:hAnsi="宋体" w:hint="eastAsia"/>
                <w:szCs w:val="21"/>
              </w:rPr>
              <w:t>C级持有期限（N）</w:t>
            </w:r>
          </w:p>
        </w:tc>
        <w:tc>
          <w:tcPr>
            <w:tcW w:w="4727" w:type="dxa"/>
            <w:vAlign w:val="center"/>
          </w:tcPr>
          <w:p w:rsidR="00FB1BEF" w:rsidRDefault="00FB1BEF" w:rsidP="00B76529">
            <w:pPr>
              <w:jc w:val="center"/>
              <w:rPr>
                <w:rFonts w:ascii="宋体" w:hAnsi="宋体" w:hint="eastAsia"/>
                <w:szCs w:val="21"/>
              </w:rPr>
            </w:pPr>
            <w:r>
              <w:rPr>
                <w:rFonts w:ascii="宋体" w:hAnsi="宋体" w:hint="eastAsia"/>
                <w:szCs w:val="21"/>
              </w:rPr>
              <w:t>赎回费率</w:t>
            </w:r>
          </w:p>
        </w:tc>
      </w:tr>
      <w:tr w:rsidR="00FB1BEF" w:rsidTr="0030008F">
        <w:trPr>
          <w:jc w:val="center"/>
        </w:trPr>
        <w:tc>
          <w:tcPr>
            <w:tcW w:w="4164" w:type="dxa"/>
          </w:tcPr>
          <w:p w:rsidR="00FB1BEF" w:rsidRDefault="0030008F" w:rsidP="00B76529">
            <w:pPr>
              <w:jc w:val="center"/>
              <w:rPr>
                <w:rFonts w:ascii="宋体" w:hAnsi="宋体" w:hint="eastAsia"/>
                <w:szCs w:val="21"/>
              </w:rPr>
            </w:pPr>
            <w:r>
              <w:rPr>
                <w:rFonts w:ascii="宋体" w:hAnsi="宋体" w:hint="eastAsia"/>
                <w:szCs w:val="21"/>
              </w:rPr>
              <w:t>1天&lt;=N&lt;=6天</w:t>
            </w:r>
          </w:p>
        </w:tc>
        <w:tc>
          <w:tcPr>
            <w:tcW w:w="4727" w:type="dxa"/>
          </w:tcPr>
          <w:p w:rsidR="00FB1BEF" w:rsidRDefault="0030008F" w:rsidP="00B76529">
            <w:pPr>
              <w:jc w:val="center"/>
              <w:rPr>
                <w:rFonts w:ascii="宋体" w:hAnsi="宋体" w:hint="eastAsia"/>
                <w:szCs w:val="21"/>
              </w:rPr>
            </w:pPr>
            <w:r>
              <w:rPr>
                <w:rFonts w:ascii="宋体" w:hAnsi="宋体" w:hint="eastAsia"/>
                <w:szCs w:val="21"/>
              </w:rPr>
              <w:t>1.50%</w:t>
            </w:r>
          </w:p>
        </w:tc>
      </w:tr>
      <w:tr w:rsidR="0030008F" w:rsidTr="0030008F">
        <w:trPr>
          <w:jc w:val="center"/>
        </w:trPr>
        <w:tc>
          <w:tcPr>
            <w:tcW w:w="4164" w:type="dxa"/>
          </w:tcPr>
          <w:p w:rsidR="0030008F" w:rsidRDefault="00B75E4C" w:rsidP="00B76529">
            <w:pPr>
              <w:jc w:val="center"/>
              <w:rPr>
                <w:rFonts w:ascii="宋体" w:hAnsi="宋体" w:hint="eastAsia"/>
                <w:szCs w:val="21"/>
              </w:rPr>
            </w:pPr>
            <w:r>
              <w:rPr>
                <w:rFonts w:ascii="宋体" w:hAnsi="宋体"/>
                <w:szCs w:val="21"/>
              </w:rPr>
              <w:t>7</w:t>
            </w:r>
            <w:r w:rsidR="0030008F">
              <w:rPr>
                <w:rFonts w:ascii="宋体" w:hAnsi="宋体"/>
                <w:szCs w:val="21"/>
              </w:rPr>
              <w:t>天&lt;=N&lt;=29天</w:t>
            </w:r>
          </w:p>
        </w:tc>
        <w:tc>
          <w:tcPr>
            <w:tcW w:w="4727" w:type="dxa"/>
          </w:tcPr>
          <w:p w:rsidR="0030008F" w:rsidRDefault="0030008F" w:rsidP="00B76529">
            <w:pPr>
              <w:jc w:val="center"/>
              <w:rPr>
                <w:rFonts w:ascii="宋体" w:hAnsi="宋体" w:hint="eastAsia"/>
                <w:szCs w:val="21"/>
              </w:rPr>
            </w:pPr>
            <w:r>
              <w:rPr>
                <w:rFonts w:ascii="宋体" w:hAnsi="宋体"/>
                <w:szCs w:val="21"/>
              </w:rPr>
              <w:t>0.50%</w:t>
            </w:r>
          </w:p>
        </w:tc>
      </w:tr>
      <w:tr w:rsidR="0030008F" w:rsidTr="0030008F">
        <w:trPr>
          <w:jc w:val="center"/>
        </w:trPr>
        <w:tc>
          <w:tcPr>
            <w:tcW w:w="4164" w:type="dxa"/>
          </w:tcPr>
          <w:p w:rsidR="0030008F" w:rsidRDefault="0030008F" w:rsidP="00B76529">
            <w:pPr>
              <w:jc w:val="center"/>
              <w:rPr>
                <w:rFonts w:ascii="宋体" w:hAnsi="宋体"/>
                <w:szCs w:val="21"/>
              </w:rPr>
            </w:pPr>
            <w:r>
              <w:rPr>
                <w:rFonts w:ascii="宋体" w:hAnsi="宋体"/>
                <w:szCs w:val="21"/>
              </w:rPr>
              <w:t>30天&lt;=N</w:t>
            </w:r>
          </w:p>
        </w:tc>
        <w:tc>
          <w:tcPr>
            <w:tcW w:w="4727" w:type="dxa"/>
          </w:tcPr>
          <w:p w:rsidR="0030008F" w:rsidRDefault="0030008F" w:rsidP="00B76529">
            <w:pPr>
              <w:jc w:val="center"/>
              <w:rPr>
                <w:rFonts w:ascii="宋体" w:hAnsi="宋体"/>
                <w:szCs w:val="21"/>
              </w:rPr>
            </w:pPr>
            <w:r>
              <w:rPr>
                <w:rFonts w:ascii="宋体" w:hAnsi="宋体"/>
                <w:szCs w:val="21"/>
              </w:rPr>
              <w:t>0.00%</w:t>
            </w:r>
          </w:p>
        </w:tc>
      </w:tr>
    </w:tbl>
    <w:p w:rsidR="003F2B07" w:rsidRDefault="003F2B07" w:rsidP="00BF2E58">
      <w:pPr>
        <w:pStyle w:val="2"/>
        <w:numPr>
          <w:ilvl w:val="0"/>
          <w:numId w:val="1"/>
        </w:numPr>
        <w:spacing w:beforeLines="50" w:afterLines="50" w:line="240" w:lineRule="auto"/>
        <w:jc w:val="left"/>
        <w:rPr>
          <w:rFonts w:ascii="宋体" w:eastAsia="宋体" w:hAnsi="宋体" w:hint="eastAsia"/>
          <w:bCs/>
          <w:sz w:val="24"/>
          <w:szCs w:val="24"/>
        </w:rPr>
      </w:pPr>
      <w:bookmarkStart w:id="47" w:name="t_2_4_3_table"/>
      <w:bookmarkStart w:id="48" w:name="t_2_5_table"/>
      <w:bookmarkEnd w:id="41"/>
      <w:bookmarkEnd w:id="43"/>
      <w:bookmarkEnd w:id="44"/>
      <w:bookmarkEnd w:id="46"/>
      <w:bookmarkEnd w:id="47"/>
      <w:bookmarkEnd w:id="48"/>
      <w:r>
        <w:rPr>
          <w:rFonts w:ascii="宋体" w:eastAsia="宋体" w:hAnsi="宋体" w:hint="eastAsia"/>
          <w:bCs/>
          <w:sz w:val="24"/>
          <w:szCs w:val="24"/>
        </w:rPr>
        <w:t>日常转换业务</w:t>
      </w:r>
    </w:p>
    <w:p w:rsidR="003F2B07" w:rsidRDefault="003F2B07" w:rsidP="00855B87">
      <w:pPr>
        <w:numPr>
          <w:ilvl w:val="1"/>
          <w:numId w:val="1"/>
        </w:numPr>
        <w:spacing w:beforeLines="50" w:afterLines="50"/>
        <w:jc w:val="left"/>
        <w:rPr>
          <w:rFonts w:ascii="宋体" w:hAnsi="宋体" w:hint="eastAsia"/>
          <w:b/>
          <w:sz w:val="24"/>
          <w:szCs w:val="20"/>
        </w:rPr>
      </w:pPr>
      <w:r>
        <w:rPr>
          <w:rFonts w:ascii="宋体" w:hAnsi="宋体" w:hint="eastAsia"/>
          <w:b/>
          <w:sz w:val="24"/>
          <w:szCs w:val="20"/>
        </w:rPr>
        <w:t>转换费率</w:t>
      </w:r>
    </w:p>
    <w:p w:rsidR="0030008F" w:rsidRDefault="0030008F">
      <w:pPr>
        <w:spacing w:line="360" w:lineRule="auto"/>
        <w:ind w:firstLineChars="200" w:firstLine="420"/>
        <w:jc w:val="left"/>
        <w:rPr>
          <w:rFonts w:ascii="宋体" w:hAnsi="宋体"/>
          <w:szCs w:val="21"/>
        </w:rPr>
      </w:pPr>
      <w:bookmarkStart w:id="49" w:name="t_2_5_0179_a1_fm1"/>
      <w:bookmarkEnd w:id="49"/>
      <w:r>
        <w:rPr>
          <w:rFonts w:ascii="宋体" w:hAnsi="宋体" w:hint="eastAsia"/>
          <w:szCs w:val="21"/>
        </w:rPr>
        <w:t>本公司旗下其他开放式基金转换转入本基金的转换费用具体查看本公司旗下其他开放式基金招募说明书和发售公告以及其他相关公告。</w:t>
      </w:r>
    </w:p>
    <w:p w:rsidR="0030008F" w:rsidRDefault="0030008F">
      <w:pPr>
        <w:spacing w:line="360" w:lineRule="auto"/>
        <w:ind w:firstLineChars="200" w:firstLine="420"/>
        <w:jc w:val="left"/>
        <w:rPr>
          <w:rFonts w:ascii="宋体" w:hAnsi="宋体"/>
          <w:szCs w:val="21"/>
        </w:rPr>
      </w:pPr>
      <w:r>
        <w:rPr>
          <w:rFonts w:ascii="宋体" w:hAnsi="宋体" w:hint="eastAsia"/>
          <w:szCs w:val="21"/>
        </w:rPr>
        <w:t>本基金转换转入本公司其他开放式基金的费用由转出和转入基金的申购费用补差和转出基金的赎回费两部分构成，具体收取情况视每次转换时两只基金的申购费用补差和转出基金赎回费率情况而定。基金转换费用由基金持有人承担。基金转换费用中赎回费归入基金资产的比例与基金赎回业务一致。具体公式如下：</w:t>
      </w:r>
    </w:p>
    <w:p w:rsidR="0030008F" w:rsidRDefault="0030008F">
      <w:pPr>
        <w:spacing w:line="360" w:lineRule="auto"/>
        <w:ind w:firstLineChars="200" w:firstLine="420"/>
        <w:jc w:val="left"/>
        <w:rPr>
          <w:rFonts w:ascii="宋体" w:hAnsi="宋体"/>
          <w:szCs w:val="21"/>
        </w:rPr>
      </w:pPr>
    </w:p>
    <w:p w:rsidR="0030008F" w:rsidRDefault="0030008F">
      <w:pPr>
        <w:spacing w:line="360" w:lineRule="auto"/>
        <w:ind w:firstLineChars="200" w:firstLine="420"/>
        <w:jc w:val="left"/>
        <w:rPr>
          <w:rFonts w:ascii="宋体" w:hAnsi="宋体"/>
          <w:szCs w:val="21"/>
        </w:rPr>
      </w:pPr>
      <w:r>
        <w:rPr>
          <w:rFonts w:ascii="宋体" w:hAnsi="宋体"/>
          <w:szCs w:val="21"/>
        </w:rPr>
        <w:t>1、转出金额 ＝ 转出基金份额 × 转出基金当日基金单位资产净值</w:t>
      </w:r>
    </w:p>
    <w:p w:rsidR="0030008F" w:rsidRDefault="0030008F">
      <w:pPr>
        <w:spacing w:line="360" w:lineRule="auto"/>
        <w:ind w:firstLineChars="200" w:firstLine="420"/>
        <w:jc w:val="left"/>
        <w:rPr>
          <w:rFonts w:ascii="宋体" w:hAnsi="宋体"/>
          <w:szCs w:val="21"/>
        </w:rPr>
      </w:pPr>
      <w:r>
        <w:rPr>
          <w:rFonts w:ascii="宋体" w:hAnsi="宋体"/>
          <w:szCs w:val="21"/>
        </w:rPr>
        <w:t>2、转换费用：</w:t>
      </w:r>
    </w:p>
    <w:p w:rsidR="0030008F" w:rsidRDefault="0030008F">
      <w:pPr>
        <w:spacing w:line="360" w:lineRule="auto"/>
        <w:ind w:firstLineChars="200" w:firstLine="420"/>
        <w:jc w:val="left"/>
        <w:rPr>
          <w:rFonts w:ascii="宋体" w:hAnsi="宋体"/>
          <w:szCs w:val="21"/>
        </w:rPr>
      </w:pPr>
      <w:r>
        <w:rPr>
          <w:rFonts w:ascii="宋体" w:hAnsi="宋体" w:hint="eastAsia"/>
          <w:szCs w:val="21"/>
        </w:rPr>
        <w:t>转换费用</w:t>
      </w:r>
      <w:r>
        <w:rPr>
          <w:rFonts w:ascii="宋体" w:hAnsi="宋体"/>
          <w:szCs w:val="21"/>
        </w:rPr>
        <w:t>=转出基金赎回费用+</w:t>
      </w:r>
      <w:r>
        <w:rPr>
          <w:rFonts w:ascii="宋体" w:hAnsi="宋体" w:hint="eastAsia"/>
          <w:szCs w:val="21"/>
        </w:rPr>
        <w:t>申购费用补差</w:t>
      </w:r>
    </w:p>
    <w:p w:rsidR="0030008F" w:rsidRDefault="0030008F">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1）转出基金赎回费计算方式：</w:t>
      </w:r>
    </w:p>
    <w:p w:rsidR="0030008F" w:rsidRDefault="0030008F">
      <w:pPr>
        <w:spacing w:line="360" w:lineRule="auto"/>
        <w:ind w:firstLineChars="200" w:firstLine="420"/>
        <w:jc w:val="left"/>
        <w:rPr>
          <w:rFonts w:ascii="宋体" w:hAnsi="宋体"/>
          <w:szCs w:val="21"/>
        </w:rPr>
      </w:pPr>
      <w:r>
        <w:rPr>
          <w:rFonts w:ascii="宋体" w:hAnsi="宋体" w:hint="eastAsia"/>
          <w:szCs w:val="21"/>
        </w:rPr>
        <w:t>赎回费用</w:t>
      </w:r>
      <w:r>
        <w:rPr>
          <w:rFonts w:ascii="宋体" w:hAnsi="宋体"/>
          <w:szCs w:val="21"/>
        </w:rPr>
        <w:t>=转出金额×转出基金赎回费率</w:t>
      </w:r>
    </w:p>
    <w:p w:rsidR="0030008F" w:rsidRDefault="0030008F">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2）申购费用补差计算方式：</w:t>
      </w:r>
    </w:p>
    <w:p w:rsidR="0030008F" w:rsidRDefault="0030008F">
      <w:pPr>
        <w:spacing w:line="360" w:lineRule="auto"/>
        <w:ind w:firstLineChars="200" w:firstLine="420"/>
        <w:jc w:val="left"/>
        <w:rPr>
          <w:rFonts w:ascii="宋体" w:hAnsi="宋体"/>
          <w:szCs w:val="21"/>
        </w:rPr>
      </w:pPr>
      <w:r>
        <w:rPr>
          <w:rFonts w:ascii="宋体" w:hAnsi="宋体"/>
          <w:szCs w:val="21"/>
        </w:rPr>
        <w:t>1）如果转入基金的申购费率 〉转出基金的申购费率时：</w:t>
      </w:r>
    </w:p>
    <w:p w:rsidR="0030008F" w:rsidRDefault="0030008F">
      <w:pPr>
        <w:spacing w:line="360" w:lineRule="auto"/>
        <w:ind w:firstLineChars="200" w:firstLine="420"/>
        <w:jc w:val="left"/>
        <w:rPr>
          <w:rFonts w:ascii="宋体" w:hAnsi="宋体"/>
          <w:szCs w:val="21"/>
        </w:rPr>
      </w:pPr>
      <w:r>
        <w:rPr>
          <w:rFonts w:ascii="宋体" w:hAnsi="宋体" w:hint="eastAsia"/>
          <w:szCs w:val="21"/>
        </w:rPr>
        <w:t>申购费用补差</w:t>
      </w:r>
      <w:r>
        <w:rPr>
          <w:rFonts w:ascii="宋体" w:hAnsi="宋体"/>
          <w:szCs w:val="21"/>
        </w:rPr>
        <w:t xml:space="preserve"> =转入基金申购费用-转出基金申购费用</w:t>
      </w:r>
    </w:p>
    <w:p w:rsidR="0030008F" w:rsidRDefault="0030008F">
      <w:pPr>
        <w:spacing w:line="360" w:lineRule="auto"/>
        <w:ind w:firstLineChars="200" w:firstLine="420"/>
        <w:jc w:val="left"/>
        <w:rPr>
          <w:rFonts w:ascii="宋体" w:hAnsi="宋体"/>
          <w:szCs w:val="21"/>
        </w:rPr>
      </w:pPr>
      <w:r>
        <w:rPr>
          <w:rFonts w:ascii="宋体" w:hAnsi="宋体" w:hint="eastAsia"/>
          <w:szCs w:val="21"/>
        </w:rPr>
        <w:t>转出基金申购费用</w:t>
      </w:r>
      <w:r>
        <w:rPr>
          <w:rFonts w:ascii="宋体" w:hAnsi="宋体"/>
          <w:szCs w:val="21"/>
        </w:rPr>
        <w:t>=（转出金额-转出基金赎回费用）×转出基金申购费率÷（1+转出基金申购费率）</w:t>
      </w:r>
    </w:p>
    <w:p w:rsidR="0030008F" w:rsidRDefault="0030008F">
      <w:pPr>
        <w:spacing w:line="360" w:lineRule="auto"/>
        <w:ind w:firstLineChars="200" w:firstLine="420"/>
        <w:jc w:val="left"/>
        <w:rPr>
          <w:rFonts w:ascii="宋体" w:hAnsi="宋体"/>
          <w:szCs w:val="21"/>
        </w:rPr>
      </w:pPr>
      <w:r>
        <w:rPr>
          <w:rFonts w:ascii="宋体" w:hAnsi="宋体" w:hint="eastAsia"/>
          <w:szCs w:val="21"/>
        </w:rPr>
        <w:t>转入基金申购费用</w:t>
      </w:r>
      <w:r>
        <w:rPr>
          <w:rFonts w:ascii="宋体" w:hAnsi="宋体"/>
          <w:szCs w:val="21"/>
        </w:rPr>
        <w:t>=（转出金额-转出基金赎回费用）×转入基金申购费率÷（1+转入基金申购费率）</w:t>
      </w:r>
    </w:p>
    <w:p w:rsidR="0030008F" w:rsidRDefault="0030008F">
      <w:pPr>
        <w:spacing w:line="360" w:lineRule="auto"/>
        <w:ind w:firstLineChars="200" w:firstLine="420"/>
        <w:jc w:val="left"/>
        <w:rPr>
          <w:rFonts w:ascii="宋体" w:hAnsi="宋体"/>
          <w:szCs w:val="21"/>
        </w:rPr>
      </w:pPr>
      <w:r>
        <w:rPr>
          <w:rFonts w:ascii="宋体" w:hAnsi="宋体"/>
          <w:szCs w:val="21"/>
        </w:rPr>
        <w:t>2）如果转出基金的申购费率 〉=转入基金的申购费率</w:t>
      </w:r>
    </w:p>
    <w:p w:rsidR="0030008F" w:rsidRDefault="0030008F">
      <w:pPr>
        <w:spacing w:line="360" w:lineRule="auto"/>
        <w:ind w:firstLineChars="200" w:firstLine="420"/>
        <w:jc w:val="left"/>
        <w:rPr>
          <w:rFonts w:ascii="宋体" w:hAnsi="宋体"/>
          <w:szCs w:val="21"/>
        </w:rPr>
      </w:pPr>
      <w:r>
        <w:rPr>
          <w:rFonts w:ascii="宋体" w:hAnsi="宋体" w:hint="eastAsia"/>
          <w:szCs w:val="21"/>
        </w:rPr>
        <w:t>申购费用补差</w:t>
      </w:r>
      <w:r>
        <w:rPr>
          <w:rFonts w:ascii="宋体" w:hAnsi="宋体"/>
          <w:szCs w:val="21"/>
        </w:rPr>
        <w:t xml:space="preserve"> =0</w:t>
      </w:r>
    </w:p>
    <w:p w:rsidR="0030008F" w:rsidRDefault="0030008F">
      <w:pPr>
        <w:spacing w:line="360" w:lineRule="auto"/>
        <w:ind w:firstLineChars="200" w:firstLine="420"/>
        <w:jc w:val="left"/>
        <w:rPr>
          <w:rFonts w:ascii="宋体" w:hAnsi="宋体"/>
          <w:szCs w:val="21"/>
        </w:rPr>
      </w:pPr>
      <w:r>
        <w:rPr>
          <w:rFonts w:ascii="宋体" w:hAnsi="宋体"/>
          <w:szCs w:val="21"/>
        </w:rPr>
        <w:t>3、转入金额 ＝ 转出金额 - 转换费用</w:t>
      </w:r>
    </w:p>
    <w:p w:rsidR="0030008F" w:rsidRDefault="0030008F">
      <w:pPr>
        <w:spacing w:line="360" w:lineRule="auto"/>
        <w:ind w:firstLineChars="200" w:firstLine="420"/>
        <w:jc w:val="left"/>
        <w:rPr>
          <w:rFonts w:ascii="宋体" w:hAnsi="宋体"/>
          <w:szCs w:val="21"/>
        </w:rPr>
      </w:pPr>
      <w:r>
        <w:rPr>
          <w:rFonts w:ascii="宋体" w:hAnsi="宋体"/>
          <w:szCs w:val="21"/>
        </w:rPr>
        <w:t>4、 转入份额 ＝ 转入金额 ÷ 转入基金转入当日基金单位份额净值</w:t>
      </w:r>
    </w:p>
    <w:p w:rsidR="0030008F" w:rsidRDefault="0030008F">
      <w:pPr>
        <w:spacing w:line="360" w:lineRule="auto"/>
        <w:ind w:firstLineChars="200" w:firstLine="420"/>
        <w:jc w:val="left"/>
        <w:rPr>
          <w:rFonts w:ascii="宋体" w:hAnsi="宋体"/>
          <w:szCs w:val="21"/>
        </w:rPr>
      </w:pPr>
      <w:r>
        <w:rPr>
          <w:rFonts w:ascii="宋体" w:hAnsi="宋体"/>
          <w:szCs w:val="21"/>
        </w:rPr>
        <w:t xml:space="preserve"> </w:t>
      </w:r>
    </w:p>
    <w:p w:rsidR="0030008F" w:rsidRDefault="0030008F">
      <w:pPr>
        <w:spacing w:line="360" w:lineRule="auto"/>
        <w:ind w:firstLineChars="200" w:firstLine="420"/>
        <w:jc w:val="left"/>
        <w:rPr>
          <w:rFonts w:ascii="宋体" w:hAnsi="宋体"/>
          <w:szCs w:val="21"/>
        </w:rPr>
      </w:pPr>
      <w:r>
        <w:rPr>
          <w:rFonts w:ascii="宋体" w:hAnsi="宋体"/>
          <w:szCs w:val="21"/>
        </w:rPr>
        <w:t xml:space="preserve">    例如:泰达宏利中证主要消费红利指数型证券投资基金A类份额10,000 份基金份额,25天后决定转换为泰达宏利集利债券型证券投资基金A类份额,假设转换当日转出基金份额净值是1.1380 元,转入基金的份额净值是1.8100元,泰达宏利中证主要消费红利指数型证券投资基金A类份额持有25天对应赎回费率为0.5%,若泰达宏利中证主要消费红利指数型证券投资基金A类份额的申购费率大于泰达宏利集利债券型证券投资基金A类份额的申购</w:t>
      </w:r>
      <w:r>
        <w:rPr>
          <w:rFonts w:ascii="宋体" w:hAnsi="宋体" w:hint="eastAsia"/>
          <w:szCs w:val="21"/>
        </w:rPr>
        <w:t>费率，则可得到的转换份额为</w:t>
      </w:r>
      <w:r>
        <w:rPr>
          <w:rFonts w:ascii="宋体" w:hAnsi="宋体"/>
          <w:szCs w:val="21"/>
        </w:rPr>
        <w:t>:</w:t>
      </w:r>
    </w:p>
    <w:p w:rsidR="0030008F" w:rsidRDefault="0030008F">
      <w:pPr>
        <w:spacing w:line="360" w:lineRule="auto"/>
        <w:ind w:firstLineChars="200" w:firstLine="420"/>
        <w:jc w:val="left"/>
        <w:rPr>
          <w:rFonts w:ascii="宋体" w:hAnsi="宋体"/>
          <w:szCs w:val="21"/>
        </w:rPr>
      </w:pPr>
    </w:p>
    <w:p w:rsidR="0030008F" w:rsidRDefault="004E2388">
      <w:pPr>
        <w:spacing w:line="360" w:lineRule="auto"/>
        <w:ind w:firstLineChars="200" w:firstLine="420"/>
        <w:jc w:val="left"/>
        <w:rPr>
          <w:rFonts w:ascii="宋体" w:hAnsi="宋体"/>
          <w:szCs w:val="21"/>
        </w:rPr>
      </w:pPr>
      <w:r>
        <w:rPr>
          <w:rFonts w:ascii="宋体" w:hAnsi="宋体"/>
          <w:szCs w:val="21"/>
        </w:rPr>
        <w:t xml:space="preserve">     </w:t>
      </w:r>
      <w:r w:rsidR="0030008F">
        <w:rPr>
          <w:rFonts w:ascii="宋体" w:hAnsi="宋体"/>
          <w:szCs w:val="21"/>
        </w:rPr>
        <w:t>转出金额=10,000×1.1380=11,380元</w:t>
      </w:r>
    </w:p>
    <w:p w:rsidR="0030008F" w:rsidRDefault="0030008F">
      <w:pPr>
        <w:spacing w:line="360" w:lineRule="auto"/>
        <w:ind w:firstLineChars="200" w:firstLine="420"/>
        <w:jc w:val="left"/>
        <w:rPr>
          <w:rFonts w:ascii="宋体" w:hAnsi="宋体"/>
          <w:szCs w:val="21"/>
        </w:rPr>
      </w:pPr>
      <w:r>
        <w:rPr>
          <w:rFonts w:ascii="宋体" w:hAnsi="宋体"/>
          <w:szCs w:val="21"/>
        </w:rPr>
        <w:t xml:space="preserve">    转换费用=10,000×1.1380×0.5%=56.90元</w:t>
      </w:r>
    </w:p>
    <w:p w:rsidR="0030008F" w:rsidRDefault="0030008F">
      <w:pPr>
        <w:spacing w:line="360" w:lineRule="auto"/>
        <w:ind w:firstLineChars="200" w:firstLine="420"/>
        <w:jc w:val="left"/>
        <w:rPr>
          <w:rFonts w:ascii="宋体" w:hAnsi="宋体"/>
          <w:szCs w:val="21"/>
        </w:rPr>
      </w:pPr>
      <w:r>
        <w:rPr>
          <w:rFonts w:ascii="宋体" w:hAnsi="宋体"/>
          <w:szCs w:val="21"/>
        </w:rPr>
        <w:t xml:space="preserve">    转入金额=11,380-56.90=11,323.1元</w:t>
      </w:r>
    </w:p>
    <w:p w:rsidR="0030008F" w:rsidRDefault="0030008F">
      <w:pPr>
        <w:spacing w:line="360" w:lineRule="auto"/>
        <w:ind w:firstLineChars="200" w:firstLine="420"/>
        <w:jc w:val="left"/>
        <w:rPr>
          <w:rFonts w:ascii="宋体" w:hAnsi="宋体"/>
          <w:szCs w:val="21"/>
        </w:rPr>
      </w:pPr>
      <w:r>
        <w:rPr>
          <w:rFonts w:ascii="宋体" w:hAnsi="宋体"/>
          <w:szCs w:val="21"/>
        </w:rPr>
        <w:t xml:space="preserve">    转入份额=11,323.1/1.8100=6,255.86份</w:t>
      </w:r>
    </w:p>
    <w:p w:rsidR="0030008F" w:rsidRDefault="0030008F">
      <w:pPr>
        <w:spacing w:line="360" w:lineRule="auto"/>
        <w:ind w:firstLineChars="200" w:firstLine="420"/>
        <w:jc w:val="left"/>
        <w:rPr>
          <w:rFonts w:ascii="宋体" w:hAnsi="宋体"/>
          <w:szCs w:val="21"/>
        </w:rPr>
      </w:pPr>
      <w:r>
        <w:rPr>
          <w:rFonts w:ascii="宋体" w:hAnsi="宋体"/>
          <w:szCs w:val="21"/>
        </w:rPr>
        <w:t xml:space="preserve">    即:基金份额持有人持有泰达宏利中证主要消费红利指数型证券投资基金A类份额10,000 份基金份额，25天后决定转换为泰达宏利集利债券型证券投资基金A类份额,假设转换当日转出基金份额净值是1.1380元,转入基金的基金份额净值是1.8100元,则可得到的转换份额为6,255.86份。</w:t>
      </w:r>
    </w:p>
    <w:p w:rsidR="003F2B07" w:rsidRDefault="003F2B07">
      <w:pPr>
        <w:spacing w:line="360" w:lineRule="auto"/>
        <w:ind w:firstLineChars="200" w:firstLine="420"/>
        <w:jc w:val="left"/>
        <w:rPr>
          <w:rFonts w:ascii="宋体" w:hAnsi="宋体" w:hint="eastAsia"/>
          <w:szCs w:val="21"/>
        </w:rPr>
      </w:pPr>
    </w:p>
    <w:p w:rsidR="003F2B07" w:rsidRDefault="003F2B07" w:rsidP="00855B87">
      <w:pPr>
        <w:numPr>
          <w:ilvl w:val="1"/>
          <w:numId w:val="1"/>
        </w:numPr>
        <w:spacing w:beforeLines="50" w:afterLines="50"/>
        <w:rPr>
          <w:rFonts w:ascii="宋体" w:hAnsi="宋体" w:hint="eastAsia"/>
          <w:b/>
          <w:sz w:val="24"/>
          <w:szCs w:val="20"/>
        </w:rPr>
      </w:pPr>
      <w:r>
        <w:rPr>
          <w:rFonts w:ascii="宋体" w:hAnsi="宋体" w:hint="eastAsia"/>
          <w:b/>
          <w:sz w:val="24"/>
          <w:szCs w:val="20"/>
        </w:rPr>
        <w:t>其他与转换相关的事项</w:t>
      </w:r>
    </w:p>
    <w:p w:rsidR="0030008F" w:rsidRDefault="0030008F">
      <w:pPr>
        <w:spacing w:line="360" w:lineRule="auto"/>
        <w:ind w:firstLineChars="200" w:firstLine="420"/>
        <w:rPr>
          <w:rFonts w:ascii="宋体" w:hAnsi="宋体"/>
          <w:szCs w:val="21"/>
        </w:rPr>
      </w:pPr>
      <w:bookmarkStart w:id="50" w:name="t_2_5_2824_a1_fm1"/>
      <w:bookmarkEnd w:id="50"/>
      <w:r>
        <w:rPr>
          <w:rFonts w:ascii="宋体" w:hAnsi="宋体"/>
          <w:szCs w:val="21"/>
        </w:rPr>
        <w:t>1）开通转换入、转换出业务的时间</w:t>
      </w:r>
    </w:p>
    <w:p w:rsidR="0030008F" w:rsidRDefault="0030008F">
      <w:pPr>
        <w:spacing w:line="360" w:lineRule="auto"/>
        <w:ind w:firstLineChars="200" w:firstLine="420"/>
        <w:rPr>
          <w:rFonts w:ascii="宋体" w:hAnsi="宋体"/>
          <w:szCs w:val="21"/>
        </w:rPr>
      </w:pPr>
      <w:r>
        <w:rPr>
          <w:rFonts w:ascii="宋体" w:hAnsi="宋体" w:hint="eastAsia"/>
          <w:szCs w:val="21"/>
        </w:rPr>
        <w:t>自公告开放日起，本公司直销机构和部分代销机构将同时开通本基金与旗下其他开放式基金（泰达宏利价值优化型成长类行业混合型证券投资基金、泰达宏利价值优化型周期类行业混合型证券投资基金、泰达宏利价值优化型稳定类行业混合型证券投资基金</w:t>
      </w:r>
      <w:r>
        <w:rPr>
          <w:rFonts w:ascii="宋体" w:hAnsi="宋体"/>
          <w:szCs w:val="21"/>
        </w:rPr>
        <w:t xml:space="preserve"> 、泰达宏利行业精选混合型证券投资基金、泰达宏利风险预算混合型证券投资基金、泰达宏利货币市场基金、泰达宏利首选企业股票型证券投资基金、泰达宏利市值优选混合型证券投资基金、泰达宏利集利债券型证券投资基金、泰达宏利品质生活灵活配置混合型证券投资基金、泰达宏</w:t>
      </w:r>
      <w:r>
        <w:rPr>
          <w:rFonts w:ascii="宋体" w:hAnsi="宋体" w:hint="eastAsia"/>
          <w:szCs w:val="21"/>
        </w:rPr>
        <w:t>利红利先锋混合型证券投资基金、</w:t>
      </w:r>
      <w:r>
        <w:rPr>
          <w:rFonts w:ascii="宋体" w:hAnsi="宋体"/>
          <w:szCs w:val="21"/>
        </w:rPr>
        <w:t xml:space="preserve"> 泰达宏利沪深300指数增强型证券投资基金A类份额、泰达宏利领先中小盘混合型证券投资基金、泰达宏利逆向策略混合型证券投资基金、泰达宏利宏达混合型证券投资基金、泰达宏利淘利债券型证券投资基金、泰达宏利转型机遇股票型证券投资基金、泰达宏利改革动力量化策略灵活配置混合型证券投资基金A类份额、泰达宏利创盈灵活配置混合型证券投资基金、泰达宏利复兴伟业灵活配置混合型证券投资基金、泰达宏利新起点灵活配置混合型证券投资基金A类份额、泰达宏利蓝筹价值混合型证券投资基金、泰达宏利新思路灵活配置混</w:t>
      </w:r>
      <w:r>
        <w:rPr>
          <w:rFonts w:ascii="宋体" w:hAnsi="宋体" w:hint="eastAsia"/>
          <w:szCs w:val="21"/>
        </w:rPr>
        <w:t>合型证券投资基金</w:t>
      </w:r>
      <w:r>
        <w:rPr>
          <w:rFonts w:ascii="宋体" w:hAnsi="宋体"/>
          <w:szCs w:val="21"/>
        </w:rPr>
        <w:t>A类份额、泰达宏利创益灵活配置混合型证券投资基金A类份额、泰达宏利活期友货币市场基金A类份额、泰达宏利同顺大数据量化优选灵活配置混合型证券投资基金A类份额、泰达宏利量化增强股票型证券投资基金、泰达宏利定宏混合型证券投资基金、泰达宏利睿智稳健混合型证券投资基金、泰达宏利睿选稳健混合型证券投资基金、泰达宏利绩优增长混合型证券投资基金、泰达宏利京元宝货币市场基金、泰达宏利业绩驱动量化股票型证券投资基金、泰达宏利纯利债券型证券投资基金、泰达宏利永利债券型证券投资基、泰达宏利启富混合型证券投资基金、</w:t>
      </w:r>
      <w:r>
        <w:rPr>
          <w:rFonts w:ascii="宋体" w:hAnsi="宋体" w:hint="eastAsia"/>
          <w:szCs w:val="21"/>
        </w:rPr>
        <w:t>泰达宏利品牌升级混合型证券投资基金、</w:t>
      </w:r>
      <w:r w:rsidR="00E15FAE" w:rsidRPr="00E15FAE">
        <w:rPr>
          <w:rFonts w:ascii="宋体" w:hAnsi="宋体" w:hint="eastAsia"/>
          <w:szCs w:val="21"/>
        </w:rPr>
        <w:t>泰达宏利溢利债券型证券投资基金</w:t>
      </w:r>
      <w:r w:rsidR="00E15FAE">
        <w:rPr>
          <w:rFonts w:ascii="宋体" w:hAnsi="宋体" w:hint="eastAsia"/>
          <w:szCs w:val="21"/>
        </w:rPr>
        <w:t>、</w:t>
      </w:r>
      <w:r>
        <w:rPr>
          <w:rFonts w:ascii="宋体" w:hAnsi="宋体" w:hint="eastAsia"/>
          <w:szCs w:val="21"/>
        </w:rPr>
        <w:t>泰达宏利消费行业量化精选混合型证券投资基金）之间的转换业务，最低转换份额</w:t>
      </w:r>
      <w:r>
        <w:rPr>
          <w:rFonts w:ascii="宋体" w:hAnsi="宋体"/>
          <w:szCs w:val="21"/>
        </w:rPr>
        <w:t>1份。</w:t>
      </w:r>
    </w:p>
    <w:p w:rsidR="0030008F" w:rsidRDefault="0030008F">
      <w:pPr>
        <w:spacing w:line="360" w:lineRule="auto"/>
        <w:ind w:firstLineChars="200" w:firstLine="420"/>
        <w:rPr>
          <w:rFonts w:ascii="宋体" w:hAnsi="宋体"/>
          <w:szCs w:val="21"/>
        </w:rPr>
      </w:pPr>
      <w:r>
        <w:rPr>
          <w:rFonts w:ascii="宋体" w:hAnsi="宋体"/>
          <w:szCs w:val="21"/>
        </w:rPr>
        <w:t>2）开通转换入、转换出业务的具体代销机构</w:t>
      </w:r>
    </w:p>
    <w:p w:rsidR="0030008F" w:rsidRDefault="0030008F">
      <w:pPr>
        <w:spacing w:line="360" w:lineRule="auto"/>
        <w:ind w:firstLineChars="200" w:firstLine="420"/>
        <w:rPr>
          <w:rFonts w:ascii="宋体" w:hAnsi="宋体"/>
          <w:szCs w:val="21"/>
        </w:rPr>
      </w:pPr>
      <w:r>
        <w:rPr>
          <w:rFonts w:ascii="宋体" w:hAnsi="宋体"/>
          <w:szCs w:val="21"/>
        </w:rPr>
        <w:t>3) 本基金产品A类份额和C类份额相互不开通转换业务。</w:t>
      </w:r>
    </w:p>
    <w:p w:rsidR="0030008F" w:rsidRDefault="0030008F">
      <w:pPr>
        <w:spacing w:line="360" w:lineRule="auto"/>
        <w:ind w:firstLineChars="200" w:firstLine="420"/>
        <w:rPr>
          <w:rFonts w:ascii="宋体" w:hAnsi="宋体"/>
          <w:szCs w:val="21"/>
        </w:rPr>
      </w:pPr>
      <w:r>
        <w:rPr>
          <w:rFonts w:ascii="宋体" w:hAnsi="宋体" w:hint="eastAsia"/>
          <w:szCs w:val="21"/>
        </w:rPr>
        <w:t>具体开通转换业务的销售机构请以销售机构相关规定为准。</w:t>
      </w:r>
    </w:p>
    <w:p w:rsidR="003F2B07" w:rsidRDefault="003F2B07">
      <w:pPr>
        <w:spacing w:line="360" w:lineRule="auto"/>
        <w:ind w:firstLineChars="200" w:firstLine="420"/>
        <w:rPr>
          <w:rFonts w:ascii="宋体" w:hAnsi="宋体" w:hint="eastAsia"/>
          <w:szCs w:val="21"/>
        </w:rPr>
      </w:pPr>
    </w:p>
    <w:p w:rsidR="003F2B07" w:rsidRDefault="003F2B07" w:rsidP="00855B87">
      <w:pPr>
        <w:pStyle w:val="2"/>
        <w:numPr>
          <w:ilvl w:val="0"/>
          <w:numId w:val="1"/>
        </w:numPr>
        <w:spacing w:beforeLines="50" w:afterLines="50" w:line="240" w:lineRule="auto"/>
        <w:jc w:val="left"/>
        <w:rPr>
          <w:rFonts w:ascii="宋体" w:eastAsia="宋体" w:hAnsi="宋体" w:hint="eastAsia"/>
          <w:bCs/>
          <w:sz w:val="24"/>
          <w:szCs w:val="24"/>
        </w:rPr>
      </w:pPr>
      <w:bookmarkStart w:id="51" w:name="t_2_6_table"/>
      <w:bookmarkEnd w:id="51"/>
      <w:r>
        <w:rPr>
          <w:rFonts w:ascii="宋体" w:eastAsia="宋体" w:hAnsi="宋体" w:hint="eastAsia"/>
          <w:bCs/>
          <w:sz w:val="24"/>
          <w:szCs w:val="24"/>
        </w:rPr>
        <w:t>定期定额投资业务</w:t>
      </w:r>
    </w:p>
    <w:p w:rsidR="0030008F" w:rsidRDefault="0030008F">
      <w:pPr>
        <w:spacing w:line="360" w:lineRule="auto"/>
        <w:ind w:firstLineChars="200" w:firstLine="420"/>
        <w:jc w:val="left"/>
        <w:rPr>
          <w:rFonts w:ascii="宋体" w:hAnsi="宋体"/>
          <w:szCs w:val="21"/>
        </w:rPr>
      </w:pPr>
      <w:bookmarkStart w:id="52" w:name="t_2_6_2825_a1_fm1"/>
      <w:bookmarkEnd w:id="52"/>
      <w:r>
        <w:rPr>
          <w:rFonts w:ascii="宋体" w:hAnsi="宋体"/>
          <w:szCs w:val="21"/>
        </w:rPr>
        <w:t>1）开始办理的时间</w:t>
      </w:r>
    </w:p>
    <w:p w:rsidR="0030008F" w:rsidRDefault="0030008F">
      <w:pPr>
        <w:spacing w:line="360" w:lineRule="auto"/>
        <w:ind w:firstLineChars="200" w:firstLine="420"/>
        <w:jc w:val="left"/>
        <w:rPr>
          <w:rFonts w:ascii="宋体" w:hAnsi="宋体"/>
          <w:szCs w:val="21"/>
        </w:rPr>
      </w:pPr>
      <w:r>
        <w:rPr>
          <w:rFonts w:ascii="宋体" w:hAnsi="宋体" w:hint="eastAsia"/>
          <w:szCs w:val="21"/>
        </w:rPr>
        <w:t>本基金于公告开放日起开始接受定期定额投资业务。</w:t>
      </w:r>
    </w:p>
    <w:p w:rsidR="0030008F" w:rsidRDefault="0030008F">
      <w:pPr>
        <w:spacing w:line="360" w:lineRule="auto"/>
        <w:ind w:firstLineChars="200" w:firstLine="420"/>
        <w:jc w:val="left"/>
        <w:rPr>
          <w:rFonts w:ascii="宋体" w:hAnsi="宋体"/>
          <w:szCs w:val="21"/>
        </w:rPr>
      </w:pPr>
      <w:r>
        <w:rPr>
          <w:rFonts w:ascii="宋体" w:hAnsi="宋体"/>
          <w:szCs w:val="21"/>
        </w:rPr>
        <w:t>2）定期定额业务的销售机构</w:t>
      </w:r>
    </w:p>
    <w:p w:rsidR="0030008F" w:rsidRDefault="0030008F">
      <w:pPr>
        <w:spacing w:line="360" w:lineRule="auto"/>
        <w:ind w:firstLineChars="200" w:firstLine="420"/>
        <w:jc w:val="left"/>
        <w:rPr>
          <w:rFonts w:ascii="宋体" w:hAnsi="宋体"/>
          <w:szCs w:val="21"/>
        </w:rPr>
      </w:pPr>
      <w:r>
        <w:rPr>
          <w:rFonts w:ascii="宋体" w:hAnsi="宋体" w:hint="eastAsia"/>
          <w:szCs w:val="21"/>
        </w:rPr>
        <w:t>我司已对本基金所有代销机构开通了定期定额投资业务的系统支持，代销机构是否开通定期定额投资业务以其公告为准。</w:t>
      </w:r>
    </w:p>
    <w:p w:rsidR="0030008F" w:rsidRDefault="0030008F">
      <w:pPr>
        <w:spacing w:line="360" w:lineRule="auto"/>
        <w:ind w:firstLineChars="200" w:firstLine="420"/>
        <w:jc w:val="left"/>
        <w:rPr>
          <w:rFonts w:ascii="宋体" w:hAnsi="宋体"/>
          <w:szCs w:val="21"/>
        </w:rPr>
      </w:pPr>
      <w:r>
        <w:rPr>
          <w:rFonts w:ascii="宋体" w:hAnsi="宋体" w:hint="eastAsia"/>
          <w:szCs w:val="21"/>
        </w:rPr>
        <w:t>网上直销平台为投资者提供定期定额申购费率优惠，具体支持的银行卡及定期定额申购费率请参考相关公告及网上交易有关内容。有关网上直销定期定额投资的业务规则请查询本公司网站网上交易相关内容。</w:t>
      </w:r>
    </w:p>
    <w:p w:rsidR="003F2B07" w:rsidRDefault="00B75E4C">
      <w:pPr>
        <w:spacing w:line="360" w:lineRule="auto"/>
        <w:ind w:firstLineChars="200" w:firstLine="420"/>
        <w:jc w:val="left"/>
        <w:rPr>
          <w:rFonts w:ascii="宋体" w:hAnsi="宋体" w:hint="eastAsia"/>
          <w:szCs w:val="21"/>
        </w:rPr>
      </w:pPr>
      <w:r w:rsidRPr="00B75E4C">
        <w:rPr>
          <w:rFonts w:ascii="宋体" w:hAnsi="宋体" w:hint="eastAsia"/>
          <w:szCs w:val="21"/>
        </w:rPr>
        <w:t>本公司本基金定期定额投资费率与申购费率相同，最低定期定额申购额为1元，销售机构在不低于上述规定的前提下，可根据自身的相关情况设定本基金的定期定额申购金额下限，投资者在办理定期定额申购业务时，需遵循对应销售机构的规定。通过本公司网上直销进行定期定额申购，单个基金账户单笔最低金额为1元。</w:t>
      </w:r>
    </w:p>
    <w:p w:rsidR="003F2B07" w:rsidRDefault="003F2B07" w:rsidP="00B431E8">
      <w:pPr>
        <w:pStyle w:val="2"/>
        <w:numPr>
          <w:ilvl w:val="0"/>
          <w:numId w:val="1"/>
        </w:numPr>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基金销售机构</w:t>
      </w:r>
    </w:p>
    <w:p w:rsidR="003F2B07" w:rsidRDefault="003F2B07" w:rsidP="00601AF8">
      <w:pPr>
        <w:numPr>
          <w:ilvl w:val="1"/>
          <w:numId w:val="1"/>
        </w:numPr>
        <w:spacing w:beforeLines="50" w:afterLines="50"/>
        <w:jc w:val="left"/>
        <w:rPr>
          <w:rFonts w:ascii="宋体" w:hAnsi="宋体" w:hint="eastAsia"/>
          <w:b/>
          <w:sz w:val="24"/>
          <w:szCs w:val="20"/>
        </w:rPr>
      </w:pPr>
      <w:r>
        <w:rPr>
          <w:rFonts w:ascii="宋体" w:hAnsi="宋体" w:hint="eastAsia"/>
          <w:b/>
          <w:sz w:val="24"/>
          <w:szCs w:val="20"/>
        </w:rPr>
        <w:t>场外销售机构</w:t>
      </w:r>
    </w:p>
    <w:p w:rsidR="003F2B07" w:rsidRDefault="003F2B07" w:rsidP="00601AF8">
      <w:pPr>
        <w:numPr>
          <w:ilvl w:val="2"/>
          <w:numId w:val="1"/>
        </w:numPr>
        <w:spacing w:beforeLines="50" w:afterLines="50"/>
        <w:rPr>
          <w:rFonts w:ascii="宋体" w:hAnsi="宋体" w:hint="eastAsia"/>
          <w:b/>
          <w:sz w:val="24"/>
          <w:szCs w:val="20"/>
        </w:rPr>
      </w:pPr>
      <w:r>
        <w:rPr>
          <w:rFonts w:ascii="宋体" w:hAnsi="宋体" w:hint="eastAsia"/>
          <w:b/>
          <w:sz w:val="24"/>
          <w:szCs w:val="20"/>
        </w:rPr>
        <w:t>直销机构</w:t>
      </w:r>
    </w:p>
    <w:p w:rsidR="0030008F" w:rsidRDefault="0030008F">
      <w:pPr>
        <w:spacing w:beforeLines="50" w:afterLines="50" w:line="360" w:lineRule="auto"/>
        <w:jc w:val="left"/>
        <w:rPr>
          <w:rFonts w:ascii="宋体" w:hAnsi="宋体"/>
          <w:szCs w:val="21"/>
        </w:rPr>
      </w:pPr>
      <w:bookmarkStart w:id="53" w:name="t_2_7_2833_a1_fm1"/>
      <w:bookmarkEnd w:id="53"/>
      <w:r>
        <w:rPr>
          <w:rFonts w:ascii="宋体" w:hAnsi="宋体" w:hint="eastAsia"/>
          <w:szCs w:val="21"/>
        </w:rPr>
        <w:t>直销机构：泰达宏利基金管理有限公司</w:t>
      </w:r>
    </w:p>
    <w:p w:rsidR="0030008F" w:rsidRDefault="0030008F">
      <w:pPr>
        <w:spacing w:beforeLines="50" w:afterLines="50" w:line="360" w:lineRule="auto"/>
        <w:jc w:val="left"/>
        <w:rPr>
          <w:rFonts w:ascii="宋体" w:hAnsi="宋体"/>
          <w:szCs w:val="21"/>
        </w:rPr>
      </w:pPr>
      <w:r>
        <w:rPr>
          <w:rFonts w:ascii="宋体" w:hAnsi="宋体" w:hint="eastAsia"/>
          <w:szCs w:val="21"/>
        </w:rPr>
        <w:t>直销柜台：北京市朝阳区针织路</w:t>
      </w:r>
      <w:r>
        <w:rPr>
          <w:rFonts w:ascii="宋体" w:hAnsi="宋体"/>
          <w:szCs w:val="21"/>
        </w:rPr>
        <w:t>23号楼中国人寿金融中心6层02-07单元</w:t>
      </w:r>
    </w:p>
    <w:p w:rsidR="0030008F" w:rsidRDefault="0030008F">
      <w:pPr>
        <w:spacing w:beforeLines="50" w:afterLines="50" w:line="360" w:lineRule="auto"/>
        <w:jc w:val="left"/>
        <w:rPr>
          <w:rFonts w:ascii="宋体" w:hAnsi="宋体"/>
          <w:szCs w:val="21"/>
        </w:rPr>
      </w:pPr>
      <w:r>
        <w:rPr>
          <w:rFonts w:ascii="宋体" w:hAnsi="宋体" w:hint="eastAsia"/>
          <w:szCs w:val="21"/>
        </w:rPr>
        <w:t>电话：</w:t>
      </w:r>
      <w:r>
        <w:rPr>
          <w:rFonts w:ascii="宋体" w:hAnsi="宋体"/>
          <w:szCs w:val="21"/>
        </w:rPr>
        <w:t>010-66577619、010-66577617</w:t>
      </w:r>
    </w:p>
    <w:p w:rsidR="0030008F" w:rsidRDefault="0030008F">
      <w:pPr>
        <w:spacing w:beforeLines="50" w:afterLines="50" w:line="360" w:lineRule="auto"/>
        <w:jc w:val="left"/>
        <w:rPr>
          <w:rFonts w:ascii="宋体" w:hAnsi="宋体"/>
          <w:szCs w:val="21"/>
        </w:rPr>
      </w:pPr>
      <w:r>
        <w:rPr>
          <w:rFonts w:ascii="宋体" w:hAnsi="宋体" w:hint="eastAsia"/>
          <w:szCs w:val="21"/>
        </w:rPr>
        <w:t>传真：</w:t>
      </w:r>
      <w:r>
        <w:rPr>
          <w:rFonts w:ascii="宋体" w:hAnsi="宋体"/>
          <w:szCs w:val="21"/>
        </w:rPr>
        <w:t>010--66577760</w:t>
      </w:r>
    </w:p>
    <w:p w:rsidR="0030008F" w:rsidRDefault="0030008F">
      <w:pPr>
        <w:spacing w:beforeLines="50" w:afterLines="50" w:line="360" w:lineRule="auto"/>
        <w:jc w:val="left"/>
        <w:rPr>
          <w:rFonts w:ascii="宋体" w:hAnsi="宋体"/>
          <w:szCs w:val="21"/>
        </w:rPr>
      </w:pPr>
      <w:r>
        <w:rPr>
          <w:rFonts w:ascii="宋体" w:hAnsi="宋体" w:hint="eastAsia"/>
          <w:szCs w:val="21"/>
        </w:rPr>
        <w:t>联系人：刘恋</w:t>
      </w:r>
    </w:p>
    <w:p w:rsidR="0030008F" w:rsidRDefault="0030008F">
      <w:pPr>
        <w:spacing w:beforeLines="50" w:afterLines="50" w:line="360" w:lineRule="auto"/>
        <w:jc w:val="left"/>
        <w:rPr>
          <w:rFonts w:ascii="宋体" w:hAnsi="宋体"/>
          <w:szCs w:val="21"/>
        </w:rPr>
      </w:pPr>
      <w:r>
        <w:rPr>
          <w:rFonts w:ascii="宋体" w:hAnsi="宋体" w:hint="eastAsia"/>
          <w:szCs w:val="21"/>
        </w:rPr>
        <w:t>泰达宏利基金网上直销系统：</w:t>
      </w:r>
    </w:p>
    <w:p w:rsidR="0030008F" w:rsidRDefault="0030008F">
      <w:pPr>
        <w:spacing w:beforeLines="50" w:afterLines="50" w:line="360" w:lineRule="auto"/>
        <w:jc w:val="left"/>
        <w:rPr>
          <w:rFonts w:ascii="宋体" w:hAnsi="宋体"/>
          <w:szCs w:val="21"/>
        </w:rPr>
      </w:pPr>
      <w:r>
        <w:rPr>
          <w:rFonts w:ascii="宋体" w:hAnsi="宋体" w:hint="eastAsia"/>
          <w:szCs w:val="21"/>
        </w:rPr>
        <w:t>网上交易系统网址：</w:t>
      </w:r>
      <w:r>
        <w:rPr>
          <w:rFonts w:ascii="宋体" w:hAnsi="宋体"/>
          <w:szCs w:val="21"/>
        </w:rPr>
        <w:t>https://etrade.mfcteda.com/etrading/</w:t>
      </w:r>
    </w:p>
    <w:p w:rsidR="0030008F" w:rsidRDefault="0030008F">
      <w:pPr>
        <w:spacing w:beforeLines="50" w:afterLines="50" w:line="360" w:lineRule="auto"/>
        <w:jc w:val="left"/>
        <w:rPr>
          <w:rFonts w:ascii="宋体" w:hAnsi="宋体"/>
          <w:szCs w:val="21"/>
        </w:rPr>
      </w:pPr>
      <w:r>
        <w:rPr>
          <w:rFonts w:ascii="宋体" w:hAnsi="宋体" w:hint="eastAsia"/>
          <w:szCs w:val="21"/>
        </w:rPr>
        <w:t>泰达宏利微信公众账号：</w:t>
      </w:r>
      <w:r>
        <w:rPr>
          <w:rFonts w:ascii="宋体" w:hAnsi="宋体"/>
          <w:szCs w:val="21"/>
        </w:rPr>
        <w:t>mfcteda_BJ或微信搜索“泰达宏利基金”进行账户绑定、交易、查询功能。</w:t>
      </w:r>
    </w:p>
    <w:p w:rsidR="0030008F" w:rsidRDefault="0030008F">
      <w:pPr>
        <w:spacing w:beforeLines="50" w:afterLines="50" w:line="360" w:lineRule="auto"/>
        <w:jc w:val="left"/>
        <w:rPr>
          <w:rFonts w:ascii="宋体" w:hAnsi="宋体"/>
          <w:szCs w:val="21"/>
        </w:rPr>
      </w:pPr>
      <w:r>
        <w:rPr>
          <w:rFonts w:ascii="宋体" w:hAnsi="宋体" w:hint="eastAsia"/>
          <w:szCs w:val="21"/>
        </w:rPr>
        <w:t>客服电话：</w:t>
      </w:r>
      <w:r>
        <w:rPr>
          <w:rFonts w:ascii="宋体" w:hAnsi="宋体"/>
          <w:szCs w:val="21"/>
        </w:rPr>
        <w:t>400-698-8888或010-66555662</w:t>
      </w:r>
    </w:p>
    <w:p w:rsidR="0030008F" w:rsidRDefault="0030008F">
      <w:pPr>
        <w:spacing w:beforeLines="50" w:afterLines="50" w:line="360" w:lineRule="auto"/>
        <w:jc w:val="left"/>
        <w:rPr>
          <w:rFonts w:ascii="宋体" w:hAnsi="宋体"/>
          <w:szCs w:val="21"/>
        </w:rPr>
      </w:pPr>
      <w:r>
        <w:rPr>
          <w:rFonts w:ascii="宋体" w:hAnsi="宋体" w:hint="eastAsia"/>
          <w:szCs w:val="21"/>
        </w:rPr>
        <w:t>客服信箱：</w:t>
      </w:r>
      <w:r>
        <w:rPr>
          <w:rFonts w:ascii="宋体" w:hAnsi="宋体"/>
          <w:szCs w:val="21"/>
        </w:rPr>
        <w:t>irm@mfcteda.com</w:t>
      </w:r>
    </w:p>
    <w:p w:rsidR="003F2B07" w:rsidRDefault="003F2B07">
      <w:pPr>
        <w:spacing w:beforeLines="50" w:afterLines="50" w:line="360" w:lineRule="auto"/>
        <w:jc w:val="left"/>
        <w:rPr>
          <w:rFonts w:ascii="宋体" w:hAnsi="宋体" w:hint="eastAsia"/>
          <w:szCs w:val="21"/>
        </w:rPr>
      </w:pPr>
    </w:p>
    <w:p w:rsidR="003F2B07" w:rsidRDefault="003F2B07" w:rsidP="00601AF8">
      <w:pPr>
        <w:numPr>
          <w:ilvl w:val="2"/>
          <w:numId w:val="1"/>
        </w:numPr>
        <w:spacing w:beforeLines="50" w:afterLines="50"/>
        <w:jc w:val="left"/>
        <w:rPr>
          <w:rFonts w:ascii="宋体" w:hAnsi="宋体" w:hint="eastAsia"/>
          <w:b/>
          <w:sz w:val="24"/>
          <w:szCs w:val="20"/>
        </w:rPr>
      </w:pPr>
      <w:r>
        <w:rPr>
          <w:rFonts w:ascii="宋体" w:hAnsi="宋体" w:hint="eastAsia"/>
          <w:b/>
          <w:sz w:val="24"/>
          <w:szCs w:val="20"/>
        </w:rPr>
        <w:t>场外代销机构</w:t>
      </w:r>
    </w:p>
    <w:p w:rsidR="003F2B07" w:rsidRPr="00296997" w:rsidRDefault="00296997">
      <w:pPr>
        <w:spacing w:beforeLines="50" w:afterLines="50" w:line="360" w:lineRule="auto"/>
        <w:ind w:firstLineChars="200" w:firstLine="420"/>
        <w:jc w:val="left"/>
        <w:rPr>
          <w:rFonts w:ascii="宋体" w:hAnsi="宋体" w:hint="eastAsia"/>
          <w:szCs w:val="21"/>
        </w:rPr>
      </w:pPr>
      <w:bookmarkStart w:id="54" w:name="t_2_7_2834_a1_fm1"/>
      <w:bookmarkEnd w:id="54"/>
      <w:r w:rsidRPr="00296997">
        <w:rPr>
          <w:rFonts w:ascii="宋体" w:hAnsi="宋体" w:hint="eastAsia"/>
          <w:szCs w:val="21"/>
        </w:rPr>
        <w:t>中国农业银行股份有限公司、中国银行股份有限公司、平安银行股份有限公司、东莞银行股份有限公司、北京银行股份有限公司、上海浦东发展银行股份有限公司、交通银行股份有限公司、渤海证券股份有限公司、广发证券股份有限公司、</w:t>
      </w:r>
      <w:r w:rsidR="00826200">
        <w:rPr>
          <w:rFonts w:ascii="宋体" w:hAnsi="宋体" w:hint="eastAsia"/>
          <w:szCs w:val="21"/>
        </w:rPr>
        <w:t>国</w:t>
      </w:r>
      <w:r w:rsidRPr="00296997">
        <w:rPr>
          <w:rFonts w:ascii="宋体" w:hAnsi="宋体" w:hint="eastAsia"/>
          <w:szCs w:val="21"/>
        </w:rPr>
        <w:t>泰君安证券股份有限公司、海通证券股份有限公司、华泰证券股份有限公司、中信建投证券股份有限公司、申万宏源证券有限公司、申万宏源西部证券有限公司、中国银河证券股份有限公司、长城证券股份有限公司、长江证券股份有限公司、东海证券股份有限公司、光大证券股份有限公司、华福证券有限责任公司、中信证券华南股份有限公司、国都证券股份有限公司、南京证券股份有限公司、平安证券股份有限公司、世纪证券有限责任公司、新时代证券股份有限公司、招商证券股份有限公司、安信证券股份有限公司、中泰证券股份有限公司、中信证券股份有限公司、中信证券（山东）有限责任公司、中山证券有限责任公司、西部证券股份有限公司、万联证券股份有限公司、西南证券股份有限公司、中信期货有限公司、深圳众禄基金销售股份有限公司、上海天天基金销售有限公司、上海好买基金销售有限公司、蚂蚁（杭州）基金销售有限公司、上海长量基金销售有限公司、浙江同花顺基金销售有限公司、北京展恒基金销售股份有限公司、一路财富（北京）基金销售有限公司、上海汇付基金销售有限公司、上海陆金所基金销售有限公司、和讯信息科技有限公司、上海联泰基金销售有限公司、深圳市新兰德证券投资咨询有限公司、北京蛋卷基金销售有限公司、武汉市伯嘉基金销售有限公司、北京恒天明泽基金销售有限公司、北京广源达信基金销售有限公司、北京晟视天下基金销售有限公司、北京新浪仓石基金销售有限公司、珠海盈米基金销售有限公司、上海基煜基金销售有限公司、北京汇成基金销售有限公司、上海云湾基金销售有限公司、北京肯特瑞基金销售有限公司、北京格上富信基金销售有限公司、宜信普泽（北京）基金销售有限公司、济安财富（北京）基金销售有限公司、万家财富基金销售（天津）有限公司、江苏汇林保大基金销售有限公司、北京唐鼎耀华基金销售有限公司、海银基金销售有限公司、嘉实财富管理有限公司、南京苏宁基金销售有限公司、北京植信基金销售有限公司、西藏东方财富证券股份有限公司、上海中正达广基金销售有限公司、诺亚正行基金销售</w:t>
      </w:r>
      <w:r>
        <w:rPr>
          <w:rFonts w:ascii="宋体" w:hAnsi="宋体" w:hint="eastAsia"/>
          <w:szCs w:val="21"/>
        </w:rPr>
        <w:t>有限公司、大连网金基金销售有限公司，详细请以本公司相关公告为准</w:t>
      </w:r>
      <w:r w:rsidR="0030008F" w:rsidRPr="00296997">
        <w:rPr>
          <w:rFonts w:ascii="宋体" w:hAnsi="宋体" w:hint="eastAsia"/>
          <w:szCs w:val="21"/>
        </w:rPr>
        <w:t>。</w:t>
      </w:r>
    </w:p>
    <w:p w:rsidR="003F2B07" w:rsidRDefault="003F2B07" w:rsidP="00601AF8">
      <w:pPr>
        <w:numPr>
          <w:ilvl w:val="1"/>
          <w:numId w:val="1"/>
        </w:numPr>
        <w:spacing w:beforeLines="50" w:afterLines="50"/>
        <w:jc w:val="left"/>
        <w:rPr>
          <w:rFonts w:ascii="宋体" w:hAnsi="宋体" w:hint="eastAsia"/>
          <w:b/>
          <w:sz w:val="24"/>
          <w:szCs w:val="20"/>
        </w:rPr>
      </w:pPr>
      <w:r>
        <w:rPr>
          <w:rFonts w:ascii="宋体" w:hAnsi="宋体" w:hint="eastAsia"/>
          <w:b/>
          <w:sz w:val="24"/>
          <w:szCs w:val="20"/>
        </w:rPr>
        <w:t>场内销售机构</w:t>
      </w:r>
    </w:p>
    <w:p w:rsidR="003F2B07" w:rsidRDefault="0030008F">
      <w:pPr>
        <w:spacing w:line="360" w:lineRule="auto"/>
        <w:ind w:firstLineChars="200" w:firstLine="420"/>
        <w:jc w:val="left"/>
        <w:rPr>
          <w:rFonts w:ascii="宋体" w:hAnsi="宋体" w:hint="eastAsia"/>
          <w:szCs w:val="21"/>
        </w:rPr>
      </w:pPr>
      <w:bookmarkStart w:id="55" w:name="t_2_7_2835_a1_fm1"/>
      <w:bookmarkEnd w:id="55"/>
      <w:r>
        <w:rPr>
          <w:rFonts w:ascii="宋体" w:hAnsi="宋体" w:hint="eastAsia"/>
          <w:szCs w:val="21"/>
        </w:rPr>
        <w:t>无。</w:t>
      </w:r>
    </w:p>
    <w:p w:rsidR="003F2B07" w:rsidRDefault="003F2B07" w:rsidP="00601AF8">
      <w:pPr>
        <w:pStyle w:val="2"/>
        <w:numPr>
          <w:ilvl w:val="0"/>
          <w:numId w:val="1"/>
        </w:numPr>
        <w:spacing w:beforeLines="50" w:afterLines="50" w:line="240" w:lineRule="auto"/>
        <w:jc w:val="left"/>
        <w:rPr>
          <w:rFonts w:ascii="宋体" w:eastAsia="宋体" w:hAnsi="宋体" w:hint="eastAsia"/>
          <w:bCs/>
          <w:sz w:val="24"/>
          <w:szCs w:val="24"/>
        </w:rPr>
      </w:pPr>
      <w:bookmarkStart w:id="56" w:name="t_2_8_table"/>
      <w:bookmarkEnd w:id="56"/>
      <w:r>
        <w:rPr>
          <w:rFonts w:ascii="宋体" w:eastAsia="宋体" w:hAnsi="宋体" w:hint="eastAsia"/>
          <w:bCs/>
          <w:sz w:val="24"/>
          <w:szCs w:val="24"/>
        </w:rPr>
        <w:t>基金份额净值公告/基金收益公告的披露安排</w:t>
      </w:r>
    </w:p>
    <w:p w:rsidR="003F2B07" w:rsidRDefault="0030008F">
      <w:pPr>
        <w:spacing w:line="360" w:lineRule="auto"/>
        <w:ind w:firstLineChars="200" w:firstLine="420"/>
        <w:jc w:val="left"/>
        <w:rPr>
          <w:rFonts w:ascii="宋体" w:hAnsi="宋体" w:hint="eastAsia"/>
          <w:szCs w:val="21"/>
        </w:rPr>
      </w:pPr>
      <w:bookmarkStart w:id="57" w:name="t_2_8_2756_a1_fm1"/>
      <w:bookmarkEnd w:id="57"/>
      <w:r>
        <w:rPr>
          <w:rFonts w:ascii="宋体" w:hAnsi="宋体" w:hint="eastAsia"/>
          <w:szCs w:val="21"/>
        </w:rPr>
        <w:t>本基金管理人在每个交易日（上海证券交易所和深圳证券交易所的正常交易日）通过中国证监会指定的信息披露媒体、各销售机构、本基金管理人的网站等媒介公布本基金上一个交易日的基金份额净值，敬请投资人留意。</w:t>
      </w:r>
    </w:p>
    <w:p w:rsidR="003F2B07" w:rsidRDefault="003F2B07" w:rsidP="007058EF">
      <w:pPr>
        <w:pStyle w:val="2"/>
        <w:numPr>
          <w:ilvl w:val="0"/>
          <w:numId w:val="1"/>
        </w:numPr>
        <w:spacing w:beforeLines="50" w:afterLines="50" w:line="240" w:lineRule="auto"/>
        <w:jc w:val="left"/>
        <w:rPr>
          <w:rFonts w:ascii="宋体" w:eastAsia="宋体" w:hAnsi="宋体" w:hint="eastAsia"/>
          <w:bCs/>
          <w:sz w:val="24"/>
          <w:szCs w:val="24"/>
        </w:rPr>
      </w:pPr>
      <w:bookmarkStart w:id="58" w:name="t_2_9_table"/>
      <w:bookmarkEnd w:id="58"/>
      <w:r>
        <w:rPr>
          <w:rFonts w:ascii="宋体" w:eastAsia="宋体" w:hAnsi="宋体" w:hint="eastAsia"/>
          <w:bCs/>
          <w:sz w:val="24"/>
          <w:szCs w:val="24"/>
        </w:rPr>
        <w:t>其他需要提示的事项</w:t>
      </w:r>
    </w:p>
    <w:p w:rsidR="0030008F" w:rsidRDefault="0030008F">
      <w:pPr>
        <w:adjustRightInd w:val="0"/>
        <w:spacing w:line="360" w:lineRule="auto"/>
        <w:ind w:firstLineChars="200" w:firstLine="420"/>
        <w:jc w:val="left"/>
        <w:rPr>
          <w:rFonts w:ascii="宋体" w:hAnsi="宋体"/>
          <w:szCs w:val="21"/>
        </w:rPr>
      </w:pPr>
      <w:bookmarkStart w:id="59" w:name="t_2_9_2646_a1_fm1"/>
      <w:bookmarkEnd w:id="59"/>
      <w:r>
        <w:rPr>
          <w:rFonts w:ascii="宋体" w:hAnsi="宋体" w:hint="eastAsia"/>
          <w:szCs w:val="21"/>
        </w:rPr>
        <w:t>本公告仅对泰达宏利中证主要消费红利指数型证券投资基金开放申购、赎回、转换及定期定额投资业务的有关事项予以说明。</w:t>
      </w:r>
    </w:p>
    <w:p w:rsidR="0030008F" w:rsidRDefault="0030008F">
      <w:pPr>
        <w:adjustRightInd w:val="0"/>
        <w:spacing w:line="360" w:lineRule="auto"/>
        <w:ind w:firstLineChars="200" w:firstLine="420"/>
        <w:jc w:val="left"/>
        <w:rPr>
          <w:rFonts w:ascii="宋体" w:hAnsi="宋体"/>
          <w:szCs w:val="21"/>
        </w:rPr>
      </w:pPr>
      <w:r>
        <w:rPr>
          <w:rFonts w:ascii="宋体" w:hAnsi="宋体" w:hint="eastAsia"/>
          <w:szCs w:val="21"/>
        </w:rPr>
        <w:t>投资者可以登录本公司网站（</w:t>
      </w:r>
      <w:r>
        <w:rPr>
          <w:rFonts w:ascii="宋体" w:hAnsi="宋体"/>
          <w:szCs w:val="21"/>
        </w:rPr>
        <w:t xml:space="preserve">www.mfcteda.com）查询或者拨打本公司的客户服务电话(400-698-8888或010-66555662)垂询相关事宜。 </w:t>
      </w:r>
    </w:p>
    <w:p w:rsidR="0030008F" w:rsidRDefault="0030008F">
      <w:pPr>
        <w:adjustRightInd w:val="0"/>
        <w:spacing w:line="360" w:lineRule="auto"/>
        <w:ind w:firstLineChars="200" w:firstLine="420"/>
        <w:jc w:val="left"/>
        <w:rPr>
          <w:rFonts w:ascii="宋体" w:hAnsi="宋体"/>
          <w:szCs w:val="21"/>
        </w:rPr>
      </w:pPr>
      <w:r>
        <w:rPr>
          <w:rFonts w:ascii="宋体" w:hAnsi="宋体" w:hint="eastAsia"/>
          <w:szCs w:val="21"/>
        </w:rPr>
        <w:t>风险提示：本基金管理人承诺以诚实信用、勤勉尽责的原则管理和运用基金资产，但不保证基金一定盈利，也不保证最低收益。敬请投资人于投资前认真阅读本基金的基金合同和招募说明书。</w:t>
      </w:r>
    </w:p>
    <w:p w:rsidR="003F2B07" w:rsidRDefault="003F2B07">
      <w:pPr>
        <w:adjustRightInd w:val="0"/>
        <w:spacing w:line="360" w:lineRule="auto"/>
        <w:ind w:firstLineChars="200" w:firstLine="420"/>
        <w:jc w:val="left"/>
        <w:rPr>
          <w:rFonts w:ascii="宋体" w:hAnsi="宋体"/>
          <w:szCs w:val="21"/>
        </w:rPr>
      </w:pPr>
    </w:p>
    <w:p w:rsidR="003F2B07" w:rsidRDefault="003F2B07">
      <w:pPr>
        <w:adjustRightInd w:val="0"/>
        <w:spacing w:line="360" w:lineRule="auto"/>
        <w:ind w:firstLineChars="200" w:firstLine="420"/>
        <w:jc w:val="left"/>
        <w:rPr>
          <w:rFonts w:ascii="宋体" w:hAnsi="宋体"/>
          <w:szCs w:val="21"/>
        </w:rPr>
      </w:pPr>
    </w:p>
    <w:p w:rsidR="003F2B07" w:rsidRDefault="003F2B07">
      <w:pPr>
        <w:adjustRightInd w:val="0"/>
        <w:spacing w:line="360" w:lineRule="auto"/>
        <w:ind w:firstLineChars="200" w:firstLine="420"/>
        <w:jc w:val="left"/>
        <w:rPr>
          <w:rFonts w:ascii="宋体" w:hAnsi="宋体"/>
          <w:szCs w:val="21"/>
        </w:rPr>
      </w:pPr>
    </w:p>
    <w:p w:rsidR="0030008F" w:rsidRDefault="0030008F">
      <w:pPr>
        <w:spacing w:line="360" w:lineRule="auto"/>
        <w:jc w:val="right"/>
        <w:rPr>
          <w:rFonts w:ascii="宋体" w:hAnsi="宋体"/>
          <w:sz w:val="24"/>
          <w:szCs w:val="30"/>
        </w:rPr>
      </w:pPr>
      <w:r>
        <w:rPr>
          <w:rFonts w:ascii="宋体" w:hAnsi="宋体" w:hint="eastAsia"/>
          <w:sz w:val="24"/>
          <w:szCs w:val="30"/>
        </w:rPr>
        <w:t>泰达宏利基金管理有限公司</w:t>
      </w:r>
    </w:p>
    <w:p w:rsidR="003F2B07" w:rsidRDefault="0030008F">
      <w:pPr>
        <w:spacing w:line="360" w:lineRule="auto"/>
        <w:jc w:val="right"/>
        <w:rPr>
          <w:rFonts w:ascii="宋体" w:hAnsi="宋体" w:hint="eastAsia"/>
          <w:szCs w:val="21"/>
        </w:rPr>
      </w:pPr>
      <w:r>
        <w:rPr>
          <w:rFonts w:ascii="宋体" w:hAnsi="宋体"/>
          <w:sz w:val="24"/>
          <w:szCs w:val="30"/>
        </w:rPr>
        <w:t>2020年4月16日</w:t>
      </w:r>
    </w:p>
    <w:sectPr w:rsidR="003F2B07">
      <w:headerReference w:type="default" r:id="rId8"/>
      <w:footerReference w:type="default" r:id="rId9"/>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25C" w:rsidRDefault="0014025C" w:rsidP="00F34E60">
      <w:r>
        <w:separator/>
      </w:r>
    </w:p>
  </w:endnote>
  <w:endnote w:type="continuationSeparator" w:id="1">
    <w:p w:rsidR="0014025C" w:rsidRDefault="0014025C" w:rsidP="00F34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8F" w:rsidRDefault="0030008F" w:rsidP="0030008F">
    <w:pPr>
      <w:pStyle w:val="a5"/>
      <w:jc w:val="center"/>
    </w:pPr>
    <w:r>
      <w:rPr>
        <w:rFonts w:hint="eastAsia"/>
      </w:rPr>
      <w:t>第</w:t>
    </w:r>
    <w:r>
      <w:rPr>
        <w:rFonts w:hint="eastAsia"/>
      </w:rPr>
      <w:t xml:space="preserve"> </w:t>
    </w:r>
    <w:fldSimple w:instr=" PAGE   \* MERGEFORMAT ">
      <w:r w:rsidR="0053769A">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53769A">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25C" w:rsidRDefault="0014025C" w:rsidP="00F34E60">
      <w:r>
        <w:separator/>
      </w:r>
    </w:p>
  </w:footnote>
  <w:footnote w:type="continuationSeparator" w:id="1">
    <w:p w:rsidR="0014025C" w:rsidRDefault="0014025C" w:rsidP="00F34E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8F" w:rsidRDefault="0030008F" w:rsidP="0030008F">
    <w:pPr>
      <w:pStyle w:val="a3"/>
      <w:jc w:val="right"/>
    </w:pPr>
    <w:r>
      <w:rPr>
        <w:rFonts w:hint="eastAsia"/>
      </w:rPr>
      <w:t>泰达宏利中证主要消费红利指数型证券投资基金开放申购、赎回、转换及定期定额投资业务的公告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3088D"/>
    <w:multiLevelType w:val="multilevel"/>
    <w:tmpl w:val="92F2BDC8"/>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215A2A60"/>
    <w:multiLevelType w:val="multilevel"/>
    <w:tmpl w:val="92F2BDC8"/>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27DD01D4"/>
    <w:multiLevelType w:val="multilevel"/>
    <w:tmpl w:val="92F2BDC8"/>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45632661"/>
    <w:multiLevelType w:val="multilevel"/>
    <w:tmpl w:val="92F2BDC8"/>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76B55780"/>
    <w:multiLevelType w:val="multilevel"/>
    <w:tmpl w:val="92F2BDC8"/>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83F53"/>
    <w:rsid w:val="000C1B14"/>
    <w:rsid w:val="00130B97"/>
    <w:rsid w:val="0014025C"/>
    <w:rsid w:val="00296997"/>
    <w:rsid w:val="0030008F"/>
    <w:rsid w:val="00327CA9"/>
    <w:rsid w:val="003328C1"/>
    <w:rsid w:val="00386F04"/>
    <w:rsid w:val="003F2B07"/>
    <w:rsid w:val="004310F0"/>
    <w:rsid w:val="004E2388"/>
    <w:rsid w:val="0053769A"/>
    <w:rsid w:val="00590930"/>
    <w:rsid w:val="00601AF8"/>
    <w:rsid w:val="007058EF"/>
    <w:rsid w:val="007902F0"/>
    <w:rsid w:val="00810414"/>
    <w:rsid w:val="00826200"/>
    <w:rsid w:val="00855B87"/>
    <w:rsid w:val="00890EE5"/>
    <w:rsid w:val="008B13A7"/>
    <w:rsid w:val="0090786B"/>
    <w:rsid w:val="00926966"/>
    <w:rsid w:val="009A4C73"/>
    <w:rsid w:val="009A58D5"/>
    <w:rsid w:val="00B431E8"/>
    <w:rsid w:val="00B75E4C"/>
    <w:rsid w:val="00B76529"/>
    <w:rsid w:val="00BB393B"/>
    <w:rsid w:val="00BF2E58"/>
    <w:rsid w:val="00BF6B4C"/>
    <w:rsid w:val="00C16803"/>
    <w:rsid w:val="00CA357C"/>
    <w:rsid w:val="00CD290D"/>
    <w:rsid w:val="00D011BF"/>
    <w:rsid w:val="00D81BF6"/>
    <w:rsid w:val="00DE6C51"/>
    <w:rsid w:val="00E15FAE"/>
    <w:rsid w:val="00F236F8"/>
    <w:rsid w:val="00F34E60"/>
    <w:rsid w:val="00FB1BEF"/>
    <w:rsid w:val="00FC0C0F"/>
    <w:rsid w:val="00FD0C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kern w:val="2"/>
      <w:sz w:val="18"/>
      <w:szCs w:val="18"/>
    </w:rPr>
  </w:style>
  <w:style w:type="character" w:customStyle="1" w:styleId="Char0">
    <w:name w:val="脚注文本 Char"/>
    <w:link w:val="a4"/>
    <w:rPr>
      <w:rFonts w:ascii="Times New Roman" w:hAnsi="Times New Roman"/>
      <w:kern w:val="2"/>
      <w:sz w:val="18"/>
    </w:rPr>
  </w:style>
  <w:style w:type="character" w:customStyle="1" w:styleId="Char1">
    <w:name w:val="页脚 Char"/>
    <w:link w:val="a5"/>
    <w:rPr>
      <w:kern w:val="2"/>
      <w:sz w:val="18"/>
      <w:szCs w:val="18"/>
    </w:rPr>
  </w:style>
  <w:style w:type="character" w:customStyle="1" w:styleId="2Char">
    <w:name w:val="标题 2 Char"/>
    <w:link w:val="2"/>
    <w:rPr>
      <w:rFonts w:ascii="Arial" w:eastAsia="黑体" w:hAnsi="Arial"/>
      <w:b/>
      <w:kern w:val="2"/>
      <w:sz w:val="32"/>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4">
    <w:name w:val="footnote text"/>
    <w:basedOn w:val="a"/>
    <w:link w:val="Char0"/>
    <w:pPr>
      <w:snapToGrid w:val="0"/>
      <w:jc w:val="left"/>
    </w:pPr>
    <w:rPr>
      <w:rFonts w:ascii="Times New Roman" w:hAnsi="Times New Roman"/>
      <w:sz w:val="18"/>
      <w:szCs w:val="20"/>
      <w:lang/>
    </w:rPr>
  </w:style>
  <w:style w:type="paragraph" w:styleId="a5">
    <w:name w:val="footer"/>
    <w:basedOn w:val="a"/>
    <w:link w:val="Char1"/>
    <w:pPr>
      <w:tabs>
        <w:tab w:val="center" w:pos="4153"/>
        <w:tab w:val="right" w:pos="8306"/>
      </w:tabs>
      <w:snapToGrid w:val="0"/>
      <w:jc w:val="left"/>
    </w:pPr>
    <w:rPr>
      <w:sz w:val="18"/>
      <w:szCs w:val="18"/>
      <w:lang/>
    </w:rPr>
  </w:style>
  <w:style w:type="paragraph" w:styleId="a7">
    <w:name w:val="Document Map"/>
    <w:basedOn w:val="a"/>
    <w:pPr>
      <w:shd w:val="clear" w:color="auto" w:fill="000080"/>
    </w:pPr>
  </w:style>
  <w:style w:type="paragraph" w:styleId="a3">
    <w:name w:val="header"/>
    <w:basedOn w:val="a"/>
    <w:link w:val="Char"/>
    <w:pPr>
      <w:pBdr>
        <w:bottom w:val="single" w:sz="6" w:space="1" w:color="auto"/>
      </w:pBdr>
      <w:tabs>
        <w:tab w:val="center" w:pos="4153"/>
        <w:tab w:val="right" w:pos="8306"/>
      </w:tabs>
      <w:snapToGrid w:val="0"/>
      <w:jc w:val="center"/>
    </w:pPr>
    <w:rPr>
      <w:sz w:val="18"/>
      <w:szCs w:val="18"/>
      <w:lang/>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C0011-7784-415C-ADAB-9314EFE6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3</Pages>
  <Words>898</Words>
  <Characters>5119</Characters>
  <Application>Microsoft Office Word</Application>
  <DocSecurity>4</DocSecurity>
  <PresentationFormat/>
  <Lines>42</Lines>
  <Paragraphs>12</Paragraphs>
  <Slides>0</Slides>
  <Notes>0</Notes>
  <HiddenSlides>0</HiddenSlides>
  <MMClips>0</MMClips>
  <ScaleCrop>false</ScaleCrop>
  <Manager/>
  <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dc:description/>
  <cp:lastModifiedBy>JonMMx 2000</cp:lastModifiedBy>
  <cp:revision>2</cp:revision>
  <cp:lastPrinted>1899-12-30T00:00:00Z</cp:lastPrinted>
  <dcterms:created xsi:type="dcterms:W3CDTF">2020-04-15T16:00:00Z</dcterms:created>
  <dcterms:modified xsi:type="dcterms:W3CDTF">2020-04-15T16:00:00Z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