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157" w:rsidRPr="00E52966" w:rsidRDefault="00E31157" w:rsidP="00E52966">
      <w:pPr>
        <w:pStyle w:val="Default"/>
        <w:spacing w:line="360" w:lineRule="auto"/>
        <w:jc w:val="center"/>
        <w:rPr>
          <w:rFonts w:asciiTheme="minorEastAsia" w:eastAsiaTheme="minorEastAsia" w:hAnsiTheme="minorEastAsia"/>
          <w:b/>
          <w:color w:val="auto"/>
        </w:rPr>
      </w:pPr>
      <w:r w:rsidRPr="00E52966">
        <w:rPr>
          <w:rFonts w:asciiTheme="minorEastAsia" w:eastAsiaTheme="minorEastAsia" w:hAnsiTheme="minorEastAsia" w:hint="eastAsia"/>
          <w:b/>
          <w:color w:val="auto"/>
        </w:rPr>
        <w:t>汇添富基金管理股份有限公司关于根据《公开募集证券投资基金信息披露管理办法》修改旗下部分基金基金合同及托管协议的公告</w:t>
      </w:r>
    </w:p>
    <w:p w:rsidR="00E31157" w:rsidRPr="00E52966" w:rsidRDefault="00E31157" w:rsidP="00E52966">
      <w:pPr>
        <w:pStyle w:val="Default"/>
        <w:spacing w:line="360" w:lineRule="auto"/>
        <w:jc w:val="both"/>
        <w:rPr>
          <w:rFonts w:asciiTheme="minorEastAsia" w:eastAsiaTheme="minorEastAsia" w:hAnsiTheme="minorEastAsia"/>
          <w:color w:val="auto"/>
        </w:rPr>
      </w:pPr>
    </w:p>
    <w:p w:rsidR="00E31157" w:rsidRPr="00E52966" w:rsidRDefault="00E31157" w:rsidP="00E52966">
      <w:pPr>
        <w:pStyle w:val="Default"/>
        <w:spacing w:line="360" w:lineRule="auto"/>
        <w:ind w:firstLineChars="200" w:firstLine="480"/>
        <w:jc w:val="both"/>
        <w:rPr>
          <w:rFonts w:asciiTheme="minorEastAsia" w:eastAsiaTheme="minorEastAsia" w:hAnsiTheme="minorEastAsia"/>
          <w:color w:val="auto"/>
        </w:rPr>
      </w:pPr>
      <w:r w:rsidRPr="00E52966">
        <w:rPr>
          <w:rFonts w:asciiTheme="minorEastAsia" w:eastAsiaTheme="minorEastAsia" w:hAnsiTheme="minorEastAsia" w:hint="eastAsia"/>
          <w:color w:val="auto"/>
        </w:rPr>
        <w:t>根据中国证券监督管理委员会</w:t>
      </w:r>
      <w:r w:rsidRPr="00E52966">
        <w:rPr>
          <w:rFonts w:asciiTheme="minorEastAsia" w:eastAsiaTheme="minorEastAsia" w:hAnsiTheme="minorEastAsia" w:cs="Times New Roman"/>
          <w:color w:val="auto"/>
        </w:rPr>
        <w:t>2019</w:t>
      </w:r>
      <w:r w:rsidRPr="00E52966">
        <w:rPr>
          <w:rFonts w:asciiTheme="minorEastAsia" w:eastAsiaTheme="minorEastAsia" w:hAnsiTheme="minorEastAsia" w:hint="eastAsia"/>
          <w:color w:val="auto"/>
        </w:rPr>
        <w:t>年</w:t>
      </w:r>
      <w:r w:rsidRPr="00E52966">
        <w:rPr>
          <w:rFonts w:asciiTheme="minorEastAsia" w:eastAsiaTheme="minorEastAsia" w:hAnsiTheme="minorEastAsia" w:cs="Times New Roman"/>
          <w:color w:val="auto"/>
        </w:rPr>
        <w:t>7</w:t>
      </w:r>
      <w:r w:rsidRPr="00E52966">
        <w:rPr>
          <w:rFonts w:asciiTheme="minorEastAsia" w:eastAsiaTheme="minorEastAsia" w:hAnsiTheme="minorEastAsia" w:hint="eastAsia"/>
          <w:color w:val="auto"/>
        </w:rPr>
        <w:t>月</w:t>
      </w:r>
      <w:r w:rsidRPr="00E52966">
        <w:rPr>
          <w:rFonts w:asciiTheme="minorEastAsia" w:eastAsiaTheme="minorEastAsia" w:hAnsiTheme="minorEastAsia" w:cs="Times New Roman"/>
          <w:color w:val="auto"/>
        </w:rPr>
        <w:t>26</w:t>
      </w:r>
      <w:r w:rsidRPr="00E52966">
        <w:rPr>
          <w:rFonts w:asciiTheme="minorEastAsia" w:eastAsiaTheme="minorEastAsia" w:hAnsiTheme="minorEastAsia" w:hint="eastAsia"/>
          <w:color w:val="auto"/>
        </w:rPr>
        <w:t>日颁布、同年</w:t>
      </w:r>
      <w:r w:rsidRPr="00E52966">
        <w:rPr>
          <w:rFonts w:asciiTheme="minorEastAsia" w:eastAsiaTheme="minorEastAsia" w:hAnsiTheme="minorEastAsia" w:cs="Times New Roman"/>
          <w:color w:val="auto"/>
        </w:rPr>
        <w:t>9</w:t>
      </w:r>
      <w:r w:rsidRPr="00E52966">
        <w:rPr>
          <w:rFonts w:asciiTheme="minorEastAsia" w:eastAsiaTheme="minorEastAsia" w:hAnsiTheme="minorEastAsia" w:hint="eastAsia"/>
          <w:color w:val="auto"/>
        </w:rPr>
        <w:t>月</w:t>
      </w:r>
      <w:r w:rsidRPr="00E52966">
        <w:rPr>
          <w:rFonts w:asciiTheme="minorEastAsia" w:eastAsiaTheme="minorEastAsia" w:hAnsiTheme="minorEastAsia" w:cs="Times New Roman"/>
          <w:color w:val="auto"/>
        </w:rPr>
        <w:t>1</w:t>
      </w:r>
      <w:r w:rsidRPr="00E52966">
        <w:rPr>
          <w:rFonts w:asciiTheme="minorEastAsia" w:eastAsiaTheme="minorEastAsia" w:hAnsiTheme="minorEastAsia" w:hint="eastAsia"/>
          <w:color w:val="auto"/>
        </w:rPr>
        <w:t>日实施的《公开募集证券投资基金信息披露管理办法》及各基金基金合同的有关规定，</w:t>
      </w:r>
      <w:r w:rsidR="0012795E" w:rsidRPr="00E52966">
        <w:rPr>
          <w:rFonts w:asciiTheme="minorEastAsia" w:eastAsiaTheme="minorEastAsia" w:hAnsiTheme="minorEastAsia"/>
          <w:color w:val="auto"/>
        </w:rPr>
        <w:t>汇添富</w:t>
      </w:r>
      <w:r w:rsidRPr="00E52966">
        <w:rPr>
          <w:rFonts w:asciiTheme="minorEastAsia" w:eastAsiaTheme="minorEastAsia" w:hAnsiTheme="minorEastAsia" w:hint="eastAsia"/>
          <w:color w:val="auto"/>
        </w:rPr>
        <w:t>基金管理</w:t>
      </w:r>
      <w:r w:rsidR="0012795E" w:rsidRPr="00E52966">
        <w:rPr>
          <w:rFonts w:asciiTheme="minorEastAsia" w:eastAsiaTheme="minorEastAsia" w:hAnsiTheme="minorEastAsia" w:hint="eastAsia"/>
          <w:color w:val="auto"/>
        </w:rPr>
        <w:t>股份</w:t>
      </w:r>
      <w:r w:rsidRPr="00E52966">
        <w:rPr>
          <w:rFonts w:asciiTheme="minorEastAsia" w:eastAsiaTheme="minorEastAsia" w:hAnsiTheme="minorEastAsia" w:hint="eastAsia"/>
          <w:color w:val="auto"/>
        </w:rPr>
        <w:t>有限公司（以下简称</w:t>
      </w:r>
      <w:r w:rsidRPr="00E52966">
        <w:rPr>
          <w:rFonts w:asciiTheme="minorEastAsia" w:eastAsiaTheme="minorEastAsia" w:hAnsiTheme="minorEastAsia"/>
          <w:color w:val="auto"/>
        </w:rPr>
        <w:t>“</w:t>
      </w:r>
      <w:r w:rsidRPr="00E52966">
        <w:rPr>
          <w:rFonts w:asciiTheme="minorEastAsia" w:eastAsiaTheme="minorEastAsia" w:hAnsiTheme="minorEastAsia" w:hint="eastAsia"/>
          <w:color w:val="auto"/>
        </w:rPr>
        <w:t>本公司</w:t>
      </w:r>
      <w:r w:rsidRPr="00E52966">
        <w:rPr>
          <w:rFonts w:asciiTheme="minorEastAsia" w:eastAsiaTheme="minorEastAsia" w:hAnsiTheme="minorEastAsia"/>
          <w:color w:val="auto"/>
        </w:rPr>
        <w:t>”</w:t>
      </w:r>
      <w:r w:rsidRPr="00E52966">
        <w:rPr>
          <w:rFonts w:asciiTheme="minorEastAsia" w:eastAsiaTheme="minorEastAsia" w:hAnsiTheme="minorEastAsia" w:hint="eastAsia"/>
          <w:color w:val="auto"/>
        </w:rPr>
        <w:t>）经与基金托管人协商一致，对旗下部分基金的基金合同和托管协议中涉及信息披露的相关条款进行修改，相关基金名单见附件。</w:t>
      </w:r>
    </w:p>
    <w:p w:rsidR="00E31157" w:rsidRPr="00E52966" w:rsidRDefault="00E31157" w:rsidP="00E52966">
      <w:pPr>
        <w:pStyle w:val="Default"/>
        <w:spacing w:line="360" w:lineRule="auto"/>
        <w:ind w:firstLineChars="200" w:firstLine="480"/>
        <w:jc w:val="both"/>
        <w:rPr>
          <w:rFonts w:asciiTheme="minorEastAsia" w:eastAsiaTheme="minorEastAsia" w:hAnsiTheme="minorEastAsia"/>
          <w:color w:val="auto"/>
        </w:rPr>
      </w:pPr>
      <w:r w:rsidRPr="00E52966">
        <w:rPr>
          <w:rFonts w:asciiTheme="minorEastAsia" w:eastAsiaTheme="minorEastAsia" w:hAnsiTheme="minorEastAsia" w:hint="eastAsia"/>
          <w:color w:val="auto"/>
        </w:rPr>
        <w:t>上述修改系因法律法规发生变动而进行的修改，且对基金份额持有人利益无实质性不利影响，并已履行了规定的程序，符合相关法律法规的规定及基金合同的约定。上述修改自本公告发布之日起生效。</w:t>
      </w:r>
    </w:p>
    <w:p w:rsidR="00E31157" w:rsidRPr="00E52966" w:rsidRDefault="00E31157" w:rsidP="00E52966">
      <w:pPr>
        <w:pStyle w:val="Default"/>
        <w:spacing w:line="360" w:lineRule="auto"/>
        <w:ind w:firstLineChars="200" w:firstLine="480"/>
        <w:jc w:val="both"/>
        <w:rPr>
          <w:rFonts w:asciiTheme="minorEastAsia" w:eastAsiaTheme="minorEastAsia" w:hAnsiTheme="minorEastAsia"/>
          <w:color w:val="auto"/>
        </w:rPr>
      </w:pPr>
      <w:r w:rsidRPr="00E52966">
        <w:rPr>
          <w:rFonts w:asciiTheme="minorEastAsia" w:eastAsiaTheme="minorEastAsia" w:hAnsiTheme="minorEastAsia" w:hint="eastAsia"/>
          <w:color w:val="auto"/>
        </w:rPr>
        <w:t>相关基金的基金合同、托管协议全文于</w:t>
      </w:r>
      <w:r w:rsidRPr="00E52966">
        <w:rPr>
          <w:rFonts w:asciiTheme="minorEastAsia" w:eastAsiaTheme="minorEastAsia" w:hAnsiTheme="minorEastAsia" w:cs="Times New Roman"/>
          <w:color w:val="auto"/>
        </w:rPr>
        <w:t>2020</w:t>
      </w:r>
      <w:r w:rsidRPr="00E52966">
        <w:rPr>
          <w:rFonts w:asciiTheme="minorEastAsia" w:eastAsiaTheme="minorEastAsia" w:hAnsiTheme="minorEastAsia" w:hint="eastAsia"/>
          <w:color w:val="auto"/>
        </w:rPr>
        <w:t>年</w:t>
      </w:r>
      <w:r w:rsidR="00AD254E" w:rsidRPr="00E52966">
        <w:rPr>
          <w:rFonts w:asciiTheme="minorEastAsia" w:eastAsiaTheme="minorEastAsia" w:hAnsiTheme="minorEastAsia" w:cs="Times New Roman"/>
          <w:color w:val="auto"/>
        </w:rPr>
        <w:t>4</w:t>
      </w:r>
      <w:r w:rsidRPr="00E52966">
        <w:rPr>
          <w:rFonts w:asciiTheme="minorEastAsia" w:eastAsiaTheme="minorEastAsia" w:hAnsiTheme="minorEastAsia" w:hint="eastAsia"/>
          <w:color w:val="auto"/>
        </w:rPr>
        <w:t>月</w:t>
      </w:r>
      <w:r w:rsidR="00AD254E" w:rsidRPr="00E52966">
        <w:rPr>
          <w:rFonts w:asciiTheme="minorEastAsia" w:eastAsiaTheme="minorEastAsia" w:hAnsiTheme="minorEastAsia"/>
          <w:color w:val="auto"/>
        </w:rPr>
        <w:t>14</w:t>
      </w:r>
      <w:r w:rsidRPr="00E52966">
        <w:rPr>
          <w:rFonts w:asciiTheme="minorEastAsia" w:eastAsiaTheme="minorEastAsia" w:hAnsiTheme="minorEastAsia" w:hint="eastAsia"/>
          <w:color w:val="auto"/>
        </w:rPr>
        <w:t>日在本公司网站（</w:t>
      </w:r>
      <w:r w:rsidRPr="00E52966">
        <w:rPr>
          <w:rFonts w:asciiTheme="minorEastAsia" w:eastAsiaTheme="minorEastAsia" w:hAnsiTheme="minorEastAsia" w:cs="Times New Roman"/>
          <w:color w:val="auto"/>
        </w:rPr>
        <w:t>www.99fund.com</w:t>
      </w:r>
      <w:r w:rsidRPr="00E52966">
        <w:rPr>
          <w:rFonts w:asciiTheme="minorEastAsia" w:eastAsiaTheme="minorEastAsia" w:hAnsiTheme="minorEastAsia" w:hint="eastAsia"/>
          <w:color w:val="auto"/>
        </w:rPr>
        <w:t>）和中国证监会基金电子披露网站（</w:t>
      </w:r>
      <w:r w:rsidRPr="00E52966">
        <w:rPr>
          <w:rFonts w:asciiTheme="minorEastAsia" w:eastAsiaTheme="minorEastAsia" w:hAnsiTheme="minorEastAsia" w:cs="Times New Roman"/>
          <w:color w:val="auto"/>
        </w:rPr>
        <w:t>http://eid.csrc.gov.cn/fund</w:t>
      </w:r>
      <w:r w:rsidRPr="00E52966">
        <w:rPr>
          <w:rFonts w:asciiTheme="minorEastAsia" w:eastAsiaTheme="minorEastAsia" w:hAnsiTheme="minorEastAsia" w:hint="eastAsia"/>
          <w:color w:val="auto"/>
        </w:rPr>
        <w:t>）披露，供投资者查阅。基金管理人将在届时更新基金招募说明书时一并更新相关内容。</w:t>
      </w:r>
    </w:p>
    <w:p w:rsidR="00E31157" w:rsidRPr="00E52966" w:rsidRDefault="00E31157" w:rsidP="00E52966">
      <w:pPr>
        <w:pStyle w:val="Default"/>
        <w:spacing w:line="360" w:lineRule="auto"/>
        <w:ind w:firstLineChars="200" w:firstLine="480"/>
        <w:jc w:val="both"/>
        <w:rPr>
          <w:rFonts w:asciiTheme="minorEastAsia" w:eastAsiaTheme="minorEastAsia" w:hAnsiTheme="minorEastAsia"/>
          <w:color w:val="auto"/>
        </w:rPr>
      </w:pPr>
      <w:r w:rsidRPr="00E52966">
        <w:rPr>
          <w:rFonts w:asciiTheme="minorEastAsia" w:eastAsiaTheme="minorEastAsia" w:hAnsiTheme="minorEastAsia" w:hint="eastAsia"/>
          <w:color w:val="auto"/>
        </w:rPr>
        <w:t>汇添富基金高度重视投资者服务和投资者教育，特此提醒投资者需正确认知基金投资的风险和长期收益，做理性的基金投资人，做明白的基金投资人，享受长期投资的快乐！</w:t>
      </w:r>
    </w:p>
    <w:p w:rsidR="00E31157" w:rsidRPr="00E52966" w:rsidRDefault="00E31157" w:rsidP="00E52966">
      <w:pPr>
        <w:pStyle w:val="Default"/>
        <w:spacing w:line="360" w:lineRule="auto"/>
        <w:ind w:firstLineChars="200" w:firstLine="480"/>
        <w:jc w:val="both"/>
        <w:rPr>
          <w:rFonts w:asciiTheme="minorEastAsia" w:eastAsiaTheme="minorEastAsia" w:hAnsiTheme="minorEastAsia"/>
          <w:color w:val="auto"/>
        </w:rPr>
      </w:pPr>
      <w:r w:rsidRPr="00E52966">
        <w:rPr>
          <w:rFonts w:asciiTheme="minorEastAsia" w:eastAsiaTheme="minorEastAsia" w:hAnsiTheme="minorEastAsia" w:hint="eastAsia"/>
          <w:color w:val="auto"/>
        </w:rPr>
        <w:t>特此公告。</w:t>
      </w:r>
    </w:p>
    <w:p w:rsidR="00E31157" w:rsidRDefault="00E31157" w:rsidP="00E52966">
      <w:pPr>
        <w:pStyle w:val="Default"/>
        <w:spacing w:line="360" w:lineRule="auto"/>
        <w:ind w:firstLineChars="200" w:firstLine="480"/>
        <w:jc w:val="both"/>
        <w:rPr>
          <w:rFonts w:asciiTheme="minorEastAsia" w:eastAsiaTheme="minorEastAsia" w:hAnsiTheme="minorEastAsia"/>
          <w:color w:val="auto"/>
        </w:rPr>
      </w:pPr>
    </w:p>
    <w:p w:rsidR="00AD254E" w:rsidRPr="00E52966" w:rsidRDefault="00AD254E" w:rsidP="00E52966">
      <w:pPr>
        <w:pStyle w:val="Default"/>
        <w:spacing w:line="360" w:lineRule="auto"/>
        <w:ind w:firstLineChars="200" w:firstLine="480"/>
        <w:jc w:val="both"/>
        <w:rPr>
          <w:rFonts w:asciiTheme="minorEastAsia" w:eastAsiaTheme="minorEastAsia" w:hAnsiTheme="minorEastAsia"/>
          <w:color w:val="auto"/>
        </w:rPr>
      </w:pPr>
      <w:bookmarkStart w:id="0" w:name="_GoBack"/>
      <w:bookmarkEnd w:id="0"/>
    </w:p>
    <w:p w:rsidR="00E31157" w:rsidRPr="00E52966" w:rsidRDefault="00E31157" w:rsidP="00E52966">
      <w:pPr>
        <w:pStyle w:val="Default"/>
        <w:spacing w:line="360" w:lineRule="auto"/>
        <w:jc w:val="right"/>
        <w:rPr>
          <w:rFonts w:asciiTheme="minorEastAsia" w:eastAsiaTheme="minorEastAsia" w:hAnsiTheme="minorEastAsia"/>
          <w:color w:val="auto"/>
        </w:rPr>
      </w:pPr>
      <w:r w:rsidRPr="00E52966">
        <w:rPr>
          <w:rFonts w:asciiTheme="minorEastAsia" w:eastAsiaTheme="minorEastAsia" w:hAnsiTheme="minorEastAsia" w:hint="eastAsia"/>
          <w:color w:val="auto"/>
        </w:rPr>
        <w:t>汇添富基金管理股份有限公司</w:t>
      </w:r>
    </w:p>
    <w:p w:rsidR="00835B6E" w:rsidRPr="00E52966" w:rsidRDefault="00AD254E" w:rsidP="00E52966">
      <w:pPr>
        <w:spacing w:line="360" w:lineRule="auto"/>
        <w:jc w:val="right"/>
        <w:rPr>
          <w:rFonts w:asciiTheme="minorEastAsia" w:hAnsiTheme="minorEastAsia"/>
          <w:sz w:val="24"/>
          <w:szCs w:val="24"/>
        </w:rPr>
      </w:pPr>
      <w:r w:rsidRPr="00E52966">
        <w:rPr>
          <w:rFonts w:asciiTheme="minorEastAsia" w:hAnsiTheme="minorEastAsia" w:hint="eastAsia"/>
          <w:sz w:val="24"/>
          <w:szCs w:val="24"/>
        </w:rPr>
        <w:t>2</w:t>
      </w:r>
      <w:r w:rsidRPr="00E52966">
        <w:rPr>
          <w:rFonts w:asciiTheme="minorEastAsia" w:hAnsiTheme="minorEastAsia"/>
          <w:sz w:val="24"/>
          <w:szCs w:val="24"/>
        </w:rPr>
        <w:t>020</w:t>
      </w:r>
      <w:r w:rsidRPr="00E52966">
        <w:rPr>
          <w:rFonts w:asciiTheme="minorEastAsia" w:hAnsiTheme="minorEastAsia" w:hint="eastAsia"/>
          <w:sz w:val="24"/>
          <w:szCs w:val="24"/>
        </w:rPr>
        <w:t>年</w:t>
      </w:r>
      <w:r w:rsidRPr="00E52966">
        <w:rPr>
          <w:rFonts w:asciiTheme="minorEastAsia" w:hAnsiTheme="minorEastAsia"/>
          <w:sz w:val="24"/>
          <w:szCs w:val="24"/>
        </w:rPr>
        <w:t>4</w:t>
      </w:r>
      <w:r w:rsidR="00E31157" w:rsidRPr="00E52966">
        <w:rPr>
          <w:rFonts w:asciiTheme="minorEastAsia" w:hAnsiTheme="minorEastAsia" w:hint="eastAsia"/>
          <w:sz w:val="24"/>
          <w:szCs w:val="24"/>
        </w:rPr>
        <w:t>月</w:t>
      </w:r>
      <w:r w:rsidRPr="00E52966">
        <w:rPr>
          <w:rFonts w:asciiTheme="minorEastAsia" w:hAnsiTheme="minorEastAsia"/>
          <w:sz w:val="24"/>
          <w:szCs w:val="24"/>
        </w:rPr>
        <w:t>14</w:t>
      </w:r>
      <w:r w:rsidR="00E31157" w:rsidRPr="00E52966">
        <w:rPr>
          <w:rFonts w:asciiTheme="minorEastAsia" w:hAnsiTheme="minorEastAsia" w:hint="eastAsia"/>
          <w:sz w:val="24"/>
          <w:szCs w:val="24"/>
        </w:rPr>
        <w:t>日</w:t>
      </w:r>
    </w:p>
    <w:p w:rsidR="00403415" w:rsidRDefault="00403415" w:rsidP="00403415">
      <w:pPr>
        <w:jc w:val="left"/>
        <w:rPr>
          <w:rFonts w:ascii="仿宋" w:eastAsia="仿宋" w:hAnsi="仿宋"/>
          <w:sz w:val="28"/>
          <w:szCs w:val="23"/>
        </w:rPr>
      </w:pPr>
    </w:p>
    <w:p w:rsidR="00AD254E" w:rsidRDefault="00AD254E" w:rsidP="00403415">
      <w:pPr>
        <w:jc w:val="left"/>
        <w:rPr>
          <w:rFonts w:ascii="仿宋" w:eastAsia="仿宋" w:hAnsi="仿宋"/>
          <w:sz w:val="28"/>
          <w:szCs w:val="23"/>
        </w:rPr>
      </w:pPr>
    </w:p>
    <w:p w:rsidR="00AD254E" w:rsidRDefault="00AD254E" w:rsidP="00403415">
      <w:pPr>
        <w:jc w:val="left"/>
        <w:rPr>
          <w:rFonts w:ascii="仿宋" w:eastAsia="仿宋" w:hAnsi="仿宋"/>
          <w:sz w:val="28"/>
          <w:szCs w:val="23"/>
        </w:rPr>
      </w:pPr>
    </w:p>
    <w:p w:rsidR="00AD254E" w:rsidRDefault="00AD254E" w:rsidP="00403415">
      <w:pPr>
        <w:jc w:val="left"/>
        <w:rPr>
          <w:rFonts w:ascii="仿宋" w:eastAsia="仿宋" w:hAnsi="仿宋"/>
          <w:sz w:val="28"/>
          <w:szCs w:val="23"/>
        </w:rPr>
      </w:pPr>
    </w:p>
    <w:p w:rsidR="00AD254E" w:rsidRDefault="00AD254E" w:rsidP="00403415">
      <w:pPr>
        <w:jc w:val="left"/>
        <w:rPr>
          <w:rFonts w:ascii="仿宋" w:eastAsia="仿宋" w:hAnsi="仿宋"/>
          <w:sz w:val="28"/>
          <w:szCs w:val="23"/>
        </w:rPr>
      </w:pPr>
    </w:p>
    <w:p w:rsidR="00AD254E" w:rsidRDefault="00AD254E" w:rsidP="00403415">
      <w:pPr>
        <w:jc w:val="left"/>
        <w:rPr>
          <w:rFonts w:ascii="仿宋" w:eastAsia="仿宋" w:hAnsi="仿宋"/>
          <w:sz w:val="28"/>
          <w:szCs w:val="23"/>
        </w:rPr>
      </w:pPr>
    </w:p>
    <w:p w:rsidR="00403415" w:rsidRPr="00E52966" w:rsidRDefault="00403415" w:rsidP="00403415">
      <w:pPr>
        <w:jc w:val="left"/>
        <w:rPr>
          <w:rFonts w:asciiTheme="minorEastAsia" w:hAnsiTheme="minorEastAsia"/>
          <w:sz w:val="24"/>
          <w:szCs w:val="24"/>
        </w:rPr>
      </w:pPr>
      <w:r w:rsidRPr="00E52966">
        <w:rPr>
          <w:rFonts w:asciiTheme="minorEastAsia" w:hAnsiTheme="minorEastAsia"/>
          <w:sz w:val="24"/>
          <w:szCs w:val="24"/>
        </w:rPr>
        <w:t>附</w:t>
      </w:r>
      <w:r w:rsidRPr="00E52966">
        <w:rPr>
          <w:rFonts w:asciiTheme="minorEastAsia" w:hAnsiTheme="minorEastAsia" w:hint="eastAsia"/>
          <w:sz w:val="24"/>
          <w:szCs w:val="24"/>
        </w:rPr>
        <w:t>：</w:t>
      </w:r>
      <w:r w:rsidRPr="00E52966">
        <w:rPr>
          <w:rFonts w:asciiTheme="minorEastAsia" w:hAnsiTheme="minorEastAsia"/>
          <w:sz w:val="24"/>
          <w:szCs w:val="24"/>
        </w:rPr>
        <w:t>基金清单</w:t>
      </w:r>
    </w:p>
    <w:tbl>
      <w:tblPr>
        <w:tblW w:w="10065" w:type="dxa"/>
        <w:tblInd w:w="-856" w:type="dxa"/>
        <w:tblLook w:val="04A0"/>
      </w:tblPr>
      <w:tblGrid>
        <w:gridCol w:w="722"/>
        <w:gridCol w:w="5941"/>
        <w:gridCol w:w="3402"/>
      </w:tblGrid>
      <w:tr w:rsidR="00403415" w:rsidRPr="00E52966" w:rsidTr="00403415">
        <w:trPr>
          <w:trHeight w:val="39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b/>
                <w:color w:val="000000"/>
                <w:kern w:val="0"/>
                <w:szCs w:val="21"/>
              </w:rPr>
            </w:pPr>
            <w:r w:rsidRPr="00E52966">
              <w:rPr>
                <w:rFonts w:asciiTheme="minorEastAsia" w:hAnsiTheme="minorEastAsia" w:cs="宋体" w:hint="eastAsia"/>
                <w:b/>
                <w:color w:val="000000"/>
                <w:kern w:val="0"/>
                <w:szCs w:val="21"/>
              </w:rPr>
              <w:t>序号</w:t>
            </w:r>
          </w:p>
        </w:tc>
        <w:tc>
          <w:tcPr>
            <w:tcW w:w="5941" w:type="dxa"/>
            <w:tcBorders>
              <w:top w:val="single" w:sz="4" w:space="0" w:color="auto"/>
              <w:left w:val="nil"/>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b/>
                <w:color w:val="000000"/>
                <w:kern w:val="0"/>
                <w:szCs w:val="21"/>
              </w:rPr>
            </w:pPr>
            <w:r w:rsidRPr="00E52966">
              <w:rPr>
                <w:rFonts w:asciiTheme="minorEastAsia" w:hAnsiTheme="minorEastAsia" w:cs="宋体" w:hint="eastAsia"/>
                <w:b/>
                <w:color w:val="000000"/>
                <w:kern w:val="0"/>
                <w:szCs w:val="21"/>
              </w:rPr>
              <w:t>基金全称</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b/>
                <w:color w:val="000000"/>
                <w:kern w:val="0"/>
                <w:szCs w:val="21"/>
              </w:rPr>
            </w:pPr>
            <w:r w:rsidRPr="00E52966">
              <w:rPr>
                <w:rFonts w:asciiTheme="minorEastAsia" w:hAnsiTheme="minorEastAsia" w:cs="宋体" w:hint="eastAsia"/>
                <w:b/>
                <w:color w:val="000000"/>
                <w:kern w:val="0"/>
                <w:szCs w:val="21"/>
              </w:rPr>
              <w:t>基金托管人</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汇添富优势精选混合型证券投资基金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2</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汇添富均衡增长混合型证券投资基金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3</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汇添富成长焦点混合型证券投资基金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4</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汇添富蓝筹稳健灵活配置混合型证券投资基金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5</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汇添富上证综合指数证券投资基金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6</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汇添富增强收益债券型证券投资基金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7</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汇添富策略回报混合型证券投资基金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8</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汇添富香港优势精选混合型证券投资基金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9</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汇添富社会责任混合型证券投资基金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中国农业银行股份有限公司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10</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汇添富可转换债券债券型证券投资基金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11</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汇添富黄金及贵金属证券投资基金(LOF)</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12</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汇添富深证300交易型开放式指数证券投资基金联接基金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13</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汇添富逆向投资混合型证券投资基金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中国农业银行股份有限公司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14</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汇添富理财30天债券型证券投资基金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15</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汇添富季季红定期开放债券型证券投资基金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中国建设银行股份有限公司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16</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汇添富多元收益债券型证券投资基金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17</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汇添富收益快线货币市场基金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18</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汇添富消费行业混合型证券投资基金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中国建设银行股份有限公司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19</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汇添富实业债债券型证券投资基金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中国建设银行股份有限公司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20</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汇添富美丽30混合型证券投资基金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21</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汇添富高息债债券型证券投资基金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中国农业银行股份有限公司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22</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汇添富年年利定期开放债券型证券投资基金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23</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汇添富现金宝货币市场基金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24</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汇添富沪深300安中动态策略指数型证券投资基金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25</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汇添富安心中国债券型证券投资基金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中国建设银行股份有限公司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26</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汇添富双利增强债券型证券投资基金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上海浦东发展银行股份有限公司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27</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汇添富全额宝货币市场基金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中国民生银行股份有限公司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28</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汇添富恒生指数分级证券投资基金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中国农业银行股份有限公司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29</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汇添富和聚宝货币市场基金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上海浦东发展银行股份有限公司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30</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汇添富货币市场基金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上海浦东发展银行股份有限公司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31</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汇添富双利债券型证券投资基金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lastRenderedPageBreak/>
              <w:t>32</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汇添富移动互联股票型证券投资基金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33</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汇添富环保行业股票型证券投资基金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中国建设银行股份有限公司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34</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汇添富外延增长主题股票型证券投资基金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35</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汇添富成长多因子量化策略股票型证券投资基金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36</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汇添富中证主要消费交易型开放式指数证券投资基金联接基金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37</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汇添富医疗服务灵活配置混合型证券投资基金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招商银行股份有限公司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38</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汇添富国企创新增长股票型证券投资基金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39</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汇添富民营新动力股票型证券投资基金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中国建设银行股份有限公司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40</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汇添富添富通货币市场基金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41</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汇添富价值精选混合型证券投资基金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42</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汇添富民营活力混合型证券投资基金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43</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汇添富医药保健混合型证券投资基金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44</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汇添富安鑫智选灵活配置混合型证券投资基金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45</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汇添富达欣灵活配置混合型证券投资基金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中国民生银行股份有限公司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46</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汇添富中证精准医疗主题指数型发起式证券投资基金(LOF)</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47</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汇添富中证互联网医疗主题指数型发起式证券投资基金(LOF)</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48</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汇添富优选回报灵活配置混合型证券投资基金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49</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汇添富中证生物科技主题指数型发起式证券投资基金(LOF)</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中国建设银行股份有限公司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50</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汇添富中证环境治理指数型证券投资基金(LOF)</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51</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汇添富中证中药指数型发起式证券投资基金(LOF)</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中国建设银行股份有限公司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52</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汇添富沪深300指数型发起式证券投资基金(LOF)</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中国国际金融股份有限公司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53</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汇添富中证港股通高股息投资指数发起式证券投资基金(LOF)</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54</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汇添富中证新能源汽车产业指数型发起式证券投资基金(LOF)</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55</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中证上海国企交易型开放式指数证券投资基金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56</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汇添富中证国企一带一路交易型开放式指数证券投资基金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中国农业银行股份有限公司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57</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汇添富沪深300交易型开放式指数证券投资基金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招商银行股份有限公司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58</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汇添富保鑫灵活配置混合型证券投资基金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上海浦东发展银行股份有限公司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59</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汇添富纯债债券型证券投资基金(LOF)</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60</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汇添富长添利定期开放债券型证券投资基金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中国民生银行股份有限公司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61</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汇添富盈泰灵活配置混合型证券投资基金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62</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汇添富年年丰定期开放混合型证券投资基金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63</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汇添富鑫汇定期开放债券型证券投资基金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兴业银行股份有限公司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64</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汇添富行业整合主题混合型证券投资基金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65</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汇添富鑫盛定期开放债券型发起式证券投资基金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兴业银行股份有限公司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66</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汇添富短债债券型证券投资基金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兴业银行股份有限公司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67</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汇添富全球移动互联灵活配置混合型证券投资基金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68</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汇添富丰润中短债债券型证券投资基金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兴业银行股份有限公司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69</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汇添富丰利短债债券型证券投资基金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招商银行股份有限公司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70</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中证上海国企交易型开放式指数证券投资基金联接基金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71</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汇添富鑫瑞债券型证券投资基金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上海浦东发展银行股份有限公司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72</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汇添富精选美元债债券型证券投资基金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73</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汇添富中国高端制造股票型证券投资基金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中国农业银行股份有限公司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74</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中证银行交易型开放式指数证券投资基金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招商银行股份有限公司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75</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汇添富养老目标日期2040五年持有期混合型基金中基金(FOF)</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中国农业银行股份有限公司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76</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汇添富中证500指数型发起式证券投资基金(LOF)</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招商证券股份有限公司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77</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汇添富全球医疗保健混合型证券投资基金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78</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汇添富养老目标日期2050五年持有期混合型发起式基金中基金(FOF)</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79</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中证长三角一体化发展主题交易型开放式指数证券投资基金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上海浦东发展银行股份有限公司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80</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汇添富盛安39个月定期开放债券型证券投资基金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兴业银行股份有限公司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81</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汇添富弘安混合型证券投资基金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招商银行股份有限公司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82</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汇添富睿丰混合型证券投资基金(LOF)</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83</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汇添富中债7-10年国开行债券指数证券投资基金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中国光大银行股份有限公司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84</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汇添富中债1-3年农发行债券指数证券投资基金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上海浦东发展银行股份有限公司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85</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汇添富中证全指证券公司指数型发起式证券投资基金(LOF)</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中信建投证券股份有限公司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86</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汇添富6月红添利定期开放债券型证券投资基金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中国农业银行股份有限公司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87</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汇添富新睿精选灵活配置混合型证券投资基金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中国农业银行股份有限公司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88</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汇添富民丰回报混合型证券投资基金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中国民生银行股份有限公司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89</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汇添富鑫永定期开放债券型发起式证券投资基金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中国民生银行股份有限公司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90</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汇添富民安增益定期开放混合型证券投资基金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中国民生银行股份有限公司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91</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汇添富中证医药卫生交易型开放式指数证券投资基金联接基金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92</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中证银行交易型开放式指数证券投资基金联接基金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招商银行股份有限公司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93</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汇添富内需增长股票型证券投资基金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中国农业银行股份有限公司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94</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汇添富稳健添利定期开放债券型证券投资基金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95</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汇添富鑫利定期开放债券型发起式证券投资基金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96</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汇添富鑫成定期开放债券型发起式证券投资基金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平安银行股份有限公司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97</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汇添富年年泰定期开放混合型证券投资基金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98</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汇添富熙和精选混合型证券投资基金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99</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汇添富3年封闭运作战略配售灵活配置混合型证券投资基金(LOF)</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100</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汇添富智能制造股票型证券投资基金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101</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汇添富全球消费行业混合型证券投资基金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102</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汇添富AAA级信用纯债债券型证券投资基金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103</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汇添富红利增长混合型证券投资基金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104</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汇添富经典成长定期开放混合型证券投资基金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105</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汇添富科技创新灵活配置混合型证券投资基金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106</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汇添富盈鑫灵活配置混合型证券投资基金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107</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汇添富多策略定期开放灵活配置混合型发起式证券投资基金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108</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汇添富养老目标日期2030三年持有期混合型基金中基金(FOF)</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中国建设银行股份有限公司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109</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汇添富添福吉祥混合型证券投资基金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110</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汇添富悦享定期开放混合型证券投资基金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中国建设银行股份有限公司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111</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汇添富3年封闭运作研究优选灵活配置混合型证券投资基金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招商银行股份有限公司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112</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汇添富沪港深大盘价值混合型证券投资基金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113</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汇添富文体娱乐主题混合型证券投资基金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114</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汇添富中债1-3年国开行债券指数证券投资基金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兴业银行股份有限公司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115</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汇添富沪港深优势精选定期开放混合型证券投资基金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116</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汇添富理财60天债券型证券投资基金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中国建设银行股份有限公司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117</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汇添富消费升级混合型证券投资基金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118</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汇添富新兴消费股票型证券投资基金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119</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汇添富盈安灵活配置混合型证券投资基金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中国建设银行股份有限公司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120</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汇添富鑫远债券型证券投资基金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交通银行股份有限公司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121</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汇添富90天滚动持有短债债券型证券投资基金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江苏银行股份有限公司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122</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汇添富沪港深新价值股票型证券投资基金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中国建设银行股份有限公司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123</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汇添富年年益定期开放混合型证券投资基金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中国建设银行股份有限公司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124</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汇添富盈润混合型证券投资基金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中国建设银行股份有限公司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125</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汇添富3年封闭运作竞争优势灵活配置混合型证券投资基金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招商银行股份有限公司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126</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汇添富汇鑫浮动净值型货币市场基金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上海浦东发展银行股份有限公司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127</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汇添富港股通专注成长混合型证券投资基金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中国建设银行股份有限公司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128</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中证长三角一体化发展主题交易型开放式指数证券投资基金联接基金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上海浦东发展银行股份有限公司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129</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中证800交易型开放式指数证券投资基金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平安银行股份有限公司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130</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汇添富价值创造定期开放混合型证券投资基金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中国建设银行股份有限公司</w:t>
            </w:r>
          </w:p>
        </w:tc>
      </w:tr>
      <w:tr w:rsidR="00403415" w:rsidRPr="00E52966" w:rsidTr="00403415">
        <w:trPr>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131</w:t>
            </w:r>
          </w:p>
        </w:tc>
        <w:tc>
          <w:tcPr>
            <w:tcW w:w="5941"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汇添富鑫泽定期开放债券型发起式证券投资基金</w:t>
            </w:r>
          </w:p>
        </w:tc>
        <w:tc>
          <w:tcPr>
            <w:tcW w:w="3402" w:type="dxa"/>
            <w:tcBorders>
              <w:top w:val="nil"/>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中国建设银行股份有限公司</w:t>
            </w:r>
          </w:p>
        </w:tc>
      </w:tr>
      <w:tr w:rsidR="00403415" w:rsidRPr="00E52966" w:rsidTr="00403415">
        <w:trPr>
          <w:trHeight w:val="39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132</w:t>
            </w:r>
          </w:p>
        </w:tc>
        <w:tc>
          <w:tcPr>
            <w:tcW w:w="5941" w:type="dxa"/>
            <w:tcBorders>
              <w:top w:val="single" w:sz="4" w:space="0" w:color="auto"/>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汇添富价值多因子量化策略股票型证券投资基金</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中国建设银行股份有限公司</w:t>
            </w:r>
          </w:p>
        </w:tc>
      </w:tr>
      <w:tr w:rsidR="00403415" w:rsidRPr="00E52966" w:rsidTr="00403415">
        <w:trPr>
          <w:trHeight w:val="39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133</w:t>
            </w:r>
          </w:p>
        </w:tc>
        <w:tc>
          <w:tcPr>
            <w:tcW w:w="5941" w:type="dxa"/>
            <w:tcBorders>
              <w:top w:val="single" w:sz="4" w:space="0" w:color="auto"/>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汇添富创新医药主题混合型证券投资基金</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中国建设银行股份有限公司</w:t>
            </w:r>
          </w:p>
        </w:tc>
      </w:tr>
      <w:tr w:rsidR="00403415" w:rsidRPr="00E52966" w:rsidTr="00403415">
        <w:trPr>
          <w:trHeight w:val="27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134</w:t>
            </w:r>
          </w:p>
        </w:tc>
        <w:tc>
          <w:tcPr>
            <w:tcW w:w="5941" w:type="dxa"/>
            <w:tcBorders>
              <w:top w:val="single" w:sz="4" w:space="0" w:color="auto"/>
              <w:left w:val="nil"/>
              <w:bottom w:val="single" w:sz="4" w:space="0" w:color="auto"/>
              <w:right w:val="nil"/>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汇添富鑫益定期开放债券型发起式证券投资基金</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中国工商银行股份有限公司</w:t>
            </w:r>
          </w:p>
        </w:tc>
      </w:tr>
      <w:tr w:rsidR="00403415" w:rsidRPr="00E52966" w:rsidTr="00403415">
        <w:trPr>
          <w:trHeight w:val="27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135</w:t>
            </w:r>
          </w:p>
        </w:tc>
        <w:tc>
          <w:tcPr>
            <w:tcW w:w="5941" w:type="dxa"/>
            <w:tcBorders>
              <w:top w:val="single" w:sz="4" w:space="0" w:color="auto"/>
              <w:left w:val="nil"/>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汇添富稳健增长混合型证券投资基金</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兴业银行股份有限公司</w:t>
            </w:r>
          </w:p>
        </w:tc>
      </w:tr>
      <w:tr w:rsidR="00403415" w:rsidRPr="00E52966" w:rsidTr="00403415">
        <w:trPr>
          <w:trHeight w:val="27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3415" w:rsidRPr="00E52966" w:rsidRDefault="00403415" w:rsidP="00403415">
            <w:pPr>
              <w:widowControl/>
              <w:jc w:val="center"/>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1</w:t>
            </w:r>
            <w:r w:rsidRPr="00E52966">
              <w:rPr>
                <w:rFonts w:asciiTheme="minorEastAsia" w:hAnsiTheme="minorEastAsia" w:cs="宋体"/>
                <w:color w:val="000000"/>
                <w:kern w:val="0"/>
                <w:szCs w:val="21"/>
              </w:rPr>
              <w:t>36</w:t>
            </w:r>
          </w:p>
        </w:tc>
        <w:tc>
          <w:tcPr>
            <w:tcW w:w="5941" w:type="dxa"/>
            <w:tcBorders>
              <w:top w:val="single" w:sz="4" w:space="0" w:color="auto"/>
              <w:left w:val="nil"/>
              <w:bottom w:val="single" w:sz="4" w:space="0" w:color="auto"/>
              <w:right w:val="single" w:sz="4" w:space="0" w:color="auto"/>
            </w:tcBorders>
            <w:shd w:val="clear" w:color="auto" w:fill="auto"/>
            <w:noWrap/>
            <w:vAlign w:val="center"/>
          </w:tcPr>
          <w:p w:rsidR="00403415" w:rsidRPr="00E52966" w:rsidRDefault="00403415" w:rsidP="00E52966">
            <w:pPr>
              <w:widowControl/>
              <w:jc w:val="left"/>
              <w:rPr>
                <w:rFonts w:asciiTheme="minorEastAsia" w:hAnsiTheme="minorEastAsia" w:cs="宋体"/>
                <w:color w:val="000000"/>
                <w:kern w:val="0"/>
                <w:szCs w:val="21"/>
              </w:rPr>
            </w:pPr>
            <w:bookmarkStart w:id="1" w:name="RANGE!B137"/>
            <w:r w:rsidRPr="00E52966">
              <w:rPr>
                <w:rFonts w:asciiTheme="minorEastAsia" w:hAnsiTheme="minorEastAsia" w:cs="宋体" w:hint="eastAsia"/>
                <w:color w:val="000000"/>
                <w:kern w:val="0"/>
                <w:szCs w:val="21"/>
              </w:rPr>
              <w:t>汇添富中证国企一带一路交易型开放式指数证券投资基金联接基金</w:t>
            </w:r>
            <w:bookmarkEnd w:id="1"/>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3415" w:rsidRPr="00E52966" w:rsidRDefault="00403415"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中国农业银行股份有限公司</w:t>
            </w:r>
          </w:p>
        </w:tc>
      </w:tr>
      <w:tr w:rsidR="001635A0" w:rsidRPr="00E52966" w:rsidTr="00403415">
        <w:trPr>
          <w:trHeight w:val="27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5A0" w:rsidRPr="00E52966" w:rsidRDefault="001635A0" w:rsidP="00403415">
            <w:pPr>
              <w:widowControl/>
              <w:jc w:val="center"/>
              <w:rPr>
                <w:rFonts w:asciiTheme="minorEastAsia" w:hAnsiTheme="minorEastAsia" w:cs="宋体"/>
                <w:color w:val="000000"/>
                <w:kern w:val="0"/>
                <w:szCs w:val="21"/>
              </w:rPr>
            </w:pPr>
            <w:r w:rsidRPr="00E52966">
              <w:rPr>
                <w:rFonts w:asciiTheme="minorEastAsia" w:hAnsiTheme="minorEastAsia" w:cs="宋体"/>
                <w:color w:val="000000"/>
                <w:kern w:val="0"/>
                <w:szCs w:val="21"/>
              </w:rPr>
              <w:t>137</w:t>
            </w:r>
          </w:p>
        </w:tc>
        <w:tc>
          <w:tcPr>
            <w:tcW w:w="5941" w:type="dxa"/>
            <w:tcBorders>
              <w:top w:val="single" w:sz="4" w:space="0" w:color="auto"/>
              <w:left w:val="nil"/>
              <w:bottom w:val="single" w:sz="4" w:space="0" w:color="auto"/>
              <w:right w:val="single" w:sz="4" w:space="0" w:color="auto"/>
            </w:tcBorders>
            <w:shd w:val="clear" w:color="auto" w:fill="auto"/>
            <w:noWrap/>
            <w:vAlign w:val="center"/>
          </w:tcPr>
          <w:p w:rsidR="001635A0" w:rsidRPr="00E52966" w:rsidRDefault="001635A0"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汇添富鑫福债券型证券投资基金</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5A0" w:rsidRPr="00E52966" w:rsidRDefault="001635A0" w:rsidP="00E52966">
            <w:pPr>
              <w:widowControl/>
              <w:jc w:val="left"/>
              <w:rPr>
                <w:rFonts w:asciiTheme="minorEastAsia" w:hAnsiTheme="minorEastAsia" w:cs="宋体"/>
                <w:color w:val="000000"/>
                <w:kern w:val="0"/>
                <w:szCs w:val="21"/>
              </w:rPr>
            </w:pPr>
            <w:r w:rsidRPr="00E52966">
              <w:rPr>
                <w:rFonts w:asciiTheme="minorEastAsia" w:hAnsiTheme="minorEastAsia" w:cs="宋体" w:hint="eastAsia"/>
                <w:color w:val="000000"/>
                <w:kern w:val="0"/>
                <w:szCs w:val="21"/>
              </w:rPr>
              <w:t>上海银行股份有限公司</w:t>
            </w:r>
          </w:p>
        </w:tc>
      </w:tr>
    </w:tbl>
    <w:p w:rsidR="00403415" w:rsidRPr="00E52966" w:rsidRDefault="00403415" w:rsidP="00403415">
      <w:pPr>
        <w:jc w:val="left"/>
        <w:rPr>
          <w:rFonts w:asciiTheme="minorEastAsia" w:hAnsiTheme="minorEastAsia"/>
          <w:sz w:val="24"/>
          <w:szCs w:val="24"/>
        </w:rPr>
      </w:pPr>
    </w:p>
    <w:sectPr w:rsidR="00403415" w:rsidRPr="00E52966" w:rsidSect="00927A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F31" w:rsidRDefault="00820F31" w:rsidP="00820F31">
      <w:r>
        <w:separator/>
      </w:r>
    </w:p>
  </w:endnote>
  <w:endnote w:type="continuationSeparator" w:id="1">
    <w:p w:rsidR="00820F31" w:rsidRDefault="00820F31" w:rsidP="00820F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F31" w:rsidRDefault="00820F31" w:rsidP="00820F31">
      <w:r>
        <w:separator/>
      </w:r>
    </w:p>
  </w:footnote>
  <w:footnote w:type="continuationSeparator" w:id="1">
    <w:p w:rsidR="00820F31" w:rsidRDefault="00820F31" w:rsidP="00820F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41CC"/>
    <w:rsid w:val="000F4DDF"/>
    <w:rsid w:val="0012795E"/>
    <w:rsid w:val="001635A0"/>
    <w:rsid w:val="00403415"/>
    <w:rsid w:val="005741CC"/>
    <w:rsid w:val="00820F31"/>
    <w:rsid w:val="00835B6E"/>
    <w:rsid w:val="00850A40"/>
    <w:rsid w:val="00927ABD"/>
    <w:rsid w:val="00AD254E"/>
    <w:rsid w:val="00E31157"/>
    <w:rsid w:val="00E529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1157"/>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12795E"/>
    <w:rPr>
      <w:sz w:val="18"/>
      <w:szCs w:val="18"/>
    </w:rPr>
  </w:style>
  <w:style w:type="character" w:customStyle="1" w:styleId="Char">
    <w:name w:val="批注框文本 Char"/>
    <w:basedOn w:val="a0"/>
    <w:link w:val="a3"/>
    <w:uiPriority w:val="99"/>
    <w:semiHidden/>
    <w:rsid w:val="0012795E"/>
    <w:rPr>
      <w:sz w:val="18"/>
      <w:szCs w:val="18"/>
    </w:rPr>
  </w:style>
  <w:style w:type="paragraph" w:styleId="a4">
    <w:name w:val="header"/>
    <w:basedOn w:val="a"/>
    <w:link w:val="Char0"/>
    <w:uiPriority w:val="99"/>
    <w:semiHidden/>
    <w:unhideWhenUsed/>
    <w:rsid w:val="00820F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20F31"/>
    <w:rPr>
      <w:sz w:val="18"/>
      <w:szCs w:val="18"/>
    </w:rPr>
  </w:style>
  <w:style w:type="paragraph" w:styleId="a5">
    <w:name w:val="footer"/>
    <w:basedOn w:val="a"/>
    <w:link w:val="Char1"/>
    <w:uiPriority w:val="99"/>
    <w:semiHidden/>
    <w:unhideWhenUsed/>
    <w:rsid w:val="00820F3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820F31"/>
    <w:rPr>
      <w:sz w:val="18"/>
      <w:szCs w:val="18"/>
    </w:rPr>
  </w:style>
</w:styles>
</file>

<file path=word/webSettings.xml><?xml version="1.0" encoding="utf-8"?>
<w:webSettings xmlns:r="http://schemas.openxmlformats.org/officeDocument/2006/relationships" xmlns:w="http://schemas.openxmlformats.org/wordprocessingml/2006/main">
  <w:divs>
    <w:div w:id="7973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4845</Characters>
  <Application>Microsoft Office Word</Application>
  <DocSecurity>4</DocSecurity>
  <Lines>40</Lines>
  <Paragraphs>11</Paragraphs>
  <ScaleCrop>false</ScaleCrop>
  <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彭意</dc:creator>
  <cp:keywords/>
  <dc:description/>
  <cp:lastModifiedBy>JonMMx 2000</cp:lastModifiedBy>
  <cp:revision>2</cp:revision>
  <dcterms:created xsi:type="dcterms:W3CDTF">2020-04-13T16:00:00Z</dcterms:created>
  <dcterms:modified xsi:type="dcterms:W3CDTF">2020-04-13T16:00:00Z</dcterms:modified>
</cp:coreProperties>
</file>