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D" w:rsidRPr="00264356" w:rsidRDefault="0011521D" w:rsidP="008F1EC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华泰柏瑞基金管理有限公司关于旗下</w:t>
      </w:r>
      <w:r w:rsidR="00ED4204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部分</w:t>
      </w:r>
      <w:r w:rsidR="007407B2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基金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参加</w:t>
      </w:r>
      <w:r w:rsidR="00335EED" w:rsidRPr="00335EED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上海基煜基金销售有限公司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费率优惠活动的公告</w:t>
      </w:r>
    </w:p>
    <w:p w:rsidR="003F0788" w:rsidRPr="00ED4204" w:rsidRDefault="003F078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为答谢广大客户长期以来给予的信任与支持，</w:t>
      </w:r>
      <w:r w:rsidR="0049134E" w:rsidRP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华泰柏瑞基金管理有限公司（以下简称“本公司”）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与</w:t>
      </w:r>
      <w:r w:rsidR="00335EED" w:rsidRP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上海基煜基金销售有限公司</w:t>
      </w:r>
      <w:r w:rsidR="007407B2"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(以下简称“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="007407B2"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”)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协商一致，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7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</w:t>
      </w:r>
      <w:r w:rsid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本公司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旗下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部分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参加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的费率优惠活动。现将具体费率优惠情况公告如下：</w:t>
      </w:r>
    </w:p>
    <w:p w:rsidR="00316DC5" w:rsidRPr="0080678B" w:rsidRDefault="00316DC5" w:rsidP="00264356">
      <w:pPr>
        <w:spacing w:line="360" w:lineRule="auto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2717FF" w:rsidRDefault="002717FF" w:rsidP="002717FF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 w:rsidRPr="002717FF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一、</w:t>
      </w: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适用基金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946"/>
        <w:gridCol w:w="1701"/>
      </w:tblGrid>
      <w:tr w:rsidR="00335EED" w:rsidRPr="00BB7BAE" w:rsidTr="00624FFB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基金名称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基金代码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华泰柏瑞战略新兴产业混合型证券投资基金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005409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华泰柏瑞新金融地产灵活配置混合型证券投资基金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005576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华泰柏瑞医疗健康混合型证券投资基金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005805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华泰柏瑞中证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交易型开放式指数证券投资基金联接基金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006087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华泰柏瑞量化智慧灵活配置混合型证券投资基金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006104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华泰柏瑞沪深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交易型开放式指数证券投资基金联接基金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006131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华泰柏瑞量化驱动灵活配置混合型证券投资基金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006531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华泰柏瑞量化阿尔法灵活配置混合型证券投资基金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006532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华泰柏瑞量化明选混合型证券投资基金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类/C类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006942</w:t>
            </w:r>
            <w:r w:rsidRPr="00BB7BA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006943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华泰柏瑞基本面智选混合型证券投资基金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类/C类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007306</w:t>
            </w:r>
            <w:r w:rsidRPr="00BB7BA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/007307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华泰柏瑞中证红利低波动交易型开放式指数证券投资基金联接基金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类/C类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007466</w:t>
            </w:r>
            <w:r w:rsidRPr="00BB7BA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/007467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华泰柏瑞研究精选混合型证券投资基金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007968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华泰柏瑞景气回报一年持有期混合型证券投资基金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类/C类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008373</w:t>
            </w:r>
            <w:r w:rsidR="00505582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/008374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华泰柏瑞天添宝货币市场基金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003871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BB7B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华泰柏瑞交易型货币市场基金</w:t>
            </w: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BB7BAE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BAE">
              <w:rPr>
                <w:rFonts w:ascii="Arial" w:hAnsi="Arial" w:cs="Arial"/>
                <w:color w:val="000000" w:themeColor="text1"/>
                <w:sz w:val="20"/>
                <w:szCs w:val="20"/>
              </w:rPr>
              <w:t>002469</w:t>
            </w:r>
          </w:p>
        </w:tc>
      </w:tr>
      <w:tr w:rsidR="00335EED" w:rsidRPr="00BB7BAE" w:rsidTr="00624FF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华泰柏瑞中证科技100交易型开放式指数证券投资基金联接基金A类/C类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ED" w:rsidRPr="00BB7BAE" w:rsidRDefault="00335EED" w:rsidP="00624F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008399/008400</w:t>
            </w:r>
          </w:p>
        </w:tc>
      </w:tr>
    </w:tbl>
    <w:p w:rsidR="00C82AA9" w:rsidRPr="00ED2E91" w:rsidRDefault="00C82AA9" w:rsidP="00D70F30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二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、费率优惠活动</w:t>
      </w:r>
    </w:p>
    <w:p w:rsidR="0011521D" w:rsidRPr="006679D8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6679D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1、费率优惠内容</w:t>
      </w:r>
    </w:p>
    <w:p w:rsidR="00335EED" w:rsidRPr="0080678B" w:rsidRDefault="0011521D" w:rsidP="00335EED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ED420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7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日起，投资者通过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="00C117DF" w:rsidRPr="0080678B">
        <w:rPr>
          <w:rFonts w:asciiTheme="majorEastAsia" w:eastAsiaTheme="majorEastAsia" w:hAnsiTheme="majorEastAsia" w:cs="Calibri"/>
          <w:color w:val="000000" w:themeColor="text1"/>
          <w:szCs w:val="21"/>
        </w:rPr>
        <w:t>申购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转换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（限前端收费模式）</w:t>
      </w:r>
      <w:r w:rsidR="0004579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上述基金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</w:t>
      </w:r>
      <w:r w:rsidR="00335EED" w:rsidRP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、转换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补差费率不设折扣限制，具体折扣费率以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="00335EED" w:rsidRPr="00651840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页面公示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为准。基金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原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费率请详见招募说明书（更新）等法律文件，以及本公司发布的最新业务公告。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2、费率优惠期限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具体以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官方网站所示公告为准。</w:t>
      </w:r>
    </w:p>
    <w:p w:rsidR="006679D8" w:rsidRPr="00335EED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lastRenderedPageBreak/>
        <w:t>三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、重要提示</w:t>
      </w:r>
    </w:p>
    <w:p w:rsidR="00335EED" w:rsidRDefault="0011521D" w:rsidP="00335EED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1、本优惠活动仅适用于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、转换</w:t>
      </w:r>
      <w:r w:rsidR="003B2AB7" w:rsidRP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业务的手续费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335EE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不包括基金赎回等其他业务的手续费。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2、费率优惠活动解释权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归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所有，有关优惠活动的具体规定如有变化，敬请投资者留意前述销售机构的有关公告。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3、费率优惠活动期间，业务办理的流程以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基煜基金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的规定为准。投资者欲了解基金产品的详细情况，请仔细阅读基金的基金合同、招募说明书等法律文件。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312C49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四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、投资者可通过以下途径了解或咨询相关情况</w:t>
      </w:r>
    </w:p>
    <w:p w:rsidR="00335EED" w:rsidRPr="00335EED" w:rsidRDefault="00335EED" w:rsidP="00335EED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1、上海基煜基金销售有限公司</w:t>
      </w:r>
    </w:p>
    <w:p w:rsidR="00335EED" w:rsidRPr="00335EED" w:rsidRDefault="00335EED" w:rsidP="00335EED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客服电话：400‐820‐5369</w:t>
      </w:r>
    </w:p>
    <w:p w:rsidR="00335EED" w:rsidRDefault="00335EED" w:rsidP="00335EED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</w:t>
      </w:r>
      <w:hyperlink r:id="rId7" w:history="1">
        <w:r w:rsidRPr="006D7AED">
          <w:rPr>
            <w:rStyle w:val="ac"/>
            <w:rFonts w:asciiTheme="majorEastAsia" w:eastAsiaTheme="majorEastAsia" w:hAnsiTheme="majorEastAsia" w:cs="Calibri" w:hint="eastAsia"/>
            <w:szCs w:val="21"/>
          </w:rPr>
          <w:t>www.jiyufund.com.cn</w:t>
        </w:r>
      </w:hyperlink>
    </w:p>
    <w:p w:rsidR="00C117DF" w:rsidRPr="0080678B" w:rsidRDefault="00C117DF" w:rsidP="00335EED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2、华泰柏瑞基金管理有限公司</w:t>
      </w:r>
    </w:p>
    <w:p w:rsidR="00C117DF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客服电话：400-888-0001、（028）38784638</w:t>
      </w:r>
    </w:p>
    <w:p w:rsidR="0011521D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公司网址：www.huatai-pb.com</w:t>
      </w:r>
    </w:p>
    <w:p w:rsidR="006679D8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风险提示：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基金管理人承诺以诚实信用、勤勉尽责的原则管理和运用基金资产，但不保证基金一定盈利，也不保证最低收益。投资者投资于本基金管理人管理的基金时应认真阅读基金合同、招募说明书等法律文件，并注意投资风险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特此公告。</w:t>
      </w: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</w:t>
      </w:r>
    </w:p>
    <w:p w:rsidR="0011521D" w:rsidRPr="0080678B" w:rsidRDefault="007407B2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3F19C1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335EE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7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</w:t>
      </w:r>
    </w:p>
    <w:p w:rsidR="00BE2FC3" w:rsidRDefault="00BE2FC3"/>
    <w:sectPr w:rsidR="00BE2FC3" w:rsidSect="00F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04" w:rsidRDefault="00ED4204" w:rsidP="0011521D">
      <w:r>
        <w:separator/>
      </w:r>
    </w:p>
  </w:endnote>
  <w:endnote w:type="continuationSeparator" w:id="1">
    <w:p w:rsidR="00ED4204" w:rsidRDefault="00ED4204" w:rsidP="001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04" w:rsidRDefault="00ED4204" w:rsidP="0011521D">
      <w:r>
        <w:separator/>
      </w:r>
    </w:p>
  </w:footnote>
  <w:footnote w:type="continuationSeparator" w:id="1">
    <w:p w:rsidR="00ED4204" w:rsidRDefault="00ED4204" w:rsidP="0011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1D"/>
    <w:rsid w:val="000063CD"/>
    <w:rsid w:val="00007F18"/>
    <w:rsid w:val="00025103"/>
    <w:rsid w:val="0004579D"/>
    <w:rsid w:val="00057F20"/>
    <w:rsid w:val="00076907"/>
    <w:rsid w:val="00080526"/>
    <w:rsid w:val="000F6413"/>
    <w:rsid w:val="0010075C"/>
    <w:rsid w:val="0011134D"/>
    <w:rsid w:val="00111B53"/>
    <w:rsid w:val="001128A8"/>
    <w:rsid w:val="0011521D"/>
    <w:rsid w:val="001739FE"/>
    <w:rsid w:val="001B2A02"/>
    <w:rsid w:val="0026262B"/>
    <w:rsid w:val="00264356"/>
    <w:rsid w:val="002717FF"/>
    <w:rsid w:val="00312C49"/>
    <w:rsid w:val="00316DC5"/>
    <w:rsid w:val="00335EED"/>
    <w:rsid w:val="003A3A63"/>
    <w:rsid w:val="003B2AB7"/>
    <w:rsid w:val="003F0788"/>
    <w:rsid w:val="003F0E09"/>
    <w:rsid w:val="003F19C1"/>
    <w:rsid w:val="003F6928"/>
    <w:rsid w:val="00444E7D"/>
    <w:rsid w:val="0049134E"/>
    <w:rsid w:val="00496B38"/>
    <w:rsid w:val="00497D25"/>
    <w:rsid w:val="004E17A9"/>
    <w:rsid w:val="004E50D3"/>
    <w:rsid w:val="00505582"/>
    <w:rsid w:val="00547C11"/>
    <w:rsid w:val="005C6F6D"/>
    <w:rsid w:val="005D1430"/>
    <w:rsid w:val="00651840"/>
    <w:rsid w:val="006679D8"/>
    <w:rsid w:val="006B0350"/>
    <w:rsid w:val="007407B2"/>
    <w:rsid w:val="007A76E5"/>
    <w:rsid w:val="007E5150"/>
    <w:rsid w:val="007F7EEA"/>
    <w:rsid w:val="0080678B"/>
    <w:rsid w:val="008F1EC5"/>
    <w:rsid w:val="00902C4F"/>
    <w:rsid w:val="009061B4"/>
    <w:rsid w:val="009F768C"/>
    <w:rsid w:val="00A8632B"/>
    <w:rsid w:val="00B2593D"/>
    <w:rsid w:val="00B76B0C"/>
    <w:rsid w:val="00B91312"/>
    <w:rsid w:val="00B95E26"/>
    <w:rsid w:val="00BD1275"/>
    <w:rsid w:val="00BE2FC3"/>
    <w:rsid w:val="00C117DF"/>
    <w:rsid w:val="00C76610"/>
    <w:rsid w:val="00C82AA9"/>
    <w:rsid w:val="00C95477"/>
    <w:rsid w:val="00D21B63"/>
    <w:rsid w:val="00D70F30"/>
    <w:rsid w:val="00DD16C8"/>
    <w:rsid w:val="00DF2A40"/>
    <w:rsid w:val="00E75776"/>
    <w:rsid w:val="00E8688E"/>
    <w:rsid w:val="00EB5162"/>
    <w:rsid w:val="00ED2E91"/>
    <w:rsid w:val="00ED4204"/>
    <w:rsid w:val="00F50C44"/>
    <w:rsid w:val="00F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152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152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2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1521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1521D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6B035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0350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259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593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6B3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96B3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96B3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96B3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96B38"/>
    <w:rPr>
      <w:b/>
      <w:bCs/>
    </w:rPr>
  </w:style>
  <w:style w:type="paragraph" w:styleId="ab">
    <w:name w:val="Revision"/>
    <w:hidden/>
    <w:uiPriority w:val="99"/>
    <w:semiHidden/>
    <w:rsid w:val="00496B38"/>
  </w:style>
  <w:style w:type="character" w:styleId="ac">
    <w:name w:val="Hyperlink"/>
    <w:basedOn w:val="a0"/>
    <w:uiPriority w:val="99"/>
    <w:unhideWhenUsed/>
    <w:rsid w:val="009F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yufund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69FA-A777-471E-94E5-00C7655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4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张爱兵(Zhang  Aibing)</dc:creator>
  <cp:lastModifiedBy>JonMMx 2000</cp:lastModifiedBy>
  <cp:revision>2</cp:revision>
  <dcterms:created xsi:type="dcterms:W3CDTF">2020-04-03T16:01:00Z</dcterms:created>
  <dcterms:modified xsi:type="dcterms:W3CDTF">2020-04-03T16:01:00Z</dcterms:modified>
</cp:coreProperties>
</file>