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C" w:rsidRDefault="00F0249D" w:rsidP="000D6F81">
      <w:pPr>
        <w:jc w:val="center"/>
        <w:rPr>
          <w:rFonts w:ascii="华文中宋" w:eastAsia="华文中宋" w:hAnsi="华文中宋" w:hint="eastAsia"/>
          <w:sz w:val="36"/>
          <w:szCs w:val="36"/>
        </w:rPr>
      </w:pPr>
      <w:r w:rsidRPr="00F0249D">
        <w:rPr>
          <w:rFonts w:ascii="华文中宋" w:eastAsia="华文中宋" w:hAnsi="华文中宋" w:hint="eastAsia"/>
          <w:sz w:val="36"/>
          <w:szCs w:val="36"/>
        </w:rPr>
        <w:t>浙江浙商证券资产管理有限公司关于旗下部分基金在</w:t>
      </w:r>
      <w:r w:rsidR="000864B1">
        <w:rPr>
          <w:rFonts w:ascii="华文中宋" w:eastAsia="华文中宋" w:hAnsi="华文中宋" w:hint="eastAsia"/>
          <w:sz w:val="36"/>
          <w:szCs w:val="36"/>
        </w:rPr>
        <w:t>珠海盈米基金销售有限公司</w:t>
      </w:r>
      <w:r w:rsidRPr="00F0249D">
        <w:rPr>
          <w:rFonts w:ascii="华文中宋" w:eastAsia="华文中宋" w:hAnsi="华文中宋" w:hint="eastAsia"/>
          <w:sz w:val="36"/>
          <w:szCs w:val="36"/>
        </w:rPr>
        <w:t>开通定投业务的公告</w:t>
      </w:r>
    </w:p>
    <w:p w:rsidR="000D6F81" w:rsidRDefault="000D6F81" w:rsidP="000D6F81">
      <w:pPr>
        <w:jc w:val="center"/>
      </w:pPr>
    </w:p>
    <w:p w:rsidR="0070602C" w:rsidRPr="00B35D15" w:rsidRDefault="00F23AE5" w:rsidP="00B35D15">
      <w:pPr>
        <w:ind w:firstLineChars="200" w:firstLine="640"/>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为满足广大投资人的理财需求，</w:t>
      </w:r>
      <w:r w:rsidR="0070602C" w:rsidRPr="00B35D15">
        <w:rPr>
          <w:rFonts w:ascii="仿宋_GB2312" w:eastAsia="仿宋_GB2312" w:hAnsi="宋体" w:cs="宋体" w:hint="eastAsia"/>
          <w:color w:val="333333"/>
          <w:kern w:val="0"/>
          <w:sz w:val="32"/>
          <w:szCs w:val="32"/>
        </w:rPr>
        <w:t>浙江浙商证券资产管理有限公司（以下简称“本公司”）与</w:t>
      </w:r>
      <w:r w:rsidR="000864B1">
        <w:rPr>
          <w:rFonts w:ascii="仿宋_GB2312" w:eastAsia="仿宋_GB2312" w:hAnsi="宋体" w:cs="宋体" w:hint="eastAsia"/>
          <w:color w:val="333333"/>
          <w:kern w:val="0"/>
          <w:sz w:val="32"/>
          <w:szCs w:val="32"/>
        </w:rPr>
        <w:t>珠海盈米基金销售有限公司</w:t>
      </w:r>
      <w:r w:rsidR="0070602C" w:rsidRPr="00B35D15">
        <w:rPr>
          <w:rFonts w:ascii="仿宋_GB2312" w:eastAsia="仿宋_GB2312" w:hAnsi="宋体" w:cs="宋体" w:hint="eastAsia"/>
          <w:color w:val="333333"/>
          <w:kern w:val="0"/>
          <w:sz w:val="32"/>
          <w:szCs w:val="32"/>
        </w:rPr>
        <w:t>（以下简称“</w:t>
      </w:r>
      <w:r w:rsidR="00E35A6D">
        <w:rPr>
          <w:rFonts w:ascii="仿宋_GB2312" w:eastAsia="仿宋_GB2312" w:hAnsi="宋体" w:cs="宋体" w:hint="eastAsia"/>
          <w:color w:val="333333"/>
          <w:kern w:val="0"/>
          <w:sz w:val="32"/>
          <w:szCs w:val="32"/>
        </w:rPr>
        <w:t>盈米基金</w:t>
      </w:r>
      <w:r w:rsidR="0070602C" w:rsidRPr="00B35D15">
        <w:rPr>
          <w:rFonts w:ascii="仿宋_GB2312" w:eastAsia="仿宋_GB2312" w:hAnsi="宋体" w:cs="宋体" w:hint="eastAsia"/>
          <w:color w:val="333333"/>
          <w:kern w:val="0"/>
          <w:sz w:val="32"/>
          <w:szCs w:val="32"/>
        </w:rPr>
        <w:t>”）协商，自</w:t>
      </w:r>
      <w:r w:rsidR="00E35A6D">
        <w:rPr>
          <w:rFonts w:ascii="仿宋_GB2312" w:eastAsia="仿宋_GB2312" w:hAnsi="宋体" w:cs="宋体" w:hint="eastAsia"/>
          <w:color w:val="333333"/>
          <w:kern w:val="0"/>
          <w:sz w:val="32"/>
          <w:szCs w:val="32"/>
        </w:rPr>
        <w:t>2020年4月7日</w:t>
      </w:r>
      <w:r w:rsidR="0070602C" w:rsidRPr="00B35D15">
        <w:rPr>
          <w:rFonts w:ascii="仿宋_GB2312" w:eastAsia="仿宋_GB2312" w:hAnsi="宋体" w:cs="宋体" w:hint="eastAsia"/>
          <w:color w:val="333333"/>
          <w:kern w:val="0"/>
          <w:sz w:val="32"/>
          <w:szCs w:val="32"/>
        </w:rPr>
        <w:t>起，投资者可通过</w:t>
      </w:r>
      <w:r w:rsidR="00E35A6D">
        <w:rPr>
          <w:rFonts w:ascii="仿宋_GB2312" w:eastAsia="仿宋_GB2312" w:hAnsi="宋体" w:cs="宋体" w:hint="eastAsia"/>
          <w:color w:val="333333"/>
          <w:kern w:val="0"/>
          <w:sz w:val="32"/>
          <w:szCs w:val="32"/>
        </w:rPr>
        <w:t>盈米基金</w:t>
      </w:r>
      <w:r w:rsidR="0070602C" w:rsidRPr="00B35D15">
        <w:rPr>
          <w:rFonts w:ascii="仿宋_GB2312" w:eastAsia="仿宋_GB2312" w:hAnsi="宋体" w:cs="宋体" w:hint="eastAsia"/>
          <w:color w:val="333333"/>
          <w:kern w:val="0"/>
          <w:sz w:val="32"/>
          <w:szCs w:val="32"/>
        </w:rPr>
        <w:t>办理</w:t>
      </w:r>
      <w:r w:rsidR="0049460C" w:rsidRPr="00B35D15">
        <w:rPr>
          <w:rFonts w:ascii="仿宋_GB2312" w:eastAsia="仿宋_GB2312" w:hAnsi="宋体" w:cs="宋体" w:hint="eastAsia"/>
          <w:color w:val="333333"/>
          <w:kern w:val="0"/>
          <w:sz w:val="32"/>
          <w:szCs w:val="32"/>
        </w:rPr>
        <w:t>本公司旗下部分基金</w:t>
      </w:r>
      <w:r w:rsidR="0070602C" w:rsidRPr="00B35D15">
        <w:rPr>
          <w:rFonts w:ascii="仿宋_GB2312" w:eastAsia="仿宋_GB2312" w:hAnsi="宋体" w:cs="宋体" w:hint="eastAsia"/>
          <w:color w:val="333333"/>
          <w:kern w:val="0"/>
          <w:sz w:val="32"/>
          <w:szCs w:val="32"/>
        </w:rPr>
        <w:t>的</w:t>
      </w:r>
      <w:r w:rsidRPr="00B35D15">
        <w:rPr>
          <w:rFonts w:ascii="仿宋_GB2312" w:eastAsia="仿宋_GB2312" w:hAnsi="宋体" w:cs="宋体" w:hint="eastAsia"/>
          <w:color w:val="333333"/>
          <w:kern w:val="0"/>
          <w:sz w:val="32"/>
          <w:szCs w:val="32"/>
        </w:rPr>
        <w:t>定期定额投资业务（以下简称“基金定投”）</w:t>
      </w:r>
      <w:r w:rsidR="0070602C" w:rsidRPr="00B35D15">
        <w:rPr>
          <w:rFonts w:ascii="仿宋_GB2312" w:eastAsia="仿宋_GB2312" w:hAnsi="宋体" w:cs="宋体" w:hint="eastAsia"/>
          <w:color w:val="333333"/>
          <w:kern w:val="0"/>
          <w:sz w:val="32"/>
          <w:szCs w:val="32"/>
        </w:rPr>
        <w:t>。</w:t>
      </w:r>
    </w:p>
    <w:p w:rsidR="00F23AE5" w:rsidRPr="00B35D15" w:rsidRDefault="00F23AE5" w:rsidP="0070602C">
      <w:pPr>
        <w:rPr>
          <w:rFonts w:ascii="仿宋_GB2312" w:eastAsia="仿宋_GB2312" w:hAnsi="宋体" w:cs="宋体" w:hint="eastAsia"/>
          <w:color w:val="333333"/>
          <w:kern w:val="0"/>
          <w:sz w:val="32"/>
          <w:szCs w:val="32"/>
        </w:rPr>
      </w:pPr>
    </w:p>
    <w:p w:rsidR="00AD60C1" w:rsidRPr="00B35D15" w:rsidRDefault="008B0E6C" w:rsidP="0070602C">
      <w:pPr>
        <w:rPr>
          <w:rFonts w:ascii="仿宋_GB2312" w:eastAsia="仿宋_GB2312" w:hAnsi="宋体" w:cs="宋体"/>
          <w:color w:val="333333"/>
          <w:kern w:val="0"/>
          <w:sz w:val="32"/>
          <w:szCs w:val="32"/>
        </w:rPr>
      </w:pPr>
      <w:r w:rsidRPr="00B35D15">
        <w:rPr>
          <w:rFonts w:ascii="仿宋_GB2312" w:eastAsia="仿宋_GB2312" w:hAnsi="宋体" w:cs="宋体" w:hint="eastAsia"/>
          <w:color w:val="333333"/>
          <w:kern w:val="0"/>
          <w:sz w:val="32"/>
          <w:szCs w:val="32"/>
        </w:rPr>
        <w:t xml:space="preserve">    </w:t>
      </w:r>
      <w:r w:rsidR="00F23AE5" w:rsidRPr="00B35D15">
        <w:rPr>
          <w:rFonts w:ascii="仿宋_GB2312" w:eastAsia="仿宋_GB2312" w:hAnsi="宋体" w:cs="宋体" w:hint="eastAsia"/>
          <w:color w:val="333333"/>
          <w:kern w:val="0"/>
          <w:sz w:val="32"/>
          <w:szCs w:val="32"/>
        </w:rPr>
        <w:t>一、适用基金范围</w:t>
      </w:r>
      <w:r w:rsidR="00F23AE5" w:rsidRPr="00B35D15">
        <w:rPr>
          <w:rFonts w:ascii="仿宋_GB2312" w:eastAsia="仿宋_GB2312" w:hAnsi="宋体" w:cs="宋体" w:hint="eastAsia"/>
          <w:color w:val="333333"/>
          <w:kern w:val="0"/>
          <w:sz w:val="32"/>
          <w:szCs w:val="32"/>
        </w:rPr>
        <w:br/>
        <w:t xml:space="preserve">　　本次开通的基金定投业务适用于本公司管理的以下开放式基金：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287"/>
        <w:tblGridChange w:id="0">
          <w:tblGrid>
            <w:gridCol w:w="2235"/>
            <w:gridCol w:w="6287"/>
          </w:tblGrid>
        </w:tblGridChange>
      </w:tblGrid>
      <w:tr w:rsidR="00AD60C1" w:rsidRPr="00A97B19" w:rsidTr="00A97B19">
        <w:tc>
          <w:tcPr>
            <w:tcW w:w="2235" w:type="dxa"/>
          </w:tcPr>
          <w:p w:rsidR="00AD60C1" w:rsidRPr="00A97B19" w:rsidRDefault="00AD60C1" w:rsidP="0070602C">
            <w:pPr>
              <w:rPr>
                <w:rFonts w:ascii="仿宋_GB2312" w:eastAsia="仿宋_GB2312" w:hAnsi="宋体" w:cs="宋体" w:hint="eastAsia"/>
                <w:color w:val="333333"/>
                <w:kern w:val="0"/>
                <w:sz w:val="32"/>
                <w:szCs w:val="32"/>
              </w:rPr>
            </w:pPr>
            <w:r w:rsidRPr="00A97B19">
              <w:rPr>
                <w:rFonts w:ascii="仿宋_GB2312" w:eastAsia="仿宋_GB2312" w:hAnsi="宋体" w:cs="宋体" w:hint="eastAsia"/>
                <w:color w:val="333333"/>
                <w:kern w:val="0"/>
                <w:sz w:val="32"/>
                <w:szCs w:val="32"/>
              </w:rPr>
              <w:t>基金代码</w:t>
            </w:r>
          </w:p>
        </w:tc>
        <w:tc>
          <w:tcPr>
            <w:tcW w:w="6287" w:type="dxa"/>
          </w:tcPr>
          <w:p w:rsidR="00AD60C1" w:rsidRPr="00A97B19" w:rsidRDefault="00AD60C1" w:rsidP="0070602C">
            <w:pPr>
              <w:rPr>
                <w:rFonts w:ascii="仿宋_GB2312" w:eastAsia="仿宋_GB2312" w:hAnsi="宋体" w:cs="宋体" w:hint="eastAsia"/>
                <w:color w:val="333333"/>
                <w:kern w:val="0"/>
                <w:sz w:val="32"/>
                <w:szCs w:val="32"/>
              </w:rPr>
            </w:pPr>
            <w:r w:rsidRPr="00A97B19">
              <w:rPr>
                <w:rFonts w:ascii="仿宋_GB2312" w:eastAsia="仿宋_GB2312" w:hAnsi="宋体" w:cs="宋体" w:hint="eastAsia"/>
                <w:color w:val="333333"/>
                <w:kern w:val="0"/>
                <w:sz w:val="32"/>
                <w:szCs w:val="32"/>
              </w:rPr>
              <w:t>基金名称</w:t>
            </w:r>
          </w:p>
        </w:tc>
      </w:tr>
      <w:tr w:rsidR="00AD60C1" w:rsidRPr="00A97B19" w:rsidTr="00A97B19">
        <w:tc>
          <w:tcPr>
            <w:tcW w:w="2235" w:type="dxa"/>
          </w:tcPr>
          <w:p w:rsidR="00AD60C1" w:rsidRPr="00A97B19" w:rsidRDefault="00AD60C1"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000935</w:t>
            </w:r>
          </w:p>
        </w:tc>
        <w:tc>
          <w:tcPr>
            <w:tcW w:w="6287" w:type="dxa"/>
          </w:tcPr>
          <w:p w:rsidR="00AD60C1" w:rsidRPr="00A97B19" w:rsidRDefault="00AD60C1"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浙商汇金转型成长混合型证券投资基金</w:t>
            </w:r>
          </w:p>
        </w:tc>
      </w:tr>
      <w:tr w:rsidR="00DA6807" w:rsidRPr="00A97B19" w:rsidTr="00A97B19">
        <w:tc>
          <w:tcPr>
            <w:tcW w:w="2235" w:type="dxa"/>
          </w:tcPr>
          <w:p w:rsidR="00DA6807" w:rsidRPr="00A97B19" w:rsidRDefault="00DA6807"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001540</w:t>
            </w:r>
          </w:p>
        </w:tc>
        <w:tc>
          <w:tcPr>
            <w:tcW w:w="6287" w:type="dxa"/>
          </w:tcPr>
          <w:p w:rsidR="00DA6807" w:rsidRPr="00A97B19" w:rsidRDefault="00DA6807"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浙商汇金转型驱动灵活配置混合型证券投资基金</w:t>
            </w:r>
          </w:p>
        </w:tc>
      </w:tr>
      <w:tr w:rsidR="00AD60C1" w:rsidRPr="00A97B19" w:rsidTr="00A97B19">
        <w:tc>
          <w:tcPr>
            <w:tcW w:w="2235" w:type="dxa"/>
          </w:tcPr>
          <w:p w:rsidR="00AD60C1" w:rsidRPr="00A97B19" w:rsidRDefault="00AD60C1"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001604</w:t>
            </w:r>
          </w:p>
        </w:tc>
        <w:tc>
          <w:tcPr>
            <w:tcW w:w="6287" w:type="dxa"/>
          </w:tcPr>
          <w:p w:rsidR="00AD60C1" w:rsidRPr="00A97B19" w:rsidRDefault="00AD60C1"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浙商汇金转型升级灵活配置混合型证券投资基金</w:t>
            </w:r>
          </w:p>
        </w:tc>
      </w:tr>
      <w:tr w:rsidR="00AD60C1" w:rsidRPr="00A97B19" w:rsidTr="00A97B19">
        <w:tc>
          <w:tcPr>
            <w:tcW w:w="2235" w:type="dxa"/>
          </w:tcPr>
          <w:p w:rsidR="00AD60C1" w:rsidRPr="00A97B19" w:rsidRDefault="00EC2D06"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003366</w:t>
            </w:r>
          </w:p>
        </w:tc>
        <w:tc>
          <w:tcPr>
            <w:tcW w:w="6287" w:type="dxa"/>
          </w:tcPr>
          <w:p w:rsidR="00AD60C1" w:rsidRPr="00A97B19" w:rsidRDefault="00EC2D06"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浙商汇金中证转型成长指数型证券投资基金</w:t>
            </w:r>
          </w:p>
        </w:tc>
      </w:tr>
      <w:tr w:rsidR="00AD60C1" w:rsidRPr="00A97B19" w:rsidTr="00A97B19">
        <w:tc>
          <w:tcPr>
            <w:tcW w:w="2235" w:type="dxa"/>
          </w:tcPr>
          <w:p w:rsidR="00EC2D06" w:rsidRPr="00A97B19" w:rsidRDefault="00EC2D06" w:rsidP="00A97B19">
            <w:pPr>
              <w:rPr>
                <w:rFonts w:ascii="仿宋_GB2312" w:eastAsia="仿宋_GB2312" w:hAnsi="宋体" w:cs="宋体"/>
                <w:color w:val="333333"/>
                <w:kern w:val="0"/>
                <w:sz w:val="28"/>
                <w:szCs w:val="32"/>
                <w:lang/>
              </w:rPr>
            </w:pPr>
            <w:r w:rsidRPr="00A97B19">
              <w:rPr>
                <w:rFonts w:ascii="仿宋_GB2312" w:eastAsia="仿宋_GB2312" w:hAnsi="宋体" w:cs="宋体"/>
                <w:color w:val="333333"/>
                <w:kern w:val="0"/>
                <w:sz w:val="28"/>
                <w:szCs w:val="32"/>
                <w:lang/>
              </w:rPr>
              <w:t>A</w:t>
            </w:r>
            <w:r w:rsidRPr="00A97B19">
              <w:rPr>
                <w:rFonts w:ascii="仿宋_GB2312" w:eastAsia="仿宋_GB2312" w:hAnsi="宋体" w:cs="宋体" w:hint="eastAsia"/>
                <w:color w:val="333333"/>
                <w:kern w:val="0"/>
                <w:sz w:val="28"/>
                <w:szCs w:val="32"/>
                <w:lang/>
              </w:rPr>
              <w:t>类</w:t>
            </w:r>
            <w:r w:rsidRPr="00A97B19">
              <w:rPr>
                <w:rFonts w:ascii="仿宋_GB2312" w:eastAsia="仿宋_GB2312" w:hAnsi="宋体" w:cs="宋体"/>
                <w:color w:val="333333"/>
                <w:kern w:val="0"/>
                <w:sz w:val="28"/>
                <w:szCs w:val="32"/>
                <w:lang/>
              </w:rPr>
              <w:t>006516</w:t>
            </w:r>
            <w:r w:rsidRPr="00A97B19">
              <w:rPr>
                <w:rFonts w:ascii="仿宋_GB2312" w:eastAsia="仿宋_GB2312" w:hAnsi="宋体" w:cs="宋体" w:hint="eastAsia"/>
                <w:color w:val="333333"/>
                <w:kern w:val="0"/>
                <w:sz w:val="28"/>
                <w:szCs w:val="32"/>
                <w:lang/>
              </w:rPr>
              <w:t>，</w:t>
            </w:r>
            <w:r w:rsidRPr="00A97B19">
              <w:rPr>
                <w:rFonts w:ascii="仿宋_GB2312" w:eastAsia="仿宋_GB2312" w:hAnsi="宋体" w:cs="宋体"/>
                <w:color w:val="333333"/>
                <w:kern w:val="0"/>
                <w:sz w:val="28"/>
                <w:szCs w:val="32"/>
                <w:lang/>
              </w:rPr>
              <w:t>E</w:t>
            </w:r>
          </w:p>
          <w:tbl>
            <w:tblPr>
              <w:tblW w:w="0" w:type="auto"/>
              <w:tblBorders>
                <w:top w:val="nil"/>
                <w:left w:val="nil"/>
                <w:bottom w:val="nil"/>
                <w:right w:val="nil"/>
              </w:tblBorders>
              <w:tblLook w:val="0000"/>
            </w:tblPr>
            <w:tblGrid>
              <w:gridCol w:w="1406"/>
            </w:tblGrid>
            <w:tr w:rsidR="00EC2D06" w:rsidRPr="006B667C">
              <w:tblPrEx>
                <w:tblCellMar>
                  <w:top w:w="0" w:type="dxa"/>
                  <w:bottom w:w="0" w:type="dxa"/>
                </w:tblCellMar>
              </w:tblPrEx>
              <w:trPr>
                <w:trHeight w:val="119"/>
              </w:trPr>
              <w:tc>
                <w:tcPr>
                  <w:tcW w:w="0" w:type="auto"/>
                </w:tcPr>
                <w:p w:rsidR="00EC2D06" w:rsidRPr="006B667C" w:rsidRDefault="00EC2D06" w:rsidP="00EC2D06">
                  <w:pPr>
                    <w:rPr>
                      <w:rFonts w:ascii="仿宋_GB2312" w:eastAsia="仿宋_GB2312" w:hAnsi="宋体" w:cs="宋体"/>
                      <w:color w:val="333333"/>
                      <w:kern w:val="0"/>
                      <w:sz w:val="28"/>
                      <w:szCs w:val="32"/>
                      <w:lang/>
                    </w:rPr>
                  </w:pPr>
                  <w:r w:rsidRPr="006B667C">
                    <w:rPr>
                      <w:rFonts w:ascii="仿宋_GB2312" w:eastAsia="仿宋_GB2312" w:hAnsi="宋体" w:cs="宋体" w:hint="eastAsia"/>
                      <w:color w:val="333333"/>
                      <w:kern w:val="0"/>
                      <w:sz w:val="28"/>
                      <w:szCs w:val="32"/>
                      <w:lang/>
                    </w:rPr>
                    <w:t>类</w:t>
                  </w:r>
                  <w:r w:rsidRPr="006B667C">
                    <w:rPr>
                      <w:rFonts w:ascii="仿宋_GB2312" w:eastAsia="仿宋_GB2312" w:hAnsi="宋体" w:cs="宋体"/>
                      <w:color w:val="333333"/>
                      <w:kern w:val="0"/>
                      <w:sz w:val="28"/>
                      <w:szCs w:val="32"/>
                      <w:lang/>
                    </w:rPr>
                    <w:t xml:space="preserve">006515 </w:t>
                  </w:r>
                </w:p>
              </w:tc>
            </w:tr>
          </w:tbl>
          <w:p w:rsidR="00AD60C1" w:rsidRPr="00A97B19" w:rsidRDefault="00AD60C1" w:rsidP="0070602C">
            <w:pPr>
              <w:rPr>
                <w:rFonts w:ascii="仿宋_GB2312" w:eastAsia="仿宋_GB2312" w:hAnsi="宋体" w:cs="宋体" w:hint="eastAsia"/>
                <w:color w:val="333333"/>
                <w:kern w:val="0"/>
                <w:sz w:val="28"/>
                <w:szCs w:val="32"/>
                <w:lang/>
              </w:rPr>
            </w:pPr>
          </w:p>
        </w:tc>
        <w:tc>
          <w:tcPr>
            <w:tcW w:w="6287" w:type="dxa"/>
          </w:tcPr>
          <w:p w:rsidR="00AD60C1" w:rsidRPr="00A97B19" w:rsidRDefault="00EC2D06" w:rsidP="0070602C">
            <w:pPr>
              <w:rPr>
                <w:rFonts w:ascii="仿宋_GB2312" w:eastAsia="仿宋_GB2312" w:hAnsi="宋体" w:cs="宋体" w:hint="eastAsia"/>
                <w:color w:val="333333"/>
                <w:kern w:val="0"/>
                <w:sz w:val="28"/>
                <w:szCs w:val="32"/>
                <w:lang/>
              </w:rPr>
            </w:pPr>
            <w:r w:rsidRPr="00A97B19">
              <w:rPr>
                <w:rFonts w:ascii="仿宋_GB2312" w:eastAsia="仿宋_GB2312" w:hAnsi="宋体" w:cs="宋体"/>
                <w:color w:val="333333"/>
                <w:kern w:val="0"/>
                <w:sz w:val="28"/>
                <w:szCs w:val="32"/>
                <w:lang/>
              </w:rPr>
              <w:t>浙商汇金短债债券型证券投资基金</w:t>
            </w:r>
          </w:p>
        </w:tc>
      </w:tr>
      <w:tr w:rsidR="00EC2D06" w:rsidRPr="00A97B19" w:rsidTr="00A97B19">
        <w:tc>
          <w:tcPr>
            <w:tcW w:w="2235" w:type="dxa"/>
          </w:tcPr>
          <w:p w:rsidR="00EC2D06" w:rsidRPr="00A97B19" w:rsidRDefault="00EC2D06" w:rsidP="0070602C">
            <w:pPr>
              <w:rPr>
                <w:rFonts w:ascii="仿宋_GB2312" w:eastAsia="仿宋_GB2312" w:hAnsi="宋体" w:cs="宋体" w:hint="eastAsia"/>
                <w:color w:val="333333"/>
                <w:kern w:val="0"/>
                <w:sz w:val="28"/>
                <w:szCs w:val="32"/>
              </w:rPr>
            </w:pPr>
            <w:r w:rsidRPr="00A97B19">
              <w:rPr>
                <w:rFonts w:ascii="仿宋_GB2312" w:eastAsia="仿宋_GB2312" w:hAnsi="宋体" w:cs="宋体" w:hint="eastAsia"/>
                <w:color w:val="333333"/>
                <w:kern w:val="0"/>
                <w:sz w:val="28"/>
                <w:szCs w:val="32"/>
              </w:rPr>
              <w:t>007431</w:t>
            </w:r>
          </w:p>
        </w:tc>
        <w:tc>
          <w:tcPr>
            <w:tcW w:w="6287" w:type="dxa"/>
          </w:tcPr>
          <w:p w:rsidR="00EC2D06" w:rsidRPr="00A97B19" w:rsidRDefault="00EC2D06" w:rsidP="0070602C">
            <w:pPr>
              <w:rPr>
                <w:rFonts w:ascii="仿宋_GB2312" w:eastAsia="仿宋_GB2312" w:hAnsi="宋体" w:cs="宋体" w:hint="eastAsia"/>
                <w:color w:val="333333"/>
                <w:kern w:val="0"/>
                <w:sz w:val="28"/>
                <w:szCs w:val="32"/>
              </w:rPr>
            </w:pPr>
            <w:r w:rsidRPr="00A97B19">
              <w:rPr>
                <w:rFonts w:ascii="仿宋_GB2312" w:eastAsia="仿宋_GB2312" w:hAnsi="宋体" w:cs="宋体"/>
                <w:color w:val="333333"/>
                <w:kern w:val="0"/>
                <w:sz w:val="28"/>
                <w:szCs w:val="32"/>
              </w:rPr>
              <w:t>浙商汇金中证浙江凤凰行动50交易型开放式指数证券投资基金联接基金</w:t>
            </w:r>
          </w:p>
        </w:tc>
      </w:tr>
    </w:tbl>
    <w:p w:rsidR="00C402E0" w:rsidRDefault="006B667C" w:rsidP="0070602C">
      <w:pPr>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w:t>
      </w:r>
      <w:r w:rsidR="00F23AE5" w:rsidRPr="00B35D15">
        <w:rPr>
          <w:rFonts w:ascii="仿宋_GB2312" w:eastAsia="仿宋_GB2312" w:hAnsi="宋体" w:cs="宋体" w:hint="eastAsia"/>
          <w:color w:val="333333"/>
          <w:kern w:val="0"/>
          <w:sz w:val="32"/>
          <w:szCs w:val="32"/>
        </w:rPr>
        <w:t xml:space="preserve">　</w:t>
      </w:r>
    </w:p>
    <w:p w:rsidR="00F23AE5" w:rsidRPr="00B35D15" w:rsidRDefault="00037305" w:rsidP="0070602C">
      <w:pPr>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lastRenderedPageBreak/>
        <w:t xml:space="preserve">    </w:t>
      </w:r>
      <w:r w:rsidR="00F23AE5" w:rsidRPr="00B35D15">
        <w:rPr>
          <w:rFonts w:ascii="仿宋_GB2312" w:eastAsia="仿宋_GB2312" w:hAnsi="宋体" w:cs="宋体" w:hint="eastAsia"/>
          <w:color w:val="333333"/>
          <w:kern w:val="0"/>
          <w:sz w:val="32"/>
          <w:szCs w:val="32"/>
        </w:rPr>
        <w:t>二、开通时间</w:t>
      </w:r>
      <w:r w:rsidR="00F23AE5" w:rsidRPr="00B35D15">
        <w:rPr>
          <w:rFonts w:ascii="仿宋_GB2312" w:eastAsia="仿宋_GB2312" w:hAnsi="宋体" w:cs="宋体" w:hint="eastAsia"/>
          <w:color w:val="333333"/>
          <w:kern w:val="0"/>
          <w:sz w:val="32"/>
          <w:szCs w:val="32"/>
        </w:rPr>
        <w:br/>
        <w:t xml:space="preserve">　　自</w:t>
      </w:r>
      <w:r w:rsidR="00E35A6D" w:rsidRPr="00E35A6D">
        <w:rPr>
          <w:rFonts w:ascii="仿宋_GB2312" w:eastAsia="仿宋_GB2312" w:hAnsi="宋体" w:cs="宋体" w:hint="eastAsia"/>
          <w:color w:val="333333"/>
          <w:kern w:val="0"/>
          <w:sz w:val="32"/>
          <w:szCs w:val="32"/>
        </w:rPr>
        <w:t>2020年4月7日</w:t>
      </w:r>
      <w:r w:rsidR="00F23AE5" w:rsidRPr="00B35D15">
        <w:rPr>
          <w:rFonts w:ascii="仿宋_GB2312" w:eastAsia="仿宋_GB2312" w:hAnsi="宋体" w:cs="宋体" w:hint="eastAsia"/>
          <w:color w:val="333333"/>
          <w:kern w:val="0"/>
          <w:sz w:val="32"/>
          <w:szCs w:val="32"/>
        </w:rPr>
        <w:t>起，投资人可办理基金定投业务，申请受理时间与本公司管理的基金日常申购业务受理时间相同。</w:t>
      </w:r>
      <w:r w:rsidR="00F23AE5" w:rsidRPr="00B35D15">
        <w:rPr>
          <w:rFonts w:ascii="仿宋_GB2312" w:eastAsia="仿宋_GB2312" w:hAnsi="宋体" w:cs="宋体" w:hint="eastAsia"/>
          <w:color w:val="333333"/>
          <w:kern w:val="0"/>
          <w:sz w:val="32"/>
          <w:szCs w:val="32"/>
        </w:rPr>
        <w:br/>
      </w:r>
      <w:r w:rsidR="00F23AE5" w:rsidRPr="00B35D15">
        <w:rPr>
          <w:rFonts w:ascii="仿宋_GB2312" w:eastAsia="仿宋_GB2312" w:hAnsi="宋体" w:cs="宋体" w:hint="eastAsia"/>
          <w:color w:val="333333"/>
          <w:kern w:val="0"/>
          <w:sz w:val="32"/>
          <w:szCs w:val="32"/>
        </w:rPr>
        <w:br/>
        <w:t xml:space="preserve">　　三、办理机构</w:t>
      </w:r>
    </w:p>
    <w:p w:rsidR="00A0364D" w:rsidRPr="00B35D15" w:rsidRDefault="000864B1" w:rsidP="00B35D15">
      <w:pPr>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珠海盈米基金销售有限公司</w:t>
      </w:r>
      <w:r w:rsidR="00F23AE5" w:rsidRPr="00B35D15">
        <w:rPr>
          <w:rFonts w:ascii="仿宋_GB2312" w:eastAsia="仿宋_GB2312" w:hAnsi="宋体" w:cs="宋体" w:hint="eastAsia"/>
          <w:color w:val="333333"/>
          <w:kern w:val="0"/>
          <w:sz w:val="32"/>
          <w:szCs w:val="32"/>
        </w:rPr>
        <w:br/>
      </w:r>
      <w:r w:rsidR="00F23AE5" w:rsidRPr="00B35D15">
        <w:rPr>
          <w:rFonts w:ascii="仿宋_GB2312" w:eastAsia="仿宋_GB2312" w:hAnsi="宋体" w:cs="宋体" w:hint="eastAsia"/>
          <w:color w:val="333333"/>
          <w:kern w:val="0"/>
          <w:sz w:val="32"/>
          <w:szCs w:val="32"/>
        </w:rPr>
        <w:br/>
        <w:t xml:space="preserve">　　四、基金定投业务说明</w:t>
      </w:r>
      <w:r w:rsidR="00F23AE5" w:rsidRPr="00B35D15">
        <w:rPr>
          <w:rFonts w:ascii="仿宋_GB2312" w:eastAsia="仿宋_GB2312" w:hAnsi="宋体" w:cs="宋体" w:hint="eastAsia"/>
          <w:color w:val="333333"/>
          <w:kern w:val="0"/>
          <w:sz w:val="32"/>
          <w:szCs w:val="32"/>
        </w:rPr>
        <w:br/>
        <w:t xml:space="preserve">　　1. 定投规则</w:t>
      </w:r>
      <w:r w:rsidR="00F23AE5" w:rsidRPr="00B35D15">
        <w:rPr>
          <w:rFonts w:ascii="仿宋_GB2312" w:eastAsia="仿宋_GB2312" w:hAnsi="宋体" w:cs="宋体" w:hint="eastAsia"/>
          <w:color w:val="333333"/>
          <w:kern w:val="0"/>
          <w:sz w:val="32"/>
          <w:szCs w:val="32"/>
        </w:rPr>
        <w:br/>
        <w:t xml:space="preserve">　　投资人在办理基金定投</w:t>
      </w:r>
      <w:r w:rsidR="008B0E6C" w:rsidRPr="00B35D15">
        <w:rPr>
          <w:rFonts w:ascii="仿宋_GB2312" w:eastAsia="仿宋_GB2312" w:hAnsi="宋体" w:cs="宋体" w:hint="eastAsia"/>
          <w:color w:val="333333"/>
          <w:kern w:val="0"/>
          <w:sz w:val="32"/>
          <w:szCs w:val="32"/>
        </w:rPr>
        <w:t>业务</w:t>
      </w:r>
      <w:r w:rsidR="00F23AE5" w:rsidRPr="00B35D15">
        <w:rPr>
          <w:rFonts w:ascii="仿宋_GB2312" w:eastAsia="仿宋_GB2312" w:hAnsi="宋体" w:cs="宋体" w:hint="eastAsia"/>
          <w:color w:val="333333"/>
          <w:kern w:val="0"/>
          <w:sz w:val="32"/>
          <w:szCs w:val="32"/>
        </w:rPr>
        <w:t>时可自行约定每期扣款时间及固定的投资金额（即申购金额），每期申购金额不得低于人民币</w:t>
      </w:r>
      <w:r w:rsidR="0029678C">
        <w:rPr>
          <w:rFonts w:ascii="仿宋_GB2312" w:eastAsia="仿宋_GB2312" w:hAnsi="宋体" w:cs="宋体" w:hint="eastAsia"/>
          <w:color w:val="333333"/>
          <w:kern w:val="0"/>
          <w:sz w:val="32"/>
          <w:szCs w:val="32"/>
        </w:rPr>
        <w:t>1</w:t>
      </w:r>
      <w:r w:rsidR="00A0364D" w:rsidRPr="00B35D15">
        <w:rPr>
          <w:rFonts w:ascii="仿宋_GB2312" w:eastAsia="仿宋_GB2312" w:hAnsi="宋体" w:cs="宋体" w:hint="eastAsia"/>
          <w:color w:val="333333"/>
          <w:kern w:val="0"/>
          <w:sz w:val="32"/>
          <w:szCs w:val="32"/>
        </w:rPr>
        <w:t>00元</w:t>
      </w:r>
      <w:r w:rsidR="00F23AE5" w:rsidRPr="00B35D15">
        <w:rPr>
          <w:rFonts w:ascii="仿宋_GB2312" w:eastAsia="仿宋_GB2312" w:hAnsi="宋体" w:cs="宋体" w:hint="eastAsia"/>
          <w:color w:val="333333"/>
          <w:kern w:val="0"/>
          <w:sz w:val="32"/>
          <w:szCs w:val="32"/>
        </w:rPr>
        <w:t>，交易级差以销售机构的业务规定为准。</w:t>
      </w:r>
      <w:r w:rsidR="00F23AE5" w:rsidRPr="00B35D15">
        <w:rPr>
          <w:rFonts w:ascii="仿宋_GB2312" w:eastAsia="仿宋_GB2312" w:hAnsi="宋体" w:cs="宋体" w:hint="eastAsia"/>
          <w:color w:val="333333"/>
          <w:kern w:val="0"/>
          <w:sz w:val="32"/>
          <w:szCs w:val="32"/>
        </w:rPr>
        <w:br/>
        <w:t xml:space="preserve">　　在今后的业务开展过程中，</w:t>
      </w:r>
      <w:r w:rsidR="00E35A6D">
        <w:rPr>
          <w:rFonts w:ascii="仿宋_GB2312" w:eastAsia="仿宋_GB2312" w:hAnsi="宋体" w:cs="宋体" w:hint="eastAsia"/>
          <w:color w:val="333333"/>
          <w:kern w:val="0"/>
          <w:sz w:val="32"/>
          <w:szCs w:val="32"/>
        </w:rPr>
        <w:t>盈米基金</w:t>
      </w:r>
      <w:r w:rsidR="00F23AE5" w:rsidRPr="00B35D15">
        <w:rPr>
          <w:rFonts w:ascii="仿宋_GB2312" w:eastAsia="仿宋_GB2312" w:hAnsi="宋体" w:cs="宋体" w:hint="eastAsia"/>
          <w:color w:val="333333"/>
          <w:kern w:val="0"/>
          <w:sz w:val="32"/>
          <w:szCs w:val="32"/>
        </w:rPr>
        <w:t>对最低定投金额的规定发生变化的，适用</w:t>
      </w:r>
      <w:r w:rsidR="00E35A6D">
        <w:rPr>
          <w:rFonts w:ascii="仿宋_GB2312" w:eastAsia="仿宋_GB2312" w:hAnsi="宋体" w:cs="宋体" w:hint="eastAsia"/>
          <w:color w:val="333333"/>
          <w:kern w:val="0"/>
          <w:sz w:val="32"/>
          <w:szCs w:val="32"/>
        </w:rPr>
        <w:t>盈米基金</w:t>
      </w:r>
      <w:r w:rsidR="00F23AE5" w:rsidRPr="00B35D15">
        <w:rPr>
          <w:rFonts w:ascii="仿宋_GB2312" w:eastAsia="仿宋_GB2312" w:hAnsi="宋体" w:cs="宋体" w:hint="eastAsia"/>
          <w:color w:val="333333"/>
          <w:kern w:val="0"/>
          <w:sz w:val="32"/>
          <w:szCs w:val="32"/>
        </w:rPr>
        <w:t>的最新规定。</w:t>
      </w:r>
      <w:r w:rsidR="00F23AE5" w:rsidRPr="00B35D15">
        <w:rPr>
          <w:rFonts w:ascii="仿宋_GB2312" w:eastAsia="仿宋_GB2312" w:hAnsi="宋体" w:cs="宋体" w:hint="eastAsia"/>
          <w:color w:val="333333"/>
          <w:kern w:val="0"/>
          <w:sz w:val="32"/>
          <w:szCs w:val="32"/>
        </w:rPr>
        <w:br/>
        <w:t xml:space="preserve">　　2. 定投费率</w:t>
      </w:r>
      <w:r w:rsidR="00F23AE5" w:rsidRPr="00B35D15">
        <w:rPr>
          <w:rFonts w:ascii="仿宋_GB2312" w:eastAsia="仿宋_GB2312" w:hAnsi="宋体" w:cs="宋体" w:hint="eastAsia"/>
          <w:color w:val="333333"/>
          <w:kern w:val="0"/>
          <w:sz w:val="32"/>
          <w:szCs w:val="32"/>
        </w:rPr>
        <w:br/>
        <w:t xml:space="preserve">　　基金定投业务的申购费率、计费方式与日常申购费率、计费方式相同。　</w:t>
      </w:r>
    </w:p>
    <w:p w:rsidR="00E35A6D" w:rsidRPr="00E35A6D" w:rsidRDefault="00F23AE5" w:rsidP="00E35A6D">
      <w:pPr>
        <w:ind w:firstLineChars="200" w:firstLine="640"/>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3. 办理时间</w:t>
      </w:r>
      <w:r w:rsidRPr="00B35D15">
        <w:rPr>
          <w:rFonts w:ascii="仿宋_GB2312" w:eastAsia="仿宋_GB2312" w:hAnsi="宋体" w:cs="宋体" w:hint="eastAsia"/>
          <w:color w:val="333333"/>
          <w:kern w:val="0"/>
          <w:sz w:val="32"/>
          <w:szCs w:val="32"/>
        </w:rPr>
        <w:br/>
        <w:t xml:space="preserve">　　基金定投业务的申请受理时间与本公司管理的基金日常申购业务受理时间相同。</w:t>
      </w:r>
      <w:r w:rsidRPr="00B35D15">
        <w:rPr>
          <w:rFonts w:ascii="仿宋_GB2312" w:eastAsia="仿宋_GB2312" w:hAnsi="宋体" w:cs="宋体" w:hint="eastAsia"/>
          <w:color w:val="333333"/>
          <w:kern w:val="0"/>
          <w:sz w:val="32"/>
          <w:szCs w:val="32"/>
        </w:rPr>
        <w:br/>
        <w:t xml:space="preserve">　　4. 交易确认</w:t>
      </w:r>
      <w:r w:rsidRPr="00B35D15">
        <w:rPr>
          <w:rFonts w:ascii="仿宋_GB2312" w:eastAsia="仿宋_GB2312" w:hAnsi="宋体" w:cs="宋体" w:hint="eastAsia"/>
          <w:color w:val="333333"/>
          <w:kern w:val="0"/>
          <w:sz w:val="32"/>
          <w:szCs w:val="32"/>
        </w:rPr>
        <w:br/>
      </w:r>
      <w:r w:rsidRPr="00B35D15">
        <w:rPr>
          <w:rFonts w:ascii="仿宋_GB2312" w:eastAsia="仿宋_GB2312" w:hAnsi="宋体" w:cs="宋体" w:hint="eastAsia"/>
          <w:color w:val="333333"/>
          <w:kern w:val="0"/>
          <w:sz w:val="32"/>
          <w:szCs w:val="32"/>
        </w:rPr>
        <w:lastRenderedPageBreak/>
        <w:t xml:space="preserve">　　每期实际扣款日即为基金申购申请日，并以该日(T日)的基金份额净值为基准计算申购份额，申购份额将在T＋1工作日确认成功后直接计入投资人的基金账户内。基金份额确认查询和赎回起始日为T＋2工作日。</w:t>
      </w:r>
      <w:r w:rsidRPr="00B35D15">
        <w:rPr>
          <w:rFonts w:ascii="仿宋_GB2312" w:eastAsia="仿宋_GB2312" w:hAnsi="宋体" w:cs="宋体" w:hint="eastAsia"/>
          <w:color w:val="333333"/>
          <w:kern w:val="0"/>
          <w:sz w:val="32"/>
          <w:szCs w:val="32"/>
        </w:rPr>
        <w:br/>
      </w:r>
      <w:r w:rsidRPr="00B35D15">
        <w:rPr>
          <w:rFonts w:ascii="仿宋_GB2312" w:eastAsia="仿宋_GB2312" w:hAnsi="宋体" w:cs="宋体" w:hint="eastAsia"/>
          <w:color w:val="333333"/>
          <w:kern w:val="0"/>
          <w:sz w:val="32"/>
          <w:szCs w:val="32"/>
        </w:rPr>
        <w:br/>
        <w:t xml:space="preserve">　　五、咨询方式</w:t>
      </w:r>
      <w:r w:rsidRPr="00B35D15">
        <w:rPr>
          <w:rFonts w:ascii="仿宋_GB2312" w:eastAsia="仿宋_GB2312" w:hAnsi="宋体" w:cs="宋体" w:hint="eastAsia"/>
          <w:color w:val="333333"/>
          <w:kern w:val="0"/>
          <w:sz w:val="32"/>
          <w:szCs w:val="32"/>
        </w:rPr>
        <w:br/>
      </w:r>
      <w:r w:rsidR="008B0E6C" w:rsidRPr="00B35D15">
        <w:rPr>
          <w:rFonts w:ascii="仿宋_GB2312" w:eastAsia="仿宋_GB2312" w:hAnsi="宋体" w:cs="宋体" w:hint="eastAsia"/>
          <w:color w:val="333333"/>
          <w:kern w:val="0"/>
          <w:sz w:val="32"/>
          <w:szCs w:val="32"/>
        </w:rPr>
        <w:t xml:space="preserve">    </w:t>
      </w:r>
      <w:r w:rsidR="00A4656D">
        <w:rPr>
          <w:rFonts w:ascii="仿宋_GB2312" w:eastAsia="仿宋_GB2312" w:hAnsi="宋体" w:cs="宋体" w:hint="eastAsia"/>
          <w:color w:val="333333"/>
          <w:kern w:val="0"/>
          <w:sz w:val="32"/>
          <w:szCs w:val="32"/>
        </w:rPr>
        <w:t>(</w:t>
      </w:r>
      <w:r w:rsidR="00A4656D" w:rsidRPr="00A4656D">
        <w:rPr>
          <w:rFonts w:ascii="仿宋_GB2312" w:eastAsia="仿宋_GB2312" w:hAnsi="宋体" w:cs="宋体" w:hint="eastAsia"/>
          <w:color w:val="333333"/>
          <w:kern w:val="0"/>
          <w:sz w:val="32"/>
          <w:szCs w:val="32"/>
        </w:rPr>
        <w:t>1</w:t>
      </w:r>
      <w:r w:rsidR="00A4656D">
        <w:rPr>
          <w:rFonts w:ascii="仿宋_GB2312" w:eastAsia="仿宋_GB2312" w:hAnsi="宋体" w:cs="宋体" w:hint="eastAsia"/>
          <w:color w:val="333333"/>
          <w:kern w:val="0"/>
          <w:sz w:val="32"/>
          <w:szCs w:val="32"/>
        </w:rPr>
        <w:t>)</w:t>
      </w:r>
      <w:r w:rsidR="000864B1">
        <w:rPr>
          <w:rFonts w:ascii="仿宋_GB2312" w:eastAsia="仿宋_GB2312" w:hAnsi="宋体" w:cs="宋体" w:hint="eastAsia"/>
          <w:color w:val="333333"/>
          <w:kern w:val="0"/>
          <w:sz w:val="32"/>
          <w:szCs w:val="32"/>
        </w:rPr>
        <w:t>珠海盈米基金销售有限公司</w:t>
      </w:r>
      <w:r w:rsidR="00A4656D" w:rsidRPr="00A4656D">
        <w:rPr>
          <w:rFonts w:ascii="仿宋_GB2312" w:eastAsia="仿宋_GB2312" w:hAnsi="宋体" w:cs="宋体" w:hint="eastAsia"/>
          <w:color w:val="333333"/>
          <w:kern w:val="0"/>
          <w:sz w:val="32"/>
          <w:szCs w:val="32"/>
        </w:rPr>
        <w:br/>
      </w:r>
      <w:r w:rsidR="00E35A6D">
        <w:rPr>
          <w:rFonts w:ascii="仿宋_GB2312" w:eastAsia="仿宋_GB2312" w:hAnsi="宋体" w:cs="宋体" w:hint="eastAsia"/>
          <w:color w:val="333333"/>
          <w:kern w:val="0"/>
          <w:sz w:val="32"/>
          <w:szCs w:val="32"/>
        </w:rPr>
        <w:t xml:space="preserve">    </w:t>
      </w:r>
      <w:r w:rsidR="00E35A6D" w:rsidRPr="00E35A6D">
        <w:rPr>
          <w:rFonts w:ascii="仿宋_GB2312" w:eastAsia="仿宋_GB2312" w:hAnsi="宋体" w:cs="宋体" w:hint="eastAsia"/>
          <w:color w:val="333333"/>
          <w:kern w:val="0"/>
          <w:sz w:val="32"/>
          <w:szCs w:val="32"/>
        </w:rPr>
        <w:t>办公地址：广州市海珠区琶洲大道东1号保利国际广场南塔1201-1203室</w:t>
      </w:r>
    </w:p>
    <w:p w:rsidR="00E35A6D" w:rsidRPr="00E35A6D" w:rsidRDefault="00E35A6D" w:rsidP="00E35A6D">
      <w:pPr>
        <w:ind w:firstLineChars="200" w:firstLine="640"/>
        <w:rPr>
          <w:rFonts w:ascii="仿宋_GB2312" w:eastAsia="仿宋_GB2312" w:hAnsi="宋体" w:cs="宋体" w:hint="eastAsia"/>
          <w:color w:val="333333"/>
          <w:kern w:val="0"/>
          <w:sz w:val="32"/>
          <w:szCs w:val="32"/>
        </w:rPr>
      </w:pPr>
      <w:r w:rsidRPr="00E35A6D">
        <w:rPr>
          <w:rFonts w:ascii="仿宋_GB2312" w:eastAsia="仿宋_GB2312" w:hAnsi="宋体" w:cs="宋体" w:hint="eastAsia"/>
          <w:color w:val="333333"/>
          <w:kern w:val="0"/>
          <w:sz w:val="32"/>
          <w:szCs w:val="32"/>
        </w:rPr>
        <w:t>客户服务热线：020-89629066</w:t>
      </w:r>
    </w:p>
    <w:p w:rsidR="00A4656D" w:rsidRPr="00A4656D" w:rsidRDefault="00E35A6D" w:rsidP="00E35A6D">
      <w:pPr>
        <w:ind w:firstLineChars="200" w:firstLine="640"/>
        <w:rPr>
          <w:rFonts w:ascii="仿宋_GB2312" w:eastAsia="仿宋_GB2312" w:hAnsi="宋体" w:cs="宋体" w:hint="eastAsia"/>
          <w:color w:val="333333"/>
          <w:kern w:val="0"/>
          <w:sz w:val="32"/>
          <w:szCs w:val="32"/>
        </w:rPr>
      </w:pPr>
      <w:r w:rsidRPr="00E35A6D">
        <w:rPr>
          <w:rFonts w:ascii="仿宋_GB2312" w:eastAsia="仿宋_GB2312" w:hAnsi="宋体" w:cs="宋体" w:hint="eastAsia"/>
          <w:color w:val="333333"/>
          <w:kern w:val="0"/>
          <w:sz w:val="32"/>
          <w:szCs w:val="32"/>
        </w:rPr>
        <w:t>公司网址：www.yingmi.cn</w:t>
      </w:r>
    </w:p>
    <w:p w:rsidR="00A4656D" w:rsidRPr="00A4656D" w:rsidRDefault="00A4656D" w:rsidP="00A4656D">
      <w:pPr>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w:t>
      </w:r>
      <w:r w:rsidRPr="00A4656D">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w:t>
      </w:r>
      <w:r w:rsidRPr="00A4656D">
        <w:rPr>
          <w:rFonts w:ascii="仿宋_GB2312" w:eastAsia="仿宋_GB2312" w:hAnsi="宋体" w:cs="宋体" w:hint="eastAsia"/>
          <w:color w:val="333333"/>
          <w:kern w:val="0"/>
          <w:sz w:val="32"/>
          <w:szCs w:val="32"/>
        </w:rPr>
        <w:t>浙江浙商证券资产管理有限公司</w:t>
      </w:r>
    </w:p>
    <w:p w:rsidR="00A4656D" w:rsidRPr="00A4656D" w:rsidRDefault="00A4656D" w:rsidP="00A4656D">
      <w:pPr>
        <w:ind w:firstLineChars="200" w:firstLine="640"/>
        <w:rPr>
          <w:rFonts w:ascii="仿宋_GB2312" w:eastAsia="仿宋_GB2312" w:hAnsi="宋体" w:cs="宋体" w:hint="eastAsia"/>
          <w:color w:val="333333"/>
          <w:kern w:val="0"/>
          <w:sz w:val="32"/>
          <w:szCs w:val="32"/>
        </w:rPr>
      </w:pPr>
      <w:r w:rsidRPr="00A4656D">
        <w:rPr>
          <w:rFonts w:ascii="仿宋_GB2312" w:eastAsia="仿宋_GB2312" w:hAnsi="宋体" w:cs="宋体" w:hint="eastAsia"/>
          <w:color w:val="333333"/>
          <w:kern w:val="0"/>
          <w:sz w:val="32"/>
          <w:szCs w:val="32"/>
        </w:rPr>
        <w:t>办公地址：浙江省杭州市江干区五星路201号浙商证券大楼7楼</w:t>
      </w:r>
    </w:p>
    <w:p w:rsidR="00A4656D" w:rsidRPr="00A4656D" w:rsidRDefault="00A4656D" w:rsidP="00A4656D">
      <w:pPr>
        <w:ind w:firstLineChars="200" w:firstLine="640"/>
        <w:rPr>
          <w:rFonts w:ascii="仿宋_GB2312" w:eastAsia="仿宋_GB2312" w:hAnsi="宋体" w:cs="宋体" w:hint="eastAsia"/>
          <w:color w:val="333333"/>
          <w:kern w:val="0"/>
          <w:sz w:val="32"/>
          <w:szCs w:val="32"/>
        </w:rPr>
      </w:pPr>
      <w:r w:rsidRPr="00A4656D">
        <w:rPr>
          <w:rFonts w:ascii="仿宋_GB2312" w:eastAsia="仿宋_GB2312" w:hAnsi="宋体" w:cs="宋体" w:hint="eastAsia"/>
          <w:color w:val="333333"/>
          <w:kern w:val="0"/>
          <w:sz w:val="32"/>
          <w:szCs w:val="32"/>
        </w:rPr>
        <w:t>客户服务热线：95345</w:t>
      </w:r>
    </w:p>
    <w:p w:rsidR="00A4656D" w:rsidRDefault="00A4656D" w:rsidP="00A4656D">
      <w:pPr>
        <w:ind w:firstLineChars="200" w:firstLine="640"/>
        <w:rPr>
          <w:rFonts w:ascii="仿宋_GB2312" w:eastAsia="仿宋_GB2312" w:hAnsi="宋体" w:cs="宋体" w:hint="eastAsia"/>
          <w:color w:val="333333"/>
          <w:kern w:val="0"/>
          <w:sz w:val="32"/>
          <w:szCs w:val="32"/>
        </w:rPr>
      </w:pPr>
      <w:r w:rsidRPr="00A4656D">
        <w:rPr>
          <w:rFonts w:ascii="仿宋_GB2312" w:eastAsia="仿宋_GB2312" w:hAnsi="宋体" w:cs="宋体" w:hint="eastAsia"/>
          <w:color w:val="333333"/>
          <w:kern w:val="0"/>
          <w:sz w:val="32"/>
          <w:szCs w:val="32"/>
        </w:rPr>
        <w:t xml:space="preserve">公司网址： </w:t>
      </w:r>
      <w:hyperlink r:id="rId7" w:history="1">
        <w:r w:rsidRPr="00A4656D">
          <w:rPr>
            <w:rStyle w:val="a9"/>
            <w:rFonts w:ascii="仿宋_GB2312" w:eastAsia="仿宋_GB2312" w:hAnsi="宋体" w:cs="宋体" w:hint="eastAsia"/>
            <w:kern w:val="0"/>
            <w:sz w:val="32"/>
            <w:szCs w:val="32"/>
          </w:rPr>
          <w:t>www.stocke.com.cn</w:t>
        </w:r>
      </w:hyperlink>
    </w:p>
    <w:p w:rsidR="003045E1" w:rsidRPr="00A4656D" w:rsidRDefault="003045E1" w:rsidP="00A4656D">
      <w:pPr>
        <w:ind w:firstLineChars="200" w:firstLine="640"/>
        <w:rPr>
          <w:rFonts w:ascii="仿宋_GB2312" w:eastAsia="仿宋_GB2312" w:hAnsi="宋体" w:cs="宋体" w:hint="eastAsia"/>
          <w:color w:val="333333"/>
          <w:kern w:val="0"/>
          <w:sz w:val="32"/>
          <w:szCs w:val="32"/>
        </w:rPr>
      </w:pPr>
    </w:p>
    <w:p w:rsidR="00087CA6" w:rsidRPr="00B35D15" w:rsidRDefault="00F23AE5" w:rsidP="00A4656D">
      <w:pPr>
        <w:ind w:firstLineChars="200" w:firstLine="640"/>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六、风险提示</w:t>
      </w:r>
      <w:r w:rsidRPr="00B35D15">
        <w:rPr>
          <w:rFonts w:ascii="仿宋_GB2312" w:eastAsia="仿宋_GB2312" w:hAnsi="宋体" w:cs="宋体" w:hint="eastAsia"/>
          <w:color w:val="333333"/>
          <w:kern w:val="0"/>
          <w:sz w:val="32"/>
          <w:szCs w:val="32"/>
        </w:rPr>
        <w:br/>
        <w:t xml:space="preserve">　　本公司承诺以诚实信用、勤勉尽责的原则管理和运用基金资产，但不保证基金一定盈利，也不保证最低收益。投资人投资于本公司旗下基金时应认真阅读各基金的基金合同、招募说明书。敬请投资人注意投资风险。</w:t>
      </w:r>
      <w:r w:rsidRPr="00B35D15">
        <w:rPr>
          <w:rFonts w:ascii="仿宋_GB2312" w:eastAsia="仿宋_GB2312" w:hAnsi="宋体" w:cs="宋体" w:hint="eastAsia"/>
          <w:color w:val="333333"/>
          <w:kern w:val="0"/>
          <w:sz w:val="32"/>
          <w:szCs w:val="32"/>
        </w:rPr>
        <w:br/>
      </w:r>
      <w:r w:rsidR="008B0E6C" w:rsidRPr="00B35D15">
        <w:rPr>
          <w:rFonts w:ascii="仿宋_GB2312" w:eastAsia="仿宋_GB2312" w:hAnsi="宋体" w:cs="宋体" w:hint="eastAsia"/>
          <w:color w:val="333333"/>
          <w:kern w:val="0"/>
          <w:sz w:val="32"/>
          <w:szCs w:val="32"/>
        </w:rPr>
        <w:t xml:space="preserve">    </w:t>
      </w:r>
      <w:r w:rsidR="00087CA6" w:rsidRPr="00B35D15">
        <w:rPr>
          <w:rFonts w:ascii="仿宋_GB2312" w:eastAsia="仿宋_GB2312" w:hAnsi="宋体" w:cs="宋体" w:hint="eastAsia"/>
          <w:color w:val="333333"/>
          <w:kern w:val="0"/>
          <w:sz w:val="32"/>
          <w:szCs w:val="3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F524D" w:rsidRPr="00B35D15" w:rsidRDefault="001F524D" w:rsidP="00B35D15">
      <w:pPr>
        <w:ind w:firstLineChars="200" w:firstLine="640"/>
        <w:rPr>
          <w:rFonts w:ascii="仿宋_GB2312" w:eastAsia="仿宋_GB2312" w:hAnsi="宋体" w:cs="宋体" w:hint="eastAsia"/>
          <w:color w:val="333333"/>
          <w:kern w:val="0"/>
          <w:sz w:val="32"/>
          <w:szCs w:val="32"/>
        </w:rPr>
      </w:pPr>
    </w:p>
    <w:p w:rsidR="003001D0" w:rsidRPr="00B35D15" w:rsidRDefault="00087CA6" w:rsidP="00B35D15">
      <w:pPr>
        <w:ind w:firstLineChars="200" w:firstLine="640"/>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本公告的解释权归浙江浙商证券资产管理有限公司。</w:t>
      </w:r>
    </w:p>
    <w:p w:rsidR="00F23AE5" w:rsidRPr="00B35D15" w:rsidRDefault="00F23AE5" w:rsidP="00B35D15">
      <w:pPr>
        <w:ind w:firstLineChars="200" w:firstLine="640"/>
        <w:rPr>
          <w:rFonts w:ascii="仿宋_GB2312" w:eastAsia="仿宋_GB2312" w:hAnsi="宋体" w:cs="宋体" w:hint="eastAsia"/>
          <w:color w:val="333333"/>
          <w:kern w:val="0"/>
          <w:sz w:val="32"/>
          <w:szCs w:val="32"/>
        </w:rPr>
      </w:pPr>
      <w:bookmarkStart w:id="1" w:name="_GoBack"/>
      <w:bookmarkEnd w:id="1"/>
      <w:r w:rsidRPr="00B35D15">
        <w:rPr>
          <w:rFonts w:ascii="仿宋_GB2312" w:eastAsia="仿宋_GB2312" w:hAnsi="宋体" w:cs="宋体" w:hint="eastAsia"/>
          <w:color w:val="333333"/>
          <w:kern w:val="0"/>
          <w:sz w:val="32"/>
          <w:szCs w:val="32"/>
        </w:rPr>
        <w:t>特此公告。</w:t>
      </w:r>
      <w:r w:rsidRPr="00B35D15">
        <w:rPr>
          <w:rFonts w:ascii="仿宋_GB2312" w:eastAsia="仿宋_GB2312" w:hAnsi="宋体" w:cs="宋体" w:hint="eastAsia"/>
          <w:color w:val="333333"/>
          <w:kern w:val="0"/>
          <w:sz w:val="32"/>
          <w:szCs w:val="32"/>
        </w:rPr>
        <w:br/>
      </w:r>
    </w:p>
    <w:p w:rsidR="0070602C" w:rsidRPr="00B35D15" w:rsidRDefault="0070602C" w:rsidP="001F524D">
      <w:pPr>
        <w:jc w:val="right"/>
        <w:rPr>
          <w:rFonts w:ascii="仿宋_GB2312" w:eastAsia="仿宋_GB2312" w:hAnsi="宋体" w:cs="宋体" w:hint="eastAsia"/>
          <w:color w:val="333333"/>
          <w:kern w:val="0"/>
          <w:sz w:val="32"/>
          <w:szCs w:val="32"/>
        </w:rPr>
      </w:pPr>
      <w:r w:rsidRPr="00B35D15">
        <w:rPr>
          <w:rFonts w:ascii="仿宋_GB2312" w:eastAsia="仿宋_GB2312" w:hAnsi="宋体" w:cs="宋体" w:hint="eastAsia"/>
          <w:color w:val="333333"/>
          <w:kern w:val="0"/>
          <w:sz w:val="32"/>
          <w:szCs w:val="32"/>
        </w:rPr>
        <w:t>浙江浙商证券资产管理有限公司</w:t>
      </w:r>
    </w:p>
    <w:p w:rsidR="007C302A" w:rsidRPr="00B35D15" w:rsidRDefault="00BE1FA5" w:rsidP="00BE1FA5">
      <w:pPr>
        <w:ind w:right="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w:t>
      </w:r>
      <w:r w:rsidR="0029678C">
        <w:rPr>
          <w:rFonts w:ascii="仿宋_GB2312" w:eastAsia="仿宋_GB2312" w:hAnsi="宋体" w:cs="宋体" w:hint="eastAsia"/>
          <w:color w:val="333333"/>
          <w:kern w:val="0"/>
          <w:sz w:val="32"/>
          <w:szCs w:val="32"/>
        </w:rPr>
        <w:t>2020</w:t>
      </w:r>
      <w:r w:rsidR="0070602C" w:rsidRPr="00B35D15">
        <w:rPr>
          <w:rFonts w:ascii="仿宋_GB2312" w:eastAsia="仿宋_GB2312" w:hAnsi="宋体" w:cs="宋体" w:hint="eastAsia"/>
          <w:color w:val="333333"/>
          <w:kern w:val="0"/>
          <w:sz w:val="32"/>
          <w:szCs w:val="32"/>
        </w:rPr>
        <w:t xml:space="preserve"> 年 </w:t>
      </w:r>
      <w:r w:rsidR="00E35A6D">
        <w:rPr>
          <w:rFonts w:ascii="仿宋_GB2312" w:eastAsia="仿宋_GB2312" w:hAnsi="宋体" w:cs="宋体" w:hint="eastAsia"/>
          <w:color w:val="333333"/>
          <w:kern w:val="0"/>
          <w:sz w:val="32"/>
          <w:szCs w:val="32"/>
        </w:rPr>
        <w:t>4</w:t>
      </w:r>
      <w:r w:rsidR="0070602C" w:rsidRPr="00B35D15">
        <w:rPr>
          <w:rFonts w:ascii="仿宋_GB2312" w:eastAsia="仿宋_GB2312" w:hAnsi="宋体" w:cs="宋体" w:hint="eastAsia"/>
          <w:color w:val="333333"/>
          <w:kern w:val="0"/>
          <w:sz w:val="32"/>
          <w:szCs w:val="32"/>
        </w:rPr>
        <w:t xml:space="preserve">月 </w:t>
      </w:r>
      <w:r w:rsidR="00E35A6D">
        <w:rPr>
          <w:rFonts w:ascii="仿宋_GB2312" w:eastAsia="仿宋_GB2312" w:hAnsi="宋体" w:cs="宋体" w:hint="eastAsia"/>
          <w:color w:val="333333"/>
          <w:kern w:val="0"/>
          <w:sz w:val="32"/>
          <w:szCs w:val="32"/>
        </w:rPr>
        <w:t>7</w:t>
      </w:r>
      <w:r w:rsidR="0070602C" w:rsidRPr="00B35D15">
        <w:rPr>
          <w:rFonts w:ascii="仿宋_GB2312" w:eastAsia="仿宋_GB2312" w:hAnsi="宋体" w:cs="宋体" w:hint="eastAsia"/>
          <w:color w:val="333333"/>
          <w:kern w:val="0"/>
          <w:sz w:val="32"/>
          <w:szCs w:val="32"/>
        </w:rPr>
        <w:t>日</w:t>
      </w:r>
    </w:p>
    <w:sectPr w:rsidR="007C302A" w:rsidRPr="00B35D15" w:rsidSect="00B00A9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27" w:rsidRDefault="00B34327" w:rsidP="0070602C">
      <w:r>
        <w:separator/>
      </w:r>
    </w:p>
  </w:endnote>
  <w:endnote w:type="continuationSeparator" w:id="1">
    <w:p w:rsidR="00B34327" w:rsidRDefault="00B34327" w:rsidP="00706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27" w:rsidRDefault="00B34327" w:rsidP="0070602C">
      <w:r>
        <w:separator/>
      </w:r>
    </w:p>
  </w:footnote>
  <w:footnote w:type="continuationSeparator" w:id="1">
    <w:p w:rsidR="00B34327" w:rsidRDefault="00B34327" w:rsidP="00706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B4" w:rsidRDefault="00435FB4" w:rsidP="00435FB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B25"/>
    <w:rsid w:val="00000F37"/>
    <w:rsid w:val="000272C5"/>
    <w:rsid w:val="000317B9"/>
    <w:rsid w:val="00036B79"/>
    <w:rsid w:val="00037305"/>
    <w:rsid w:val="00041E46"/>
    <w:rsid w:val="0004217E"/>
    <w:rsid w:val="000561A9"/>
    <w:rsid w:val="00074720"/>
    <w:rsid w:val="000807BE"/>
    <w:rsid w:val="00081908"/>
    <w:rsid w:val="000864B1"/>
    <w:rsid w:val="00087CA6"/>
    <w:rsid w:val="000D17DB"/>
    <w:rsid w:val="000D4423"/>
    <w:rsid w:val="000D6F81"/>
    <w:rsid w:val="000F5269"/>
    <w:rsid w:val="001143EE"/>
    <w:rsid w:val="001273BF"/>
    <w:rsid w:val="00133FA5"/>
    <w:rsid w:val="00150814"/>
    <w:rsid w:val="001673E4"/>
    <w:rsid w:val="00172297"/>
    <w:rsid w:val="001770A2"/>
    <w:rsid w:val="0018767A"/>
    <w:rsid w:val="001929D4"/>
    <w:rsid w:val="001A74A9"/>
    <w:rsid w:val="001C6353"/>
    <w:rsid w:val="001F524D"/>
    <w:rsid w:val="00202642"/>
    <w:rsid w:val="002357F4"/>
    <w:rsid w:val="00293780"/>
    <w:rsid w:val="0029678C"/>
    <w:rsid w:val="002A5077"/>
    <w:rsid w:val="002A6E19"/>
    <w:rsid w:val="002E6255"/>
    <w:rsid w:val="002F2B9A"/>
    <w:rsid w:val="002F71E0"/>
    <w:rsid w:val="003001D0"/>
    <w:rsid w:val="003045E1"/>
    <w:rsid w:val="00314192"/>
    <w:rsid w:val="003260CA"/>
    <w:rsid w:val="003417E5"/>
    <w:rsid w:val="00355BD2"/>
    <w:rsid w:val="00376659"/>
    <w:rsid w:val="00390B42"/>
    <w:rsid w:val="00391AC1"/>
    <w:rsid w:val="003B0489"/>
    <w:rsid w:val="003B2F66"/>
    <w:rsid w:val="003D07F8"/>
    <w:rsid w:val="003F5614"/>
    <w:rsid w:val="0041442B"/>
    <w:rsid w:val="00416457"/>
    <w:rsid w:val="00417CCD"/>
    <w:rsid w:val="004301DA"/>
    <w:rsid w:val="00435B09"/>
    <w:rsid w:val="00435FB4"/>
    <w:rsid w:val="00476197"/>
    <w:rsid w:val="004772E1"/>
    <w:rsid w:val="00493193"/>
    <w:rsid w:val="0049460C"/>
    <w:rsid w:val="004A79A1"/>
    <w:rsid w:val="004C162C"/>
    <w:rsid w:val="004C4A98"/>
    <w:rsid w:val="004D0204"/>
    <w:rsid w:val="004D08F0"/>
    <w:rsid w:val="004E0832"/>
    <w:rsid w:val="004F0ECA"/>
    <w:rsid w:val="004F235B"/>
    <w:rsid w:val="004F54D2"/>
    <w:rsid w:val="00520449"/>
    <w:rsid w:val="00522A24"/>
    <w:rsid w:val="00525B08"/>
    <w:rsid w:val="00543BA1"/>
    <w:rsid w:val="00544E35"/>
    <w:rsid w:val="00545C2E"/>
    <w:rsid w:val="00547AF7"/>
    <w:rsid w:val="005739E2"/>
    <w:rsid w:val="00574074"/>
    <w:rsid w:val="00575ADF"/>
    <w:rsid w:val="005767ED"/>
    <w:rsid w:val="00586845"/>
    <w:rsid w:val="005A7D25"/>
    <w:rsid w:val="005C0AE9"/>
    <w:rsid w:val="005D2B91"/>
    <w:rsid w:val="005E47B2"/>
    <w:rsid w:val="0062174B"/>
    <w:rsid w:val="006244ED"/>
    <w:rsid w:val="00627299"/>
    <w:rsid w:val="00630AC8"/>
    <w:rsid w:val="0064168C"/>
    <w:rsid w:val="0064483A"/>
    <w:rsid w:val="00644C3C"/>
    <w:rsid w:val="00651C91"/>
    <w:rsid w:val="00652203"/>
    <w:rsid w:val="00653F57"/>
    <w:rsid w:val="0065635F"/>
    <w:rsid w:val="00683B25"/>
    <w:rsid w:val="00685C98"/>
    <w:rsid w:val="00690063"/>
    <w:rsid w:val="006B667C"/>
    <w:rsid w:val="006C3450"/>
    <w:rsid w:val="006D67C2"/>
    <w:rsid w:val="006E1778"/>
    <w:rsid w:val="006E54BE"/>
    <w:rsid w:val="006F3C43"/>
    <w:rsid w:val="007000CB"/>
    <w:rsid w:val="0070602C"/>
    <w:rsid w:val="00733974"/>
    <w:rsid w:val="007820BF"/>
    <w:rsid w:val="007A7D26"/>
    <w:rsid w:val="007C302A"/>
    <w:rsid w:val="007C3178"/>
    <w:rsid w:val="007C615F"/>
    <w:rsid w:val="007F0B86"/>
    <w:rsid w:val="00806212"/>
    <w:rsid w:val="008310FA"/>
    <w:rsid w:val="008502D5"/>
    <w:rsid w:val="00850703"/>
    <w:rsid w:val="008530F1"/>
    <w:rsid w:val="00873737"/>
    <w:rsid w:val="008878DF"/>
    <w:rsid w:val="00896B87"/>
    <w:rsid w:val="008B0E6C"/>
    <w:rsid w:val="008B7DA8"/>
    <w:rsid w:val="008C26A1"/>
    <w:rsid w:val="008E09B6"/>
    <w:rsid w:val="008F23FA"/>
    <w:rsid w:val="008F6689"/>
    <w:rsid w:val="0090521E"/>
    <w:rsid w:val="0091049B"/>
    <w:rsid w:val="00911378"/>
    <w:rsid w:val="00925482"/>
    <w:rsid w:val="00951C9F"/>
    <w:rsid w:val="009559EC"/>
    <w:rsid w:val="009572CD"/>
    <w:rsid w:val="009677D6"/>
    <w:rsid w:val="00997F9E"/>
    <w:rsid w:val="009B5AFF"/>
    <w:rsid w:val="009D04E2"/>
    <w:rsid w:val="009D0984"/>
    <w:rsid w:val="009D4896"/>
    <w:rsid w:val="009E1445"/>
    <w:rsid w:val="009F4B38"/>
    <w:rsid w:val="00A0364D"/>
    <w:rsid w:val="00A1333D"/>
    <w:rsid w:val="00A16B91"/>
    <w:rsid w:val="00A21262"/>
    <w:rsid w:val="00A21282"/>
    <w:rsid w:val="00A244E7"/>
    <w:rsid w:val="00A30B1A"/>
    <w:rsid w:val="00A4656D"/>
    <w:rsid w:val="00A5522C"/>
    <w:rsid w:val="00A6434A"/>
    <w:rsid w:val="00A6645E"/>
    <w:rsid w:val="00A722B7"/>
    <w:rsid w:val="00A766E5"/>
    <w:rsid w:val="00A7796B"/>
    <w:rsid w:val="00A84104"/>
    <w:rsid w:val="00A97B19"/>
    <w:rsid w:val="00AB0C10"/>
    <w:rsid w:val="00AB4963"/>
    <w:rsid w:val="00AC4AF9"/>
    <w:rsid w:val="00AD60C1"/>
    <w:rsid w:val="00B00A94"/>
    <w:rsid w:val="00B0132E"/>
    <w:rsid w:val="00B10521"/>
    <w:rsid w:val="00B11752"/>
    <w:rsid w:val="00B26FBB"/>
    <w:rsid w:val="00B303D3"/>
    <w:rsid w:val="00B31235"/>
    <w:rsid w:val="00B34327"/>
    <w:rsid w:val="00B35D15"/>
    <w:rsid w:val="00B41AD2"/>
    <w:rsid w:val="00B57784"/>
    <w:rsid w:val="00B6058B"/>
    <w:rsid w:val="00B646D5"/>
    <w:rsid w:val="00B82669"/>
    <w:rsid w:val="00B87872"/>
    <w:rsid w:val="00BD017D"/>
    <w:rsid w:val="00BD3D02"/>
    <w:rsid w:val="00BE1FA5"/>
    <w:rsid w:val="00BF34D1"/>
    <w:rsid w:val="00C01B06"/>
    <w:rsid w:val="00C02E7A"/>
    <w:rsid w:val="00C03218"/>
    <w:rsid w:val="00C13B49"/>
    <w:rsid w:val="00C14A6B"/>
    <w:rsid w:val="00C2427B"/>
    <w:rsid w:val="00C402E0"/>
    <w:rsid w:val="00C41864"/>
    <w:rsid w:val="00C468CF"/>
    <w:rsid w:val="00C50FD2"/>
    <w:rsid w:val="00C6761C"/>
    <w:rsid w:val="00C72FEC"/>
    <w:rsid w:val="00CA2CC3"/>
    <w:rsid w:val="00CA57FA"/>
    <w:rsid w:val="00CC0768"/>
    <w:rsid w:val="00CE2C8D"/>
    <w:rsid w:val="00CF15E3"/>
    <w:rsid w:val="00CF757C"/>
    <w:rsid w:val="00D2032C"/>
    <w:rsid w:val="00D25597"/>
    <w:rsid w:val="00D274E0"/>
    <w:rsid w:val="00D31447"/>
    <w:rsid w:val="00D7354E"/>
    <w:rsid w:val="00D77DC7"/>
    <w:rsid w:val="00D83E6A"/>
    <w:rsid w:val="00DA077B"/>
    <w:rsid w:val="00DA6807"/>
    <w:rsid w:val="00DB1536"/>
    <w:rsid w:val="00DC030F"/>
    <w:rsid w:val="00DC18D1"/>
    <w:rsid w:val="00DC6679"/>
    <w:rsid w:val="00DD3235"/>
    <w:rsid w:val="00DE3C78"/>
    <w:rsid w:val="00E03F53"/>
    <w:rsid w:val="00E05425"/>
    <w:rsid w:val="00E06BF4"/>
    <w:rsid w:val="00E11A27"/>
    <w:rsid w:val="00E205EF"/>
    <w:rsid w:val="00E35A6D"/>
    <w:rsid w:val="00E56AF6"/>
    <w:rsid w:val="00E602B3"/>
    <w:rsid w:val="00E87654"/>
    <w:rsid w:val="00E96389"/>
    <w:rsid w:val="00EA54AA"/>
    <w:rsid w:val="00EA6C2C"/>
    <w:rsid w:val="00EB11DD"/>
    <w:rsid w:val="00EC2D06"/>
    <w:rsid w:val="00ED155F"/>
    <w:rsid w:val="00ED6584"/>
    <w:rsid w:val="00F0249D"/>
    <w:rsid w:val="00F06260"/>
    <w:rsid w:val="00F23AE5"/>
    <w:rsid w:val="00F332F4"/>
    <w:rsid w:val="00F43ED7"/>
    <w:rsid w:val="00F467DF"/>
    <w:rsid w:val="00F46B72"/>
    <w:rsid w:val="00F540DE"/>
    <w:rsid w:val="00F56A40"/>
    <w:rsid w:val="00F56D37"/>
    <w:rsid w:val="00F6748E"/>
    <w:rsid w:val="00F86126"/>
    <w:rsid w:val="00F922DC"/>
    <w:rsid w:val="00FA043B"/>
    <w:rsid w:val="00FB2D99"/>
    <w:rsid w:val="00FC2F8A"/>
    <w:rsid w:val="00FF2399"/>
    <w:rsid w:val="00FF711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2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602C"/>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0602C"/>
    <w:rPr>
      <w:sz w:val="18"/>
      <w:szCs w:val="18"/>
    </w:rPr>
  </w:style>
  <w:style w:type="paragraph" w:styleId="a4">
    <w:name w:val="footer"/>
    <w:basedOn w:val="a"/>
    <w:link w:val="Char0"/>
    <w:uiPriority w:val="99"/>
    <w:unhideWhenUsed/>
    <w:rsid w:val="0070602C"/>
    <w:pPr>
      <w:tabs>
        <w:tab w:val="center" w:pos="4153"/>
        <w:tab w:val="right" w:pos="8306"/>
      </w:tabs>
      <w:snapToGrid w:val="0"/>
      <w:jc w:val="left"/>
    </w:pPr>
    <w:rPr>
      <w:kern w:val="0"/>
      <w:sz w:val="18"/>
      <w:szCs w:val="18"/>
      <w:lang/>
    </w:rPr>
  </w:style>
  <w:style w:type="character" w:customStyle="1" w:styleId="Char0">
    <w:name w:val="页脚 Char"/>
    <w:link w:val="a4"/>
    <w:uiPriority w:val="99"/>
    <w:rsid w:val="0070602C"/>
    <w:rPr>
      <w:sz w:val="18"/>
      <w:szCs w:val="18"/>
    </w:rPr>
  </w:style>
  <w:style w:type="paragraph" w:styleId="a5">
    <w:name w:val="Balloon Text"/>
    <w:basedOn w:val="a"/>
    <w:link w:val="Char1"/>
    <w:uiPriority w:val="99"/>
    <w:semiHidden/>
    <w:unhideWhenUsed/>
    <w:rsid w:val="00D7354E"/>
    <w:rPr>
      <w:kern w:val="0"/>
      <w:sz w:val="18"/>
      <w:szCs w:val="18"/>
      <w:lang/>
    </w:rPr>
  </w:style>
  <w:style w:type="character" w:customStyle="1" w:styleId="Char1">
    <w:name w:val="批注框文本 Char"/>
    <w:link w:val="a5"/>
    <w:uiPriority w:val="99"/>
    <w:semiHidden/>
    <w:rsid w:val="00D7354E"/>
    <w:rPr>
      <w:sz w:val="18"/>
      <w:szCs w:val="18"/>
    </w:rPr>
  </w:style>
  <w:style w:type="character" w:styleId="a6">
    <w:name w:val="annotation reference"/>
    <w:basedOn w:val="a0"/>
    <w:uiPriority w:val="99"/>
    <w:semiHidden/>
    <w:unhideWhenUsed/>
    <w:rsid w:val="000D17DB"/>
    <w:rPr>
      <w:sz w:val="21"/>
      <w:szCs w:val="21"/>
    </w:rPr>
  </w:style>
  <w:style w:type="paragraph" w:styleId="a7">
    <w:name w:val="annotation text"/>
    <w:basedOn w:val="a"/>
    <w:link w:val="Char2"/>
    <w:uiPriority w:val="99"/>
    <w:semiHidden/>
    <w:unhideWhenUsed/>
    <w:rsid w:val="000D17DB"/>
    <w:pPr>
      <w:jc w:val="left"/>
    </w:pPr>
  </w:style>
  <w:style w:type="character" w:customStyle="1" w:styleId="Char2">
    <w:name w:val="批注文字 Char"/>
    <w:basedOn w:val="a0"/>
    <w:link w:val="a7"/>
    <w:uiPriority w:val="99"/>
    <w:semiHidden/>
    <w:rsid w:val="000D17DB"/>
    <w:rPr>
      <w:kern w:val="2"/>
      <w:sz w:val="21"/>
      <w:szCs w:val="22"/>
    </w:rPr>
  </w:style>
  <w:style w:type="paragraph" w:styleId="a8">
    <w:name w:val="annotation subject"/>
    <w:basedOn w:val="a7"/>
    <w:next w:val="a7"/>
    <w:link w:val="Char3"/>
    <w:uiPriority w:val="99"/>
    <w:semiHidden/>
    <w:unhideWhenUsed/>
    <w:rsid w:val="000D17DB"/>
    <w:rPr>
      <w:b/>
      <w:bCs/>
    </w:rPr>
  </w:style>
  <w:style w:type="character" w:customStyle="1" w:styleId="Char3">
    <w:name w:val="批注主题 Char"/>
    <w:basedOn w:val="Char2"/>
    <w:link w:val="a8"/>
    <w:uiPriority w:val="99"/>
    <w:semiHidden/>
    <w:rsid w:val="000D17DB"/>
    <w:rPr>
      <w:b/>
      <w:bCs/>
    </w:rPr>
  </w:style>
  <w:style w:type="character" w:styleId="a9">
    <w:name w:val="Hyperlink"/>
    <w:basedOn w:val="a0"/>
    <w:uiPriority w:val="99"/>
    <w:unhideWhenUsed/>
    <w:rsid w:val="00A4656D"/>
    <w:rPr>
      <w:color w:val="0000FF"/>
      <w:u w:val="single"/>
    </w:rPr>
  </w:style>
  <w:style w:type="table" w:styleId="aa">
    <w:name w:val="Table Grid"/>
    <w:basedOn w:val="a1"/>
    <w:uiPriority w:val="59"/>
    <w:rsid w:val="00AD6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Revision"/>
    <w:hidden/>
    <w:uiPriority w:val="99"/>
    <w:semiHidden/>
    <w:rsid w:val="00B57784"/>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cke.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4C87-0E12-4C4B-8A3C-BBACF2AB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1201</Characters>
  <Application>Microsoft Office Word</Application>
  <DocSecurity>4</DocSecurity>
  <Lines>10</Lines>
  <Paragraphs>2</Paragraphs>
  <ScaleCrop>false</ScaleCrop>
  <Company>www.dadighost.com</Company>
  <LinksUpToDate>false</LinksUpToDate>
  <CharactersWithSpaces>1409</CharactersWithSpaces>
  <SharedDoc>false</SharedDoc>
  <HLinks>
    <vt:vector size="6" baseType="variant">
      <vt:variant>
        <vt:i4>6094927</vt:i4>
      </vt:variant>
      <vt:variant>
        <vt:i4>0</vt:i4>
      </vt:variant>
      <vt:variant>
        <vt:i4>0</vt:i4>
      </vt:variant>
      <vt:variant>
        <vt:i4>5</vt:i4>
      </vt:variant>
      <vt:variant>
        <vt:lpwstr>http://www.stocke.com.cn/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曹玉婷</dc:creator>
  <cp:keywords/>
  <cp:lastModifiedBy>JonMMx 2000</cp:lastModifiedBy>
  <cp:revision>2</cp:revision>
  <cp:lastPrinted>2018-10-26T05:38:00Z</cp:lastPrinted>
  <dcterms:created xsi:type="dcterms:W3CDTF">2020-04-03T16:00:00Z</dcterms:created>
  <dcterms:modified xsi:type="dcterms:W3CDTF">2020-04-03T16:00:00Z</dcterms:modified>
</cp:coreProperties>
</file>