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C9" w:rsidRPr="007B3988" w:rsidRDefault="004C6BFA" w:rsidP="00F10994">
      <w:pPr>
        <w:tabs>
          <w:tab w:val="right" w:pos="9525"/>
        </w:tabs>
        <w:spacing w:after="240"/>
        <w:jc w:val="left"/>
        <w:rPr>
          <w:rFonts w:eastAsiaTheme="minorEastAsia" w:cs="Arial"/>
          <w:sz w:val="48"/>
          <w:szCs w:val="48"/>
        </w:rPr>
      </w:pPr>
      <w:r w:rsidRPr="007B3988">
        <w:rPr>
          <w:rFonts w:eastAsia="PMingLiU" w:cs="Arial"/>
          <w:noProof/>
          <w:sz w:val="48"/>
          <w:szCs w:val="48"/>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90170</wp:posOffset>
            </wp:positionV>
            <wp:extent cx="1466850" cy="367030"/>
            <wp:effectExtent l="0" t="0" r="0" b="0"/>
            <wp:wrapNone/>
            <wp:docPr id="4" name="圖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era_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367030"/>
                    </a:xfrm>
                    <a:prstGeom prst="rect">
                      <a:avLst/>
                    </a:prstGeom>
                    <a:noFill/>
                  </pic:spPr>
                </pic:pic>
              </a:graphicData>
            </a:graphic>
          </wp:anchor>
        </w:drawing>
      </w:r>
      <w:r w:rsidR="00E21B93" w:rsidRPr="007B3988">
        <w:rPr>
          <w:rFonts w:eastAsia="PMingLiU" w:cs="Arial"/>
          <w:sz w:val="48"/>
          <w:szCs w:val="48"/>
        </w:rPr>
        <w:tab/>
      </w:r>
    </w:p>
    <w:p w:rsidR="007B43C9" w:rsidRPr="007B3988" w:rsidRDefault="007B43C9" w:rsidP="00100787">
      <w:pPr>
        <w:adjustRightInd w:val="0"/>
        <w:snapToGrid w:val="0"/>
        <w:spacing w:line="276" w:lineRule="auto"/>
        <w:jc w:val="right"/>
        <w:outlineLvl w:val="0"/>
        <w:rPr>
          <w:b/>
          <w:noProof/>
          <w:sz w:val="28"/>
          <w:szCs w:val="28"/>
        </w:rPr>
      </w:pPr>
      <w:r w:rsidRPr="007B3988">
        <w:rPr>
          <w:b/>
          <w:noProof/>
          <w:sz w:val="28"/>
          <w:szCs w:val="28"/>
        </w:rPr>
        <w:t>(</w:t>
      </w:r>
      <w:r w:rsidRPr="007B3988">
        <w:rPr>
          <w:b/>
          <w:noProof/>
          <w:sz w:val="28"/>
          <w:szCs w:val="28"/>
        </w:rPr>
        <w:t>仅供内地销售使用</w:t>
      </w:r>
      <w:r w:rsidRPr="007B3988">
        <w:rPr>
          <w:b/>
          <w:noProof/>
          <w:sz w:val="28"/>
          <w:szCs w:val="28"/>
        </w:rPr>
        <w:t>)</w:t>
      </w:r>
    </w:p>
    <w:p w:rsidR="00216EF3" w:rsidRPr="007B3988" w:rsidRDefault="00E21B93" w:rsidP="00100787">
      <w:pPr>
        <w:tabs>
          <w:tab w:val="right" w:pos="9525"/>
        </w:tabs>
        <w:spacing w:after="240"/>
        <w:jc w:val="right"/>
        <w:rPr>
          <w:rFonts w:eastAsia="PMingLiU" w:cs="Arial"/>
          <w:b/>
          <w:bCs/>
          <w:sz w:val="28"/>
          <w:szCs w:val="28"/>
        </w:rPr>
      </w:pPr>
      <w:r w:rsidRPr="007B3988">
        <w:rPr>
          <w:rFonts w:cs="Arial" w:hint="eastAsia"/>
          <w:sz w:val="48"/>
          <w:szCs w:val="48"/>
        </w:rPr>
        <w:t>产品资料概要</w:t>
      </w:r>
    </w:p>
    <w:p w:rsidR="008B4826" w:rsidRPr="007B3988" w:rsidRDefault="00E21B93" w:rsidP="004B56F8">
      <w:pPr>
        <w:tabs>
          <w:tab w:val="right" w:pos="9525"/>
        </w:tabs>
        <w:jc w:val="right"/>
        <w:rPr>
          <w:rFonts w:eastAsia="PMingLiU" w:cs="Arial"/>
          <w:b/>
          <w:sz w:val="28"/>
          <w:szCs w:val="32"/>
          <w:lang w:val="en-US"/>
        </w:rPr>
      </w:pPr>
      <w:r w:rsidRPr="007B3988">
        <w:rPr>
          <w:rFonts w:eastAsia="PMingLiU" w:cs="Arial"/>
          <w:b/>
          <w:bCs/>
          <w:sz w:val="28"/>
          <w:szCs w:val="28"/>
        </w:rPr>
        <w:tab/>
      </w:r>
      <w:r w:rsidRPr="007B3988">
        <w:rPr>
          <w:rFonts w:cs="Arial" w:hint="eastAsia"/>
          <w:b/>
          <w:sz w:val="28"/>
          <w:szCs w:val="32"/>
        </w:rPr>
        <w:t>博时投资基金</w:t>
      </w:r>
    </w:p>
    <w:p w:rsidR="00216EF3" w:rsidRPr="007B3988" w:rsidRDefault="00E21B93" w:rsidP="004B56F8">
      <w:pPr>
        <w:tabs>
          <w:tab w:val="right" w:pos="9525"/>
        </w:tabs>
        <w:jc w:val="right"/>
        <w:rPr>
          <w:rFonts w:eastAsia="PMingLiU" w:cs="Arial"/>
          <w:sz w:val="32"/>
          <w:szCs w:val="32"/>
          <w:lang w:val="en-US"/>
        </w:rPr>
      </w:pPr>
      <w:r w:rsidRPr="007B3988">
        <w:rPr>
          <w:rFonts w:cs="Arial" w:hint="eastAsia"/>
          <w:sz w:val="32"/>
          <w:szCs w:val="32"/>
        </w:rPr>
        <w:t>博时</w:t>
      </w:r>
      <w:r w:rsidRPr="007B3988">
        <w:rPr>
          <w:rFonts w:cs="Arial"/>
          <w:sz w:val="32"/>
          <w:szCs w:val="32"/>
          <w:lang w:val="en-US"/>
        </w:rPr>
        <w:t>-</w:t>
      </w:r>
      <w:r w:rsidR="00D9370B" w:rsidRPr="007B3988">
        <w:rPr>
          <w:rFonts w:cs="Arial" w:hint="eastAsia"/>
          <w:sz w:val="32"/>
          <w:szCs w:val="32"/>
          <w:lang w:val="en-US"/>
        </w:rPr>
        <w:t>安本</w:t>
      </w:r>
      <w:r w:rsidRPr="007B3988">
        <w:rPr>
          <w:rFonts w:cs="Arial" w:hint="eastAsia"/>
          <w:sz w:val="32"/>
          <w:szCs w:val="32"/>
        </w:rPr>
        <w:t>标准精选新兴市场债券基金</w:t>
      </w:r>
    </w:p>
    <w:p w:rsidR="008B4826" w:rsidRPr="007B3988" w:rsidRDefault="008B4826" w:rsidP="004B56F8">
      <w:pPr>
        <w:tabs>
          <w:tab w:val="right" w:pos="9525"/>
        </w:tabs>
        <w:jc w:val="right"/>
        <w:rPr>
          <w:rFonts w:eastAsia="PMingLiU" w:cs="Arial"/>
          <w:sz w:val="32"/>
          <w:szCs w:val="32"/>
          <w:lang w:val="en-US"/>
        </w:rPr>
      </w:pPr>
    </w:p>
    <w:p w:rsidR="00216EF3" w:rsidRPr="007B3988" w:rsidRDefault="00E21B93" w:rsidP="00F23AA0">
      <w:pPr>
        <w:tabs>
          <w:tab w:val="right" w:pos="9525"/>
        </w:tabs>
        <w:jc w:val="left"/>
        <w:rPr>
          <w:rFonts w:eastAsia="PMingLiU" w:cs="Arial"/>
          <w:sz w:val="28"/>
          <w:szCs w:val="28"/>
        </w:rPr>
      </w:pPr>
      <w:r w:rsidRPr="007B3988">
        <w:rPr>
          <w:rFonts w:eastAsia="PMingLiU" w:cs="Arial"/>
          <w:sz w:val="28"/>
          <w:szCs w:val="28"/>
        </w:rPr>
        <w:tab/>
      </w:r>
      <w:r w:rsidR="006E1076">
        <w:rPr>
          <w:rFonts w:eastAsiaTheme="minorEastAsia" w:cs="Arial" w:hint="eastAsia"/>
          <w:sz w:val="28"/>
          <w:szCs w:val="28"/>
        </w:rPr>
        <w:t>2020</w:t>
      </w:r>
      <w:r w:rsidRPr="007B3988">
        <w:rPr>
          <w:rFonts w:cs="Arial" w:hint="eastAsia"/>
          <w:sz w:val="28"/>
          <w:szCs w:val="28"/>
        </w:rPr>
        <w:t>年</w:t>
      </w:r>
      <w:r w:rsidR="00A1477B">
        <w:rPr>
          <w:rFonts w:cs="Arial" w:hint="eastAsia"/>
          <w:sz w:val="28"/>
          <w:szCs w:val="28"/>
          <w:lang w:val="en-US"/>
        </w:rPr>
        <w:t>4</w:t>
      </w:r>
      <w:r w:rsidRPr="007B3988">
        <w:rPr>
          <w:rFonts w:cs="Calibri" w:hint="eastAsia"/>
          <w:sz w:val="28"/>
          <w:szCs w:val="28"/>
        </w:rPr>
        <w:t>月</w:t>
      </w:r>
    </w:p>
    <w:p w:rsidR="00216EF3" w:rsidRPr="007B3988" w:rsidRDefault="00216EF3" w:rsidP="00216EF3">
      <w:pPr>
        <w:tabs>
          <w:tab w:val="right" w:pos="9525"/>
        </w:tabs>
        <w:jc w:val="left"/>
        <w:rPr>
          <w:rFonts w:eastAsia="PMingLiU" w:cs="Arial"/>
          <w:sz w:val="28"/>
          <w:szCs w:val="28"/>
        </w:rPr>
      </w:pPr>
    </w:p>
    <w:p w:rsidR="00216EF3" w:rsidRPr="007B3988" w:rsidRDefault="00E21B93" w:rsidP="00216EF3">
      <w:pPr>
        <w:tabs>
          <w:tab w:val="right" w:pos="9525"/>
        </w:tabs>
        <w:jc w:val="left"/>
        <w:rPr>
          <w:rFonts w:eastAsia="PMingLiU" w:cs="Arial"/>
          <w:b/>
          <w:bCs/>
          <w:sz w:val="20"/>
          <w:szCs w:val="20"/>
        </w:rPr>
      </w:pPr>
      <w:r w:rsidRPr="007B3988">
        <w:rPr>
          <w:rFonts w:cs="Arial" w:hint="eastAsia"/>
          <w:sz w:val="20"/>
          <w:szCs w:val="20"/>
        </w:rPr>
        <w:t>发行人：博时基金</w:t>
      </w:r>
      <w:r w:rsidR="007172F1" w:rsidRPr="007B3988">
        <w:rPr>
          <w:rFonts w:cs="Arial" w:hint="eastAsia"/>
          <w:sz w:val="20"/>
          <w:szCs w:val="20"/>
        </w:rPr>
        <w:t>(</w:t>
      </w:r>
      <w:r w:rsidRPr="007B3988">
        <w:rPr>
          <w:rFonts w:cs="Arial" w:hint="eastAsia"/>
          <w:sz w:val="20"/>
          <w:szCs w:val="20"/>
        </w:rPr>
        <w:t>国际</w:t>
      </w:r>
      <w:r w:rsidR="007172F1" w:rsidRPr="007B3988">
        <w:rPr>
          <w:rFonts w:cs="Arial"/>
          <w:sz w:val="20"/>
          <w:szCs w:val="20"/>
        </w:rPr>
        <w:t>)</w:t>
      </w:r>
      <w:r w:rsidRPr="007B3988">
        <w:rPr>
          <w:rFonts w:cs="Arial" w:hint="eastAsia"/>
          <w:sz w:val="20"/>
          <w:szCs w:val="20"/>
        </w:rPr>
        <w:t>有限公司</w:t>
      </w:r>
      <w:r w:rsidR="00216EF3" w:rsidRPr="007B3988">
        <w:rPr>
          <w:rFonts w:eastAsia="PMingLiU" w:cs="Arial"/>
          <w:sz w:val="20"/>
          <w:szCs w:val="20"/>
        </w:rPr>
        <w:t xml:space="preserve"> </w:t>
      </w:r>
    </w:p>
    <w:p w:rsidR="00216EF3" w:rsidRPr="007B3988" w:rsidRDefault="00216EF3" w:rsidP="00216EF3">
      <w:pPr>
        <w:rPr>
          <w:rFonts w:eastAsia="PMingLiU" w:cs="Arial"/>
          <w:sz w:val="20"/>
          <w:szCs w:val="20"/>
        </w:rPr>
      </w:pPr>
    </w:p>
    <w:tbl>
      <w:tblPr>
        <w:tblW w:w="9829" w:type="dxa"/>
        <w:tblLayout w:type="fixed"/>
        <w:tblLook w:val="01E0"/>
      </w:tblPr>
      <w:tblGrid>
        <w:gridCol w:w="3227"/>
        <w:gridCol w:w="6602"/>
      </w:tblGrid>
      <w:tr w:rsidR="00216EF3" w:rsidRPr="007B3988" w:rsidTr="002A490D">
        <w:trPr>
          <w:trHeight w:val="1754"/>
        </w:trPr>
        <w:tc>
          <w:tcPr>
            <w:tcW w:w="9829" w:type="dxa"/>
            <w:gridSpan w:val="2"/>
            <w:tcBorders>
              <w:top w:val="single" w:sz="4" w:space="0" w:color="auto"/>
              <w:left w:val="single" w:sz="4" w:space="0" w:color="auto"/>
              <w:bottom w:val="single" w:sz="18" w:space="0" w:color="808080"/>
              <w:right w:val="single" w:sz="4" w:space="0" w:color="auto"/>
            </w:tcBorders>
          </w:tcPr>
          <w:p w:rsidR="0070317A" w:rsidRPr="007B3988" w:rsidRDefault="007B43C9" w:rsidP="00D86511">
            <w:pPr>
              <w:pStyle w:val="ssPara1"/>
              <w:numPr>
                <w:ilvl w:val="0"/>
                <w:numId w:val="11"/>
              </w:numPr>
              <w:spacing w:before="120"/>
              <w:jc w:val="left"/>
              <w:rPr>
                <w:rStyle w:val="CharacterStyle1"/>
                <w:rFonts w:asciiTheme="minorEastAsia" w:eastAsiaTheme="minorEastAsia" w:hAnsiTheme="minorEastAsia" w:cs="Arial"/>
                <w:b/>
                <w:bCs/>
                <w:i/>
                <w:iCs/>
                <w:szCs w:val="20"/>
              </w:rPr>
            </w:pPr>
            <w:r w:rsidRPr="007B3988">
              <w:rPr>
                <w:rFonts w:asciiTheme="minorEastAsia" w:eastAsiaTheme="minorEastAsia" w:hAnsiTheme="minorEastAsia" w:cs="Arial" w:hint="eastAsia"/>
                <w:b/>
                <w:bCs/>
                <w:i/>
                <w:iCs/>
                <w:sz w:val="20"/>
                <w:szCs w:val="20"/>
              </w:rPr>
              <w:t>博时</w:t>
            </w:r>
            <w:r w:rsidRPr="007B3988">
              <w:rPr>
                <w:rFonts w:asciiTheme="minorEastAsia" w:eastAsiaTheme="minorEastAsia" w:hAnsiTheme="minorEastAsia" w:cs="Arial"/>
                <w:b/>
                <w:bCs/>
                <w:i/>
                <w:iCs/>
                <w:sz w:val="20"/>
                <w:szCs w:val="20"/>
              </w:rPr>
              <w:t>-</w:t>
            </w:r>
            <w:r w:rsidR="00D9370B" w:rsidRPr="007B3988">
              <w:rPr>
                <w:rFonts w:asciiTheme="minorEastAsia" w:eastAsiaTheme="minorEastAsia" w:hAnsiTheme="minorEastAsia" w:cs="Arial" w:hint="eastAsia"/>
                <w:b/>
                <w:bCs/>
                <w:i/>
                <w:iCs/>
                <w:sz w:val="20"/>
                <w:szCs w:val="20"/>
              </w:rPr>
              <w:t>安本</w:t>
            </w:r>
            <w:r w:rsidRPr="007B3988">
              <w:rPr>
                <w:rFonts w:asciiTheme="minorEastAsia" w:eastAsiaTheme="minorEastAsia" w:hAnsiTheme="minorEastAsia" w:cs="Arial" w:hint="eastAsia"/>
                <w:b/>
                <w:bCs/>
                <w:i/>
                <w:iCs/>
                <w:sz w:val="20"/>
                <w:szCs w:val="20"/>
              </w:rPr>
              <w:t>标准精选新兴市场债券基金</w:t>
            </w:r>
            <w:r w:rsidRPr="007B3988">
              <w:rPr>
                <w:rStyle w:val="CharacterStyle1"/>
                <w:rFonts w:eastAsiaTheme="minorEastAsia" w:cs="Arial"/>
                <w:b/>
                <w:i/>
                <w:szCs w:val="20"/>
              </w:rPr>
              <w:t>(</w:t>
            </w:r>
            <w:r w:rsidRPr="007B3988">
              <w:rPr>
                <w:rStyle w:val="CharacterStyle1"/>
                <w:rFonts w:asciiTheme="minorEastAsia" w:eastAsiaTheme="minorEastAsia" w:hAnsiTheme="minorEastAsia"/>
                <w:b/>
                <w:i/>
                <w:szCs w:val="20"/>
              </w:rPr>
              <w:t>“本基金”</w:t>
            </w:r>
            <w:r w:rsidRPr="007B3988">
              <w:rPr>
                <w:rStyle w:val="CharacterStyle1"/>
                <w:rFonts w:eastAsiaTheme="minorEastAsia" w:cs="Arial"/>
                <w:b/>
                <w:i/>
                <w:szCs w:val="20"/>
              </w:rPr>
              <w:t>)</w:t>
            </w:r>
            <w:r w:rsidRPr="007B3988">
              <w:rPr>
                <w:rStyle w:val="CharacterStyle1"/>
                <w:rFonts w:asciiTheme="minorEastAsia" w:eastAsiaTheme="minorEastAsia" w:hAnsiTheme="minorEastAsia" w:hint="eastAsia"/>
                <w:b/>
                <w:i/>
                <w:szCs w:val="20"/>
              </w:rPr>
              <w:t>是香港互认基金。</w:t>
            </w:r>
          </w:p>
          <w:p w:rsidR="0070317A" w:rsidRPr="007B3988" w:rsidRDefault="0070317A" w:rsidP="0070317A">
            <w:pPr>
              <w:pStyle w:val="ssPara1"/>
              <w:numPr>
                <w:ilvl w:val="0"/>
                <w:numId w:val="11"/>
              </w:numPr>
              <w:spacing w:before="120"/>
              <w:jc w:val="left"/>
              <w:rPr>
                <w:rFonts w:asciiTheme="minorEastAsia" w:eastAsiaTheme="minorEastAsia" w:hAnsiTheme="minorEastAsia" w:cs="Arial"/>
                <w:b/>
                <w:bCs/>
                <w:i/>
                <w:iCs/>
                <w:sz w:val="20"/>
                <w:szCs w:val="20"/>
              </w:rPr>
            </w:pPr>
            <w:r w:rsidRPr="007B3988">
              <w:rPr>
                <w:rFonts w:asciiTheme="minorEastAsia" w:eastAsiaTheme="minorEastAsia" w:hAnsiTheme="minorEastAsia" w:cs="Arial" w:hint="eastAsia"/>
                <w:b/>
                <w:bCs/>
                <w:i/>
                <w:iCs/>
                <w:sz w:val="20"/>
                <w:szCs w:val="20"/>
              </w:rPr>
              <w:t>本概要仅供中国内地发售使用</w:t>
            </w:r>
            <w:r w:rsidR="006E3DB3" w:rsidRPr="007B3988">
              <w:rPr>
                <w:rFonts w:asciiTheme="minorEastAsia" w:eastAsiaTheme="minorEastAsia" w:hAnsiTheme="minorEastAsia" w:cs="Arial" w:hint="eastAsia"/>
                <w:b/>
                <w:bCs/>
                <w:i/>
                <w:iCs/>
                <w:sz w:val="20"/>
                <w:szCs w:val="20"/>
              </w:rPr>
              <w:t>。</w:t>
            </w:r>
          </w:p>
          <w:p w:rsidR="00D86511" w:rsidRPr="007B3988" w:rsidRDefault="00E21B93" w:rsidP="00D86511">
            <w:pPr>
              <w:pStyle w:val="ssPara1"/>
              <w:numPr>
                <w:ilvl w:val="0"/>
                <w:numId w:val="11"/>
              </w:numPr>
              <w:spacing w:before="120"/>
              <w:jc w:val="left"/>
              <w:rPr>
                <w:rFonts w:asciiTheme="minorEastAsia" w:eastAsiaTheme="minorEastAsia" w:hAnsiTheme="minorEastAsia" w:cs="Arial"/>
                <w:b/>
                <w:bCs/>
                <w:i/>
                <w:iCs/>
                <w:sz w:val="20"/>
                <w:szCs w:val="20"/>
              </w:rPr>
            </w:pPr>
            <w:r w:rsidRPr="007B3988">
              <w:rPr>
                <w:rFonts w:asciiTheme="minorEastAsia" w:eastAsiaTheme="minorEastAsia" w:hAnsiTheme="minorEastAsia" w:cs="Arial" w:hint="eastAsia"/>
                <w:b/>
                <w:bCs/>
                <w:i/>
                <w:iCs/>
                <w:sz w:val="20"/>
                <w:szCs w:val="20"/>
              </w:rPr>
              <w:t>本概要</w:t>
            </w:r>
            <w:r w:rsidR="009F4A40" w:rsidRPr="007B3988">
              <w:rPr>
                <w:rFonts w:asciiTheme="minorEastAsia" w:eastAsiaTheme="minorEastAsia" w:hAnsiTheme="minorEastAsia" w:cs="Arial" w:hint="eastAsia"/>
                <w:b/>
                <w:bCs/>
                <w:i/>
                <w:iCs/>
                <w:sz w:val="20"/>
                <w:szCs w:val="20"/>
              </w:rPr>
              <w:t>向</w:t>
            </w:r>
            <w:r w:rsidR="006D383F" w:rsidRPr="007B3988">
              <w:rPr>
                <w:rFonts w:asciiTheme="minorEastAsia" w:eastAsiaTheme="minorEastAsia" w:hAnsiTheme="minorEastAsia" w:cs="Arial" w:hint="eastAsia"/>
                <w:b/>
                <w:bCs/>
                <w:i/>
                <w:iCs/>
                <w:sz w:val="20"/>
                <w:szCs w:val="20"/>
              </w:rPr>
              <w:t>投资者</w:t>
            </w:r>
            <w:r w:rsidRPr="007B3988">
              <w:rPr>
                <w:rFonts w:asciiTheme="minorEastAsia" w:eastAsiaTheme="minorEastAsia" w:hAnsiTheme="minorEastAsia" w:cs="Arial" w:hint="eastAsia"/>
                <w:b/>
                <w:bCs/>
                <w:i/>
                <w:iCs/>
                <w:sz w:val="20"/>
                <w:szCs w:val="20"/>
              </w:rPr>
              <w:t>提供有关本</w:t>
            </w:r>
            <w:r w:rsidR="00333C06" w:rsidRPr="007B3988">
              <w:rPr>
                <w:rFonts w:asciiTheme="minorEastAsia" w:eastAsiaTheme="minorEastAsia" w:hAnsiTheme="minorEastAsia" w:cs="Arial" w:hint="eastAsia"/>
                <w:b/>
                <w:bCs/>
                <w:i/>
                <w:iCs/>
                <w:sz w:val="20"/>
                <w:szCs w:val="20"/>
              </w:rPr>
              <w:t>基金</w:t>
            </w:r>
            <w:r w:rsidRPr="007B3988">
              <w:rPr>
                <w:rFonts w:asciiTheme="minorEastAsia" w:eastAsiaTheme="minorEastAsia" w:hAnsiTheme="minorEastAsia" w:cs="Arial" w:hint="eastAsia"/>
                <w:b/>
                <w:bCs/>
                <w:i/>
                <w:iCs/>
                <w:sz w:val="20"/>
                <w:szCs w:val="20"/>
              </w:rPr>
              <w:t>的重要资料。</w:t>
            </w:r>
          </w:p>
          <w:p w:rsidR="00D86511" w:rsidRPr="007B3988" w:rsidRDefault="00E21B93" w:rsidP="007B43C9">
            <w:pPr>
              <w:pStyle w:val="ssPara1"/>
              <w:numPr>
                <w:ilvl w:val="0"/>
                <w:numId w:val="11"/>
              </w:numPr>
              <w:spacing w:before="120"/>
              <w:jc w:val="left"/>
              <w:rPr>
                <w:rFonts w:asciiTheme="minorEastAsia" w:eastAsiaTheme="minorEastAsia" w:hAnsiTheme="minorEastAsia" w:cs="Arial"/>
                <w:b/>
                <w:bCs/>
                <w:i/>
                <w:iCs/>
                <w:sz w:val="20"/>
                <w:szCs w:val="20"/>
              </w:rPr>
            </w:pPr>
            <w:r w:rsidRPr="007B3988">
              <w:rPr>
                <w:rFonts w:asciiTheme="minorEastAsia" w:eastAsiaTheme="minorEastAsia" w:hAnsiTheme="minorEastAsia" w:cs="Arial" w:hint="eastAsia"/>
                <w:b/>
                <w:bCs/>
                <w:i/>
                <w:iCs/>
                <w:sz w:val="20"/>
                <w:szCs w:val="20"/>
              </w:rPr>
              <w:t>本概要是</w:t>
            </w:r>
            <w:r w:rsidR="007B43C9" w:rsidRPr="007B3988">
              <w:rPr>
                <w:rFonts w:asciiTheme="minorEastAsia" w:eastAsiaTheme="minorEastAsia" w:hAnsiTheme="minorEastAsia" w:cs="Arial" w:hint="eastAsia"/>
                <w:b/>
                <w:bCs/>
                <w:i/>
                <w:iCs/>
                <w:sz w:val="20"/>
                <w:szCs w:val="20"/>
              </w:rPr>
              <w:t>博时-</w:t>
            </w:r>
            <w:r w:rsidR="00483578" w:rsidRPr="007B3988">
              <w:rPr>
                <w:rFonts w:asciiTheme="minorEastAsia" w:eastAsiaTheme="minorEastAsia" w:hAnsiTheme="minorEastAsia" w:cs="Arial" w:hint="eastAsia"/>
                <w:b/>
                <w:bCs/>
                <w:i/>
                <w:iCs/>
                <w:sz w:val="20"/>
                <w:szCs w:val="20"/>
              </w:rPr>
              <w:t>安本</w:t>
            </w:r>
            <w:r w:rsidR="007B43C9" w:rsidRPr="007B3988">
              <w:rPr>
                <w:rFonts w:asciiTheme="minorEastAsia" w:eastAsiaTheme="minorEastAsia" w:hAnsiTheme="minorEastAsia" w:cs="Arial" w:hint="eastAsia"/>
                <w:b/>
                <w:bCs/>
                <w:i/>
                <w:iCs/>
                <w:sz w:val="20"/>
                <w:szCs w:val="20"/>
              </w:rPr>
              <w:t>标准精选新兴市场债券基金</w:t>
            </w:r>
            <w:r w:rsidR="00C45338" w:rsidRPr="007B3988">
              <w:rPr>
                <w:rFonts w:asciiTheme="minorEastAsia" w:eastAsiaTheme="minorEastAsia" w:hAnsiTheme="minorEastAsia" w:cs="Arial" w:hint="eastAsia"/>
                <w:b/>
                <w:bCs/>
                <w:i/>
                <w:iCs/>
                <w:sz w:val="20"/>
                <w:szCs w:val="20"/>
              </w:rPr>
              <w:t>招募说明书</w:t>
            </w:r>
            <w:r w:rsidRPr="007B3988">
              <w:rPr>
                <w:rFonts w:asciiTheme="minorEastAsia" w:eastAsiaTheme="minorEastAsia" w:hAnsiTheme="minorEastAsia" w:cs="Arial" w:hint="eastAsia"/>
                <w:b/>
                <w:bCs/>
                <w:i/>
                <w:iCs/>
                <w:sz w:val="20"/>
                <w:szCs w:val="20"/>
              </w:rPr>
              <w:t>的一部分。</w:t>
            </w:r>
          </w:p>
          <w:p w:rsidR="00216EF3" w:rsidRPr="007B3988" w:rsidRDefault="00CB5EEB" w:rsidP="004B56F8">
            <w:pPr>
              <w:pStyle w:val="ssPara1"/>
              <w:numPr>
                <w:ilvl w:val="0"/>
                <w:numId w:val="11"/>
              </w:numPr>
              <w:spacing w:before="120" w:after="60"/>
              <w:ind w:left="403" w:hanging="403"/>
              <w:jc w:val="left"/>
              <w:rPr>
                <w:rFonts w:eastAsia="PMingLiU" w:cs="Arial"/>
                <w:b/>
                <w:bCs/>
                <w:i/>
                <w:iCs/>
                <w:sz w:val="20"/>
                <w:szCs w:val="20"/>
              </w:rPr>
            </w:pPr>
            <w:r w:rsidRPr="007B3988">
              <w:rPr>
                <w:rFonts w:asciiTheme="minorEastAsia" w:eastAsiaTheme="minorEastAsia" w:hAnsiTheme="minorEastAsia" w:cs="Arial" w:hint="eastAsia"/>
                <w:b/>
                <w:bCs/>
                <w:i/>
                <w:iCs/>
                <w:sz w:val="20"/>
                <w:szCs w:val="20"/>
              </w:rPr>
              <w:t>投资者</w:t>
            </w:r>
            <w:r w:rsidR="00E21B93" w:rsidRPr="007B3988">
              <w:rPr>
                <w:rFonts w:asciiTheme="minorEastAsia" w:eastAsiaTheme="minorEastAsia" w:hAnsiTheme="minorEastAsia" w:cs="Arial" w:hint="eastAsia"/>
                <w:b/>
                <w:bCs/>
                <w:i/>
                <w:iCs/>
                <w:sz w:val="20"/>
                <w:szCs w:val="20"/>
              </w:rPr>
              <w:t>不应单凭本概要而投资本</w:t>
            </w:r>
            <w:r w:rsidR="004761FA" w:rsidRPr="007B3988">
              <w:rPr>
                <w:rFonts w:asciiTheme="minorEastAsia" w:eastAsiaTheme="minorEastAsia" w:hAnsiTheme="minorEastAsia" w:cs="Arial" w:hint="eastAsia"/>
                <w:b/>
                <w:bCs/>
                <w:i/>
                <w:iCs/>
                <w:sz w:val="20"/>
                <w:szCs w:val="20"/>
              </w:rPr>
              <w:t>基金</w:t>
            </w:r>
            <w:r w:rsidR="00E21B93" w:rsidRPr="007B3988">
              <w:rPr>
                <w:rFonts w:asciiTheme="minorEastAsia" w:eastAsiaTheme="minorEastAsia" w:hAnsiTheme="minorEastAsia" w:cs="Arial" w:hint="eastAsia"/>
                <w:b/>
                <w:bCs/>
                <w:i/>
                <w:iCs/>
                <w:sz w:val="20"/>
                <w:szCs w:val="20"/>
              </w:rPr>
              <w:t>。</w:t>
            </w:r>
          </w:p>
        </w:tc>
      </w:tr>
      <w:tr w:rsidR="00216EF3" w:rsidRPr="007B3988" w:rsidTr="002A490D">
        <w:tc>
          <w:tcPr>
            <w:tcW w:w="3227" w:type="dxa"/>
            <w:tcBorders>
              <w:top w:val="single" w:sz="18" w:space="0" w:color="808080"/>
              <w:left w:val="single" w:sz="4" w:space="0" w:color="auto"/>
            </w:tcBorders>
            <w:shd w:val="clear" w:color="auto" w:fill="F3F3F3"/>
          </w:tcPr>
          <w:p w:rsidR="00216EF3" w:rsidRPr="007B3988" w:rsidRDefault="00E21B93" w:rsidP="00C6019E">
            <w:pPr>
              <w:pStyle w:val="ssPara1"/>
              <w:adjustRightInd w:val="0"/>
              <w:snapToGrid w:val="0"/>
              <w:spacing w:before="240"/>
              <w:rPr>
                <w:rFonts w:eastAsia="PMingLiU" w:cs="Arial"/>
                <w:b/>
                <w:bCs/>
                <w:sz w:val="20"/>
                <w:szCs w:val="20"/>
              </w:rPr>
            </w:pPr>
            <w:r w:rsidRPr="007B3988">
              <w:rPr>
                <w:rFonts w:cs="Arial" w:hint="eastAsia"/>
                <w:b/>
                <w:bCs/>
                <w:sz w:val="20"/>
                <w:szCs w:val="20"/>
              </w:rPr>
              <w:t>资料概览</w:t>
            </w:r>
          </w:p>
        </w:tc>
        <w:tc>
          <w:tcPr>
            <w:tcW w:w="6602" w:type="dxa"/>
            <w:tcBorders>
              <w:top w:val="single" w:sz="18" w:space="0" w:color="808080"/>
              <w:right w:val="single" w:sz="4" w:space="0" w:color="auto"/>
            </w:tcBorders>
            <w:shd w:val="clear" w:color="auto" w:fill="F3F3F3"/>
          </w:tcPr>
          <w:p w:rsidR="00216EF3" w:rsidRPr="007B3988" w:rsidRDefault="00216EF3" w:rsidP="00BB5DD2">
            <w:pPr>
              <w:pStyle w:val="ssPara1"/>
              <w:spacing w:after="120" w:line="240" w:lineRule="atLeast"/>
              <w:rPr>
                <w:rFonts w:eastAsia="PMingLiU" w:cs="Arial"/>
                <w:sz w:val="20"/>
                <w:szCs w:val="20"/>
              </w:rPr>
            </w:pPr>
          </w:p>
        </w:tc>
      </w:tr>
      <w:tr w:rsidR="00F10994" w:rsidRPr="007B3988" w:rsidTr="005F7DCC">
        <w:trPr>
          <w:trHeight w:val="489"/>
        </w:trPr>
        <w:tc>
          <w:tcPr>
            <w:tcW w:w="3227" w:type="dxa"/>
            <w:tcBorders>
              <w:left w:val="single" w:sz="4" w:space="0" w:color="auto"/>
            </w:tcBorders>
            <w:shd w:val="clear" w:color="auto" w:fill="F3F3F3"/>
          </w:tcPr>
          <w:p w:rsidR="00F10994" w:rsidRPr="007B3988" w:rsidRDefault="00705676" w:rsidP="00C6019E">
            <w:pPr>
              <w:pStyle w:val="ssPara1"/>
              <w:tabs>
                <w:tab w:val="right" w:pos="9525"/>
              </w:tabs>
              <w:adjustRightInd w:val="0"/>
              <w:snapToGrid w:val="0"/>
              <w:spacing w:before="60"/>
              <w:jc w:val="left"/>
              <w:rPr>
                <w:rFonts w:eastAsia="PMingLiU" w:cs="Arial"/>
                <w:sz w:val="20"/>
                <w:szCs w:val="20"/>
                <w:lang w:eastAsia="zh-TW"/>
              </w:rPr>
            </w:pPr>
            <w:r w:rsidRPr="007B3988">
              <w:rPr>
                <w:rFonts w:cs="Arial" w:hint="eastAsia"/>
                <w:b/>
                <w:bCs/>
                <w:sz w:val="20"/>
                <w:szCs w:val="20"/>
              </w:rPr>
              <w:t>基金</w:t>
            </w:r>
            <w:r w:rsidRPr="007B3988">
              <w:rPr>
                <w:rFonts w:cs="Arial"/>
                <w:b/>
                <w:bCs/>
                <w:sz w:val="20"/>
                <w:szCs w:val="20"/>
              </w:rPr>
              <w:t>管理</w:t>
            </w:r>
            <w:r w:rsidR="00E21B93" w:rsidRPr="007B3988">
              <w:rPr>
                <w:rFonts w:cs="Arial" w:hint="eastAsia"/>
                <w:b/>
                <w:bCs/>
                <w:sz w:val="20"/>
                <w:szCs w:val="20"/>
              </w:rPr>
              <w:t>人：</w:t>
            </w:r>
            <w:r w:rsidR="00E21B93" w:rsidRPr="007B3988">
              <w:rPr>
                <w:rFonts w:cs="Arial"/>
                <w:sz w:val="20"/>
                <w:szCs w:val="20"/>
              </w:rPr>
              <w:t xml:space="preserve"> </w:t>
            </w:r>
            <w:r w:rsidR="00E21B93" w:rsidRPr="007B3988">
              <w:rPr>
                <w:rFonts w:eastAsia="PMingLiU" w:cs="Arial"/>
                <w:sz w:val="20"/>
                <w:szCs w:val="20"/>
              </w:rPr>
              <w:tab/>
            </w:r>
          </w:p>
        </w:tc>
        <w:tc>
          <w:tcPr>
            <w:tcW w:w="6602" w:type="dxa"/>
            <w:tcBorders>
              <w:right w:val="single" w:sz="4" w:space="0" w:color="auto"/>
            </w:tcBorders>
            <w:shd w:val="clear" w:color="auto" w:fill="F3F3F3"/>
          </w:tcPr>
          <w:p w:rsidR="00F10994" w:rsidRPr="007B3988" w:rsidRDefault="00E21B93" w:rsidP="00B625F5">
            <w:pPr>
              <w:pStyle w:val="ssPara1"/>
              <w:tabs>
                <w:tab w:val="right" w:pos="9525"/>
              </w:tabs>
              <w:spacing w:before="60" w:after="120"/>
              <w:jc w:val="right"/>
              <w:rPr>
                <w:rFonts w:eastAsia="PMingLiU" w:cs="Arial"/>
                <w:sz w:val="20"/>
                <w:szCs w:val="20"/>
              </w:rPr>
            </w:pPr>
            <w:r w:rsidRPr="007B3988">
              <w:rPr>
                <w:rFonts w:cs="Arial" w:hint="eastAsia"/>
                <w:sz w:val="20"/>
                <w:szCs w:val="20"/>
              </w:rPr>
              <w:t>博时基金</w:t>
            </w:r>
            <w:r w:rsidR="007172F1" w:rsidRPr="007B3988">
              <w:rPr>
                <w:rFonts w:cs="Arial" w:hint="eastAsia"/>
                <w:sz w:val="20"/>
                <w:szCs w:val="20"/>
              </w:rPr>
              <w:t>(</w:t>
            </w:r>
            <w:r w:rsidRPr="007B3988">
              <w:rPr>
                <w:rFonts w:cs="Arial" w:hint="eastAsia"/>
                <w:sz w:val="20"/>
                <w:szCs w:val="20"/>
              </w:rPr>
              <w:t>国际</w:t>
            </w:r>
            <w:r w:rsidR="007172F1" w:rsidRPr="007B3988">
              <w:rPr>
                <w:rFonts w:cs="Arial"/>
                <w:sz w:val="20"/>
                <w:szCs w:val="20"/>
              </w:rPr>
              <w:t>)</w:t>
            </w:r>
            <w:r w:rsidRPr="007B3988">
              <w:rPr>
                <w:rFonts w:cs="Arial" w:hint="eastAsia"/>
                <w:sz w:val="20"/>
                <w:szCs w:val="20"/>
              </w:rPr>
              <w:t>有限公司</w:t>
            </w:r>
          </w:p>
        </w:tc>
      </w:tr>
      <w:tr w:rsidR="00216EF3" w:rsidRPr="007B3988" w:rsidTr="005F7DCC">
        <w:trPr>
          <w:trHeight w:val="865"/>
        </w:trPr>
        <w:tc>
          <w:tcPr>
            <w:tcW w:w="3227" w:type="dxa"/>
            <w:tcBorders>
              <w:left w:val="single" w:sz="4" w:space="0" w:color="auto"/>
            </w:tcBorders>
            <w:shd w:val="clear" w:color="auto" w:fill="F3F3F3"/>
          </w:tcPr>
          <w:p w:rsidR="00216EF3" w:rsidRPr="007B3988" w:rsidRDefault="00705676" w:rsidP="00C6019E">
            <w:pPr>
              <w:pStyle w:val="ssPara1"/>
              <w:adjustRightInd w:val="0"/>
              <w:snapToGrid w:val="0"/>
              <w:spacing w:before="60"/>
              <w:rPr>
                <w:rFonts w:eastAsiaTheme="minorEastAsia" w:cs="Arial"/>
                <w:b/>
                <w:bCs/>
                <w:sz w:val="20"/>
                <w:szCs w:val="20"/>
              </w:rPr>
            </w:pPr>
            <w:r w:rsidRPr="007B3988">
              <w:rPr>
                <w:rFonts w:cs="Arial" w:hint="eastAsia"/>
                <w:b/>
                <w:bCs/>
                <w:sz w:val="20"/>
                <w:szCs w:val="20"/>
              </w:rPr>
              <w:t>次</w:t>
            </w:r>
            <w:r w:rsidRPr="007B3988">
              <w:rPr>
                <w:rFonts w:cs="Arial"/>
                <w:b/>
                <w:bCs/>
                <w:sz w:val="20"/>
                <w:szCs w:val="20"/>
              </w:rPr>
              <w:t>管理</w:t>
            </w:r>
            <w:r w:rsidR="00E21B93" w:rsidRPr="007B3988">
              <w:rPr>
                <w:rFonts w:cs="Arial" w:hint="eastAsia"/>
                <w:b/>
                <w:bCs/>
                <w:sz w:val="20"/>
                <w:szCs w:val="20"/>
              </w:rPr>
              <w:t>人：</w:t>
            </w:r>
          </w:p>
        </w:tc>
        <w:tc>
          <w:tcPr>
            <w:tcW w:w="6602" w:type="dxa"/>
            <w:tcBorders>
              <w:right w:val="single" w:sz="4" w:space="0" w:color="auto"/>
            </w:tcBorders>
            <w:shd w:val="clear" w:color="auto" w:fill="F3F3F3"/>
          </w:tcPr>
          <w:p w:rsidR="00D9370B" w:rsidRPr="007B3988" w:rsidRDefault="00D9370B" w:rsidP="00D67541">
            <w:pPr>
              <w:pStyle w:val="ssPara1"/>
              <w:tabs>
                <w:tab w:val="right" w:pos="9525"/>
              </w:tabs>
              <w:spacing w:before="60" w:after="120"/>
              <w:jc w:val="right"/>
              <w:rPr>
                <w:rFonts w:cs="Arial"/>
                <w:sz w:val="20"/>
                <w:szCs w:val="20"/>
              </w:rPr>
            </w:pPr>
            <w:r w:rsidRPr="007B3988">
              <w:rPr>
                <w:rFonts w:cs="Arial" w:hint="eastAsia"/>
                <w:sz w:val="20"/>
                <w:szCs w:val="20"/>
              </w:rPr>
              <w:t>安本标准投资管理</w:t>
            </w:r>
            <w:r w:rsidRPr="007B3988">
              <w:rPr>
                <w:rFonts w:cs="Arial" w:hint="eastAsia"/>
                <w:sz w:val="20"/>
                <w:szCs w:val="20"/>
              </w:rPr>
              <w:t>(</w:t>
            </w:r>
            <w:r w:rsidRPr="007B3988">
              <w:rPr>
                <w:rFonts w:cs="Arial" w:hint="eastAsia"/>
                <w:sz w:val="20"/>
                <w:szCs w:val="20"/>
              </w:rPr>
              <w:t>香港</w:t>
            </w:r>
            <w:r w:rsidRPr="007B3988">
              <w:rPr>
                <w:rFonts w:cs="Arial" w:hint="eastAsia"/>
                <w:sz w:val="20"/>
                <w:szCs w:val="20"/>
              </w:rPr>
              <w:t>)</w:t>
            </w:r>
            <w:r w:rsidRPr="007B3988">
              <w:rPr>
                <w:rFonts w:cs="Arial" w:hint="eastAsia"/>
                <w:sz w:val="20"/>
                <w:szCs w:val="20"/>
              </w:rPr>
              <w:t>有限公司</w:t>
            </w:r>
          </w:p>
          <w:p w:rsidR="00216EF3" w:rsidRPr="007B3988" w:rsidRDefault="00D9370B" w:rsidP="00D67541">
            <w:pPr>
              <w:pStyle w:val="ssPara1"/>
              <w:tabs>
                <w:tab w:val="right" w:pos="9525"/>
              </w:tabs>
              <w:spacing w:before="60" w:after="120"/>
              <w:jc w:val="right"/>
              <w:rPr>
                <w:rFonts w:eastAsia="PMingLiU" w:cs="Arial"/>
                <w:sz w:val="20"/>
                <w:szCs w:val="20"/>
                <w:lang w:eastAsia="zh-TW"/>
              </w:rPr>
            </w:pPr>
            <w:r w:rsidRPr="007B3988">
              <w:rPr>
                <w:rFonts w:cs="Arial" w:hint="eastAsia"/>
                <w:sz w:val="20"/>
                <w:szCs w:val="20"/>
              </w:rPr>
              <w:t>(Aberdeen Standard Investments (Hong Kong) Limited)</w:t>
            </w:r>
          </w:p>
        </w:tc>
      </w:tr>
      <w:tr w:rsidR="00165118" w:rsidRPr="007B3988" w:rsidTr="002A490D">
        <w:tc>
          <w:tcPr>
            <w:tcW w:w="3227" w:type="dxa"/>
            <w:tcBorders>
              <w:left w:val="single" w:sz="4" w:space="0" w:color="auto"/>
            </w:tcBorders>
            <w:shd w:val="clear" w:color="auto" w:fill="F3F3F3"/>
          </w:tcPr>
          <w:p w:rsidR="00C224F1" w:rsidRPr="007B3988" w:rsidRDefault="00E21B93" w:rsidP="00C6019E">
            <w:pPr>
              <w:adjustRightInd w:val="0"/>
              <w:snapToGrid w:val="0"/>
              <w:spacing w:after="260"/>
              <w:rPr>
                <w:rFonts w:eastAsia="PMingLiU"/>
                <w:sz w:val="20"/>
                <w:szCs w:val="20"/>
                <w:lang w:val="en-HK" w:eastAsia="zh-TW"/>
              </w:rPr>
            </w:pPr>
            <w:r w:rsidRPr="007B3988">
              <w:rPr>
                <w:rFonts w:cs="Arial" w:hint="eastAsia"/>
                <w:b/>
                <w:bCs/>
                <w:sz w:val="20"/>
                <w:szCs w:val="20"/>
              </w:rPr>
              <w:t>受托人：</w:t>
            </w:r>
          </w:p>
        </w:tc>
        <w:tc>
          <w:tcPr>
            <w:tcW w:w="6602" w:type="dxa"/>
            <w:tcBorders>
              <w:right w:val="single" w:sz="4" w:space="0" w:color="auto"/>
            </w:tcBorders>
            <w:shd w:val="clear" w:color="auto" w:fill="F3F3F3"/>
          </w:tcPr>
          <w:p w:rsidR="00561B6D" w:rsidRPr="007B3988" w:rsidRDefault="00E21B93" w:rsidP="00E40DC6">
            <w:pPr>
              <w:pStyle w:val="ssPara1"/>
              <w:spacing w:before="60" w:after="120"/>
              <w:jc w:val="right"/>
              <w:rPr>
                <w:rFonts w:cs="Arial"/>
                <w:sz w:val="20"/>
                <w:szCs w:val="20"/>
              </w:rPr>
            </w:pPr>
            <w:r w:rsidRPr="007B3988">
              <w:rPr>
                <w:rFonts w:cs="Arial" w:hint="eastAsia"/>
                <w:sz w:val="20"/>
                <w:szCs w:val="20"/>
              </w:rPr>
              <w:t>汇丰机构信托服务</w:t>
            </w:r>
            <w:r w:rsidR="006C6977" w:rsidRPr="007B3988">
              <w:rPr>
                <w:rFonts w:cs="Arial" w:hint="eastAsia"/>
                <w:sz w:val="20"/>
                <w:szCs w:val="20"/>
              </w:rPr>
              <w:t>(</w:t>
            </w:r>
            <w:r w:rsidRPr="007B3988">
              <w:rPr>
                <w:rFonts w:cs="Arial" w:hint="eastAsia"/>
                <w:sz w:val="20"/>
                <w:szCs w:val="20"/>
              </w:rPr>
              <w:t>亚洲</w:t>
            </w:r>
            <w:r w:rsidR="006C6977" w:rsidRPr="007B3988">
              <w:rPr>
                <w:rFonts w:cs="Arial"/>
                <w:sz w:val="20"/>
                <w:szCs w:val="20"/>
              </w:rPr>
              <w:t>)</w:t>
            </w:r>
            <w:r w:rsidRPr="007B3988">
              <w:rPr>
                <w:rFonts w:cs="Arial" w:hint="eastAsia"/>
                <w:sz w:val="20"/>
                <w:szCs w:val="20"/>
              </w:rPr>
              <w:t>有限公司</w:t>
            </w:r>
          </w:p>
        </w:tc>
      </w:tr>
      <w:tr w:rsidR="00E40DC6" w:rsidRPr="007B3988" w:rsidTr="00D67541">
        <w:tc>
          <w:tcPr>
            <w:tcW w:w="3227" w:type="dxa"/>
            <w:tcBorders>
              <w:left w:val="single" w:sz="4" w:space="0" w:color="auto"/>
            </w:tcBorders>
            <w:shd w:val="clear" w:color="auto" w:fill="F3F3F3"/>
          </w:tcPr>
          <w:p w:rsidR="00E40DC6" w:rsidRPr="007B3988" w:rsidRDefault="00E40DC6" w:rsidP="00C6019E">
            <w:pPr>
              <w:pStyle w:val="ssPara1"/>
              <w:adjustRightInd w:val="0"/>
              <w:snapToGrid w:val="0"/>
              <w:spacing w:before="60"/>
              <w:rPr>
                <w:rFonts w:cs="Arial"/>
                <w:b/>
                <w:bCs/>
                <w:sz w:val="20"/>
                <w:szCs w:val="20"/>
              </w:rPr>
            </w:pPr>
            <w:r w:rsidRPr="007B3988">
              <w:rPr>
                <w:rFonts w:hint="eastAsia"/>
                <w:b/>
                <w:sz w:val="20"/>
                <w:szCs w:val="20"/>
                <w:lang w:val="en-HK"/>
              </w:rPr>
              <w:t>内地代理人：</w:t>
            </w:r>
          </w:p>
        </w:tc>
        <w:tc>
          <w:tcPr>
            <w:tcW w:w="6602" w:type="dxa"/>
            <w:tcBorders>
              <w:right w:val="single" w:sz="4" w:space="0" w:color="auto"/>
            </w:tcBorders>
            <w:shd w:val="clear" w:color="auto" w:fill="F3F3F3"/>
          </w:tcPr>
          <w:p w:rsidR="00E40DC6" w:rsidRPr="007B3988" w:rsidRDefault="00E40DC6" w:rsidP="00C224F1">
            <w:pPr>
              <w:pStyle w:val="ssPara1"/>
              <w:spacing w:before="60" w:after="120"/>
              <w:jc w:val="right"/>
              <w:rPr>
                <w:rFonts w:cs="Arial"/>
                <w:sz w:val="20"/>
                <w:szCs w:val="20"/>
              </w:rPr>
            </w:pPr>
            <w:r w:rsidRPr="007B3988">
              <w:rPr>
                <w:rFonts w:cs="Arial" w:hint="eastAsia"/>
                <w:sz w:val="20"/>
                <w:szCs w:val="20"/>
              </w:rPr>
              <w:t>博时基金管理有限公司</w:t>
            </w:r>
          </w:p>
        </w:tc>
      </w:tr>
      <w:tr w:rsidR="00E40DC6" w:rsidRPr="007B3988" w:rsidTr="00D67541">
        <w:trPr>
          <w:trHeight w:val="805"/>
        </w:trPr>
        <w:tc>
          <w:tcPr>
            <w:tcW w:w="3227" w:type="dxa"/>
            <w:tcBorders>
              <w:left w:val="single" w:sz="4" w:space="0" w:color="auto"/>
            </w:tcBorders>
            <w:shd w:val="clear" w:color="auto" w:fill="F3F3F3"/>
          </w:tcPr>
          <w:p w:rsidR="00E40DC6" w:rsidRPr="007B3988" w:rsidRDefault="00E40DC6" w:rsidP="00C6019E">
            <w:pPr>
              <w:adjustRightInd w:val="0"/>
              <w:snapToGrid w:val="0"/>
              <w:spacing w:after="260"/>
              <w:rPr>
                <w:b/>
                <w:sz w:val="20"/>
                <w:szCs w:val="20"/>
                <w:lang w:val="en-HK"/>
              </w:rPr>
            </w:pPr>
            <w:r w:rsidRPr="007B3988">
              <w:rPr>
                <w:b/>
                <w:sz w:val="20"/>
                <w:szCs w:val="20"/>
                <w:lang w:val="en-HK"/>
              </w:rPr>
              <w:t>在内地发售的份额类别：</w:t>
            </w:r>
          </w:p>
        </w:tc>
        <w:tc>
          <w:tcPr>
            <w:tcW w:w="6602" w:type="dxa"/>
            <w:tcBorders>
              <w:right w:val="single" w:sz="4" w:space="0" w:color="auto"/>
            </w:tcBorders>
            <w:shd w:val="clear" w:color="auto" w:fill="F3F3F3"/>
          </w:tcPr>
          <w:p w:rsidR="002E168B" w:rsidRPr="007B3988" w:rsidRDefault="00E40DC6" w:rsidP="005F7DCC">
            <w:pPr>
              <w:pStyle w:val="ssPara1"/>
              <w:spacing w:before="60" w:after="0"/>
              <w:jc w:val="right"/>
              <w:rPr>
                <w:sz w:val="20"/>
                <w:szCs w:val="20"/>
              </w:rPr>
            </w:pPr>
            <w:r w:rsidRPr="007B3988">
              <w:rPr>
                <w:rFonts w:cs="Arial"/>
                <w:sz w:val="20"/>
                <w:szCs w:val="20"/>
              </w:rPr>
              <w:t>PRC</w:t>
            </w:r>
            <w:r w:rsidRPr="007B3988">
              <w:rPr>
                <w:rFonts w:hint="eastAsia"/>
                <w:sz w:val="20"/>
                <w:szCs w:val="20"/>
              </w:rPr>
              <w:t>类别</w:t>
            </w:r>
            <w:r w:rsidRPr="007B3988">
              <w:rPr>
                <w:sz w:val="20"/>
                <w:szCs w:val="20"/>
              </w:rPr>
              <w:t>A</w:t>
            </w:r>
            <w:r w:rsidRPr="007B3988">
              <w:rPr>
                <w:rFonts w:hint="eastAsia"/>
                <w:sz w:val="20"/>
                <w:szCs w:val="20"/>
              </w:rPr>
              <w:t>人民币、</w:t>
            </w:r>
            <w:r w:rsidRPr="007B3988">
              <w:rPr>
                <w:rFonts w:cs="Arial"/>
                <w:sz w:val="20"/>
                <w:szCs w:val="20"/>
              </w:rPr>
              <w:t>PRC</w:t>
            </w:r>
            <w:r w:rsidRPr="007B3988">
              <w:rPr>
                <w:rFonts w:hint="eastAsia"/>
                <w:sz w:val="20"/>
                <w:szCs w:val="20"/>
              </w:rPr>
              <w:t>类别</w:t>
            </w:r>
            <w:r w:rsidRPr="007B3988">
              <w:rPr>
                <w:sz w:val="20"/>
                <w:szCs w:val="20"/>
              </w:rPr>
              <w:t>A</w:t>
            </w:r>
            <w:r w:rsidRPr="007B3988">
              <w:rPr>
                <w:rFonts w:hint="eastAsia"/>
                <w:sz w:val="20"/>
                <w:szCs w:val="20"/>
              </w:rPr>
              <w:t>美元</w:t>
            </w:r>
          </w:p>
          <w:p w:rsidR="00E40DC6" w:rsidRPr="007B3988" w:rsidRDefault="00E40DC6" w:rsidP="005F7DCC">
            <w:pPr>
              <w:pStyle w:val="ssPara1"/>
              <w:spacing w:before="60" w:after="0"/>
              <w:jc w:val="right"/>
              <w:rPr>
                <w:rFonts w:cs="Arial"/>
                <w:sz w:val="20"/>
                <w:szCs w:val="20"/>
              </w:rPr>
            </w:pPr>
            <w:r w:rsidRPr="007B3988">
              <w:rPr>
                <w:rFonts w:cs="Arial"/>
                <w:sz w:val="20"/>
                <w:szCs w:val="20"/>
              </w:rPr>
              <w:t>PRC</w:t>
            </w:r>
            <w:r w:rsidRPr="007B3988">
              <w:rPr>
                <w:rFonts w:hint="eastAsia"/>
                <w:sz w:val="20"/>
                <w:szCs w:val="20"/>
              </w:rPr>
              <w:t>类别</w:t>
            </w:r>
            <w:r w:rsidRPr="007B3988">
              <w:rPr>
                <w:sz w:val="20"/>
                <w:szCs w:val="20"/>
              </w:rPr>
              <w:t>I</w:t>
            </w:r>
            <w:r w:rsidRPr="007B3988">
              <w:rPr>
                <w:rFonts w:hint="eastAsia"/>
                <w:sz w:val="20"/>
                <w:szCs w:val="20"/>
              </w:rPr>
              <w:t>人民币、</w:t>
            </w:r>
            <w:r w:rsidRPr="007B3988">
              <w:rPr>
                <w:rFonts w:cs="Arial"/>
                <w:sz w:val="20"/>
                <w:szCs w:val="20"/>
              </w:rPr>
              <w:t>PRC</w:t>
            </w:r>
            <w:r w:rsidRPr="007B3988">
              <w:rPr>
                <w:rFonts w:hint="eastAsia"/>
                <w:sz w:val="20"/>
                <w:szCs w:val="20"/>
              </w:rPr>
              <w:t>类别</w:t>
            </w:r>
            <w:r w:rsidRPr="007B3988">
              <w:rPr>
                <w:sz w:val="20"/>
                <w:szCs w:val="20"/>
              </w:rPr>
              <w:t>I</w:t>
            </w:r>
            <w:r w:rsidRPr="007B3988">
              <w:rPr>
                <w:rFonts w:hint="eastAsia"/>
                <w:sz w:val="20"/>
                <w:szCs w:val="20"/>
              </w:rPr>
              <w:t>美元</w:t>
            </w:r>
          </w:p>
        </w:tc>
      </w:tr>
      <w:tr w:rsidR="00E40DC6" w:rsidRPr="007B3988" w:rsidTr="00D67541">
        <w:tc>
          <w:tcPr>
            <w:tcW w:w="3227" w:type="dxa"/>
            <w:tcBorders>
              <w:left w:val="single" w:sz="4" w:space="0" w:color="auto"/>
            </w:tcBorders>
            <w:shd w:val="clear" w:color="auto" w:fill="F3F3F3"/>
          </w:tcPr>
          <w:p w:rsidR="00E40DC6" w:rsidRPr="007B3988" w:rsidRDefault="00E40DC6" w:rsidP="00C6019E">
            <w:pPr>
              <w:adjustRightInd w:val="0"/>
              <w:snapToGrid w:val="0"/>
              <w:spacing w:after="260"/>
              <w:rPr>
                <w:b/>
                <w:sz w:val="20"/>
                <w:szCs w:val="20"/>
                <w:lang w:val="en-HK"/>
              </w:rPr>
            </w:pPr>
            <w:r w:rsidRPr="007B3988">
              <w:rPr>
                <w:rFonts w:hint="eastAsia"/>
                <w:b/>
                <w:sz w:val="20"/>
                <w:szCs w:val="20"/>
                <w:lang w:val="en-HK"/>
              </w:rPr>
              <w:t>计价</w:t>
            </w:r>
            <w:r w:rsidRPr="007B3988">
              <w:rPr>
                <w:b/>
                <w:sz w:val="20"/>
                <w:szCs w:val="20"/>
                <w:lang w:val="en-HK"/>
              </w:rPr>
              <w:t>货币：</w:t>
            </w:r>
          </w:p>
        </w:tc>
        <w:tc>
          <w:tcPr>
            <w:tcW w:w="6602" w:type="dxa"/>
            <w:tcBorders>
              <w:right w:val="single" w:sz="4" w:space="0" w:color="auto"/>
            </w:tcBorders>
            <w:shd w:val="clear" w:color="auto" w:fill="F3F3F3"/>
          </w:tcPr>
          <w:p w:rsidR="00E40DC6" w:rsidRPr="007B3988" w:rsidRDefault="00E40DC6" w:rsidP="00E40DC6">
            <w:pPr>
              <w:pStyle w:val="ssPara1"/>
              <w:spacing w:before="60" w:after="120"/>
              <w:jc w:val="right"/>
              <w:rPr>
                <w:sz w:val="20"/>
                <w:szCs w:val="20"/>
              </w:rPr>
            </w:pPr>
            <w:r w:rsidRPr="007B3988">
              <w:rPr>
                <w:rFonts w:cs="Arial" w:hint="eastAsia"/>
                <w:sz w:val="20"/>
                <w:szCs w:val="20"/>
              </w:rPr>
              <w:t>P</w:t>
            </w:r>
            <w:r w:rsidRPr="007B3988">
              <w:rPr>
                <w:rFonts w:cs="Arial"/>
                <w:sz w:val="20"/>
                <w:szCs w:val="20"/>
              </w:rPr>
              <w:t>RC</w:t>
            </w:r>
            <w:r w:rsidRPr="007B3988">
              <w:rPr>
                <w:rFonts w:hint="eastAsia"/>
                <w:sz w:val="20"/>
                <w:szCs w:val="20"/>
              </w:rPr>
              <w:t>类别</w:t>
            </w:r>
            <w:r w:rsidRPr="007B3988">
              <w:rPr>
                <w:rFonts w:hint="eastAsia"/>
                <w:sz w:val="20"/>
                <w:szCs w:val="20"/>
              </w:rPr>
              <w:t>A</w:t>
            </w:r>
            <w:r w:rsidRPr="007B3988">
              <w:rPr>
                <w:rFonts w:hint="eastAsia"/>
                <w:sz w:val="20"/>
                <w:szCs w:val="20"/>
              </w:rPr>
              <w:t>人民币、</w:t>
            </w:r>
            <w:r w:rsidRPr="007B3988">
              <w:rPr>
                <w:rFonts w:cs="Arial" w:hint="eastAsia"/>
                <w:sz w:val="20"/>
                <w:szCs w:val="20"/>
              </w:rPr>
              <w:t>P</w:t>
            </w:r>
            <w:r w:rsidRPr="007B3988">
              <w:rPr>
                <w:rFonts w:cs="Arial"/>
                <w:sz w:val="20"/>
                <w:szCs w:val="20"/>
              </w:rPr>
              <w:t>RC</w:t>
            </w:r>
            <w:r w:rsidRPr="007B3988">
              <w:rPr>
                <w:rFonts w:hint="eastAsia"/>
                <w:sz w:val="20"/>
                <w:szCs w:val="20"/>
              </w:rPr>
              <w:t>类别</w:t>
            </w:r>
            <w:r w:rsidRPr="007B3988">
              <w:rPr>
                <w:rFonts w:hint="eastAsia"/>
                <w:sz w:val="20"/>
                <w:szCs w:val="20"/>
              </w:rPr>
              <w:t>I</w:t>
            </w:r>
            <w:r w:rsidRPr="007B3988">
              <w:rPr>
                <w:rFonts w:hint="eastAsia"/>
                <w:sz w:val="20"/>
                <w:szCs w:val="20"/>
              </w:rPr>
              <w:t>人民币：人民币</w:t>
            </w:r>
          </w:p>
          <w:p w:rsidR="00E40DC6" w:rsidRPr="007B3988" w:rsidRDefault="00E40DC6" w:rsidP="005F7DCC">
            <w:pPr>
              <w:pStyle w:val="ssPara1"/>
              <w:spacing w:before="60" w:after="120"/>
              <w:jc w:val="right"/>
              <w:rPr>
                <w:rFonts w:cs="Arial"/>
                <w:sz w:val="20"/>
                <w:szCs w:val="20"/>
              </w:rPr>
            </w:pPr>
            <w:r w:rsidRPr="007B3988">
              <w:rPr>
                <w:rFonts w:cs="Arial" w:hint="eastAsia"/>
                <w:sz w:val="20"/>
                <w:szCs w:val="20"/>
              </w:rPr>
              <w:t>P</w:t>
            </w:r>
            <w:r w:rsidRPr="007B3988">
              <w:rPr>
                <w:rFonts w:cs="Arial"/>
                <w:sz w:val="20"/>
                <w:szCs w:val="20"/>
              </w:rPr>
              <w:t>RC</w:t>
            </w:r>
            <w:r w:rsidRPr="007B3988">
              <w:rPr>
                <w:rFonts w:hint="eastAsia"/>
                <w:sz w:val="20"/>
                <w:szCs w:val="20"/>
              </w:rPr>
              <w:t>类别</w:t>
            </w:r>
            <w:r w:rsidRPr="007B3988">
              <w:rPr>
                <w:rFonts w:hint="eastAsia"/>
                <w:sz w:val="20"/>
                <w:szCs w:val="20"/>
              </w:rPr>
              <w:t>A</w:t>
            </w:r>
            <w:r w:rsidRPr="007B3988">
              <w:rPr>
                <w:rFonts w:hint="eastAsia"/>
                <w:sz w:val="20"/>
                <w:szCs w:val="20"/>
              </w:rPr>
              <w:t>美元、</w:t>
            </w:r>
            <w:r w:rsidRPr="007B3988">
              <w:rPr>
                <w:rFonts w:cs="Arial" w:hint="eastAsia"/>
                <w:sz w:val="20"/>
                <w:szCs w:val="20"/>
              </w:rPr>
              <w:t>P</w:t>
            </w:r>
            <w:r w:rsidRPr="007B3988">
              <w:rPr>
                <w:rFonts w:cs="Arial"/>
                <w:sz w:val="20"/>
                <w:szCs w:val="20"/>
              </w:rPr>
              <w:t>RC</w:t>
            </w:r>
            <w:r w:rsidRPr="007B3988">
              <w:rPr>
                <w:rFonts w:hint="eastAsia"/>
                <w:sz w:val="20"/>
                <w:szCs w:val="20"/>
              </w:rPr>
              <w:t>类别</w:t>
            </w:r>
            <w:r w:rsidRPr="007B3988">
              <w:rPr>
                <w:rFonts w:hint="eastAsia"/>
                <w:sz w:val="20"/>
                <w:szCs w:val="20"/>
              </w:rPr>
              <w:t>I</w:t>
            </w:r>
            <w:r w:rsidRPr="007B3988">
              <w:rPr>
                <w:rFonts w:hint="eastAsia"/>
                <w:sz w:val="20"/>
                <w:szCs w:val="20"/>
              </w:rPr>
              <w:t>美元：美元</w:t>
            </w:r>
          </w:p>
        </w:tc>
      </w:tr>
      <w:tr w:rsidR="008477D9" w:rsidRPr="007B3988" w:rsidTr="00D67541">
        <w:trPr>
          <w:trHeight w:val="1452"/>
        </w:trPr>
        <w:tc>
          <w:tcPr>
            <w:tcW w:w="3227" w:type="dxa"/>
            <w:tcBorders>
              <w:left w:val="single" w:sz="4" w:space="0" w:color="auto"/>
            </w:tcBorders>
            <w:shd w:val="clear" w:color="auto" w:fill="F3F3F3"/>
          </w:tcPr>
          <w:p w:rsidR="008477D9" w:rsidRPr="007B3988" w:rsidRDefault="00E21B93" w:rsidP="00C6019E">
            <w:pPr>
              <w:pStyle w:val="ssPara1"/>
              <w:adjustRightInd w:val="0"/>
              <w:snapToGrid w:val="0"/>
              <w:spacing w:before="60"/>
              <w:rPr>
                <w:rFonts w:eastAsia="PMingLiU" w:cs="Arial"/>
                <w:b/>
                <w:bCs/>
                <w:sz w:val="20"/>
                <w:szCs w:val="20"/>
              </w:rPr>
            </w:pPr>
            <w:r w:rsidRPr="007B3988">
              <w:rPr>
                <w:rFonts w:cs="Arial" w:hint="eastAsia"/>
                <w:b/>
                <w:bCs/>
                <w:sz w:val="20"/>
                <w:szCs w:val="20"/>
                <w:lang w:val="en-US"/>
              </w:rPr>
              <w:t>全年经常性</w:t>
            </w:r>
            <w:r w:rsidR="001114C2" w:rsidRPr="007B3988">
              <w:rPr>
                <w:rFonts w:cs="Arial" w:hint="eastAsia"/>
                <w:b/>
                <w:bCs/>
                <w:sz w:val="20"/>
                <w:szCs w:val="20"/>
                <w:lang w:val="en-US"/>
              </w:rPr>
              <w:t>开</w:t>
            </w:r>
            <w:r w:rsidR="00F20F5A" w:rsidRPr="007B3988">
              <w:rPr>
                <w:rFonts w:cs="Arial" w:hint="eastAsia"/>
                <w:b/>
                <w:bCs/>
                <w:sz w:val="20"/>
                <w:szCs w:val="20"/>
                <w:lang w:val="en-US"/>
              </w:rPr>
              <w:t>支</w:t>
            </w:r>
            <w:r w:rsidRPr="007B3988">
              <w:rPr>
                <w:rFonts w:cs="Arial" w:hint="eastAsia"/>
                <w:b/>
                <w:bCs/>
                <w:sz w:val="20"/>
                <w:szCs w:val="20"/>
                <w:lang w:val="en-US"/>
              </w:rPr>
              <w:t>比率</w:t>
            </w:r>
            <w:r w:rsidRPr="007B3988">
              <w:rPr>
                <w:rFonts w:cs="Arial" w:hint="eastAsia"/>
                <w:b/>
                <w:bCs/>
                <w:sz w:val="20"/>
                <w:szCs w:val="20"/>
              </w:rPr>
              <w:t>：</w:t>
            </w:r>
          </w:p>
          <w:p w:rsidR="005F21FB" w:rsidRPr="007B3988" w:rsidRDefault="005F21FB" w:rsidP="00C6019E">
            <w:pPr>
              <w:pStyle w:val="ssPara1"/>
              <w:adjustRightInd w:val="0"/>
              <w:snapToGrid w:val="0"/>
              <w:spacing w:before="60"/>
              <w:rPr>
                <w:rFonts w:eastAsia="PMingLiU" w:cstheme="minorHAnsi"/>
                <w:b/>
                <w:bCs/>
                <w:sz w:val="20"/>
                <w:szCs w:val="20"/>
              </w:rPr>
            </w:pPr>
          </w:p>
        </w:tc>
        <w:tc>
          <w:tcPr>
            <w:tcW w:w="6602" w:type="dxa"/>
            <w:tcBorders>
              <w:right w:val="single" w:sz="4" w:space="0" w:color="auto"/>
            </w:tcBorders>
            <w:shd w:val="clear" w:color="auto" w:fill="F3F3F3"/>
          </w:tcPr>
          <w:p w:rsidR="001D3CC5" w:rsidRDefault="009C1C9A" w:rsidP="00BF17BC">
            <w:pPr>
              <w:pStyle w:val="ssPara1"/>
              <w:spacing w:before="60" w:after="0"/>
              <w:jc w:val="right"/>
              <w:rPr>
                <w:rFonts w:eastAsiaTheme="minorEastAsia" w:cs="Arial"/>
                <w:sz w:val="20"/>
                <w:szCs w:val="20"/>
              </w:rPr>
            </w:pPr>
            <w:r w:rsidRPr="007B3988">
              <w:rPr>
                <w:rFonts w:cs="Arial" w:hint="eastAsia"/>
                <w:sz w:val="20"/>
                <w:szCs w:val="20"/>
              </w:rPr>
              <w:t>P</w:t>
            </w:r>
            <w:r w:rsidRPr="007B3988">
              <w:rPr>
                <w:rFonts w:cs="Arial"/>
                <w:sz w:val="20"/>
                <w:szCs w:val="20"/>
              </w:rPr>
              <w:t>RC</w:t>
            </w:r>
            <w:r w:rsidR="006049CB" w:rsidRPr="007B3988">
              <w:rPr>
                <w:rFonts w:cs="Arial" w:hint="eastAsia"/>
                <w:sz w:val="20"/>
                <w:szCs w:val="20"/>
              </w:rPr>
              <w:t>类别</w:t>
            </w:r>
            <w:r w:rsidR="00F170E5" w:rsidRPr="007B3988">
              <w:rPr>
                <w:rFonts w:cs="Arial"/>
                <w:sz w:val="20"/>
                <w:szCs w:val="20"/>
              </w:rPr>
              <w:t>A</w:t>
            </w:r>
            <w:r w:rsidR="00E21B93" w:rsidRPr="007B3988">
              <w:rPr>
                <w:rFonts w:cs="Arial" w:hint="eastAsia"/>
                <w:sz w:val="20"/>
                <w:szCs w:val="20"/>
              </w:rPr>
              <w:t>美元</w:t>
            </w:r>
            <w:r w:rsidR="002562A1" w:rsidRPr="007B3988">
              <w:rPr>
                <w:rFonts w:cs="Arial" w:hint="eastAsia"/>
                <w:sz w:val="20"/>
                <w:szCs w:val="20"/>
              </w:rPr>
              <w:t>份额</w:t>
            </w:r>
            <w:r w:rsidR="00E21B93" w:rsidRPr="007B3988">
              <w:rPr>
                <w:rFonts w:cs="Arial" w:hint="eastAsia"/>
                <w:sz w:val="20"/>
                <w:szCs w:val="20"/>
              </w:rPr>
              <w:t>：</w:t>
            </w:r>
            <w:r w:rsidR="00E21B93" w:rsidRPr="007B3988">
              <w:rPr>
                <w:rFonts w:cs="Calibri"/>
                <w:sz w:val="20"/>
                <w:szCs w:val="20"/>
              </w:rPr>
              <w:t xml:space="preserve"> </w:t>
            </w:r>
            <w:r w:rsidR="00F82908" w:rsidRPr="007B3988">
              <w:rPr>
                <w:rFonts w:cs="Calibri" w:hint="eastAsia"/>
                <w:sz w:val="20"/>
                <w:szCs w:val="20"/>
              </w:rPr>
              <w:t>估计为</w:t>
            </w:r>
            <w:r w:rsidR="00D12DE4">
              <w:rPr>
                <w:rFonts w:cs="Calibri" w:hint="eastAsia"/>
                <w:sz w:val="20"/>
                <w:szCs w:val="20"/>
              </w:rPr>
              <w:t>1.21</w:t>
            </w:r>
            <w:r w:rsidR="00E21B93" w:rsidRPr="007B3988">
              <w:rPr>
                <w:rFonts w:cs="Arial"/>
                <w:sz w:val="20"/>
                <w:szCs w:val="20"/>
              </w:rPr>
              <w:t>%</w:t>
            </w:r>
            <w:r w:rsidR="00F82908" w:rsidRPr="007B3988">
              <w:rPr>
                <w:rStyle w:val="ad"/>
                <w:rFonts w:eastAsia="PMingLiU" w:cs="Arial"/>
                <w:sz w:val="20"/>
                <w:szCs w:val="20"/>
                <w:vertAlign w:val="baseline"/>
              </w:rPr>
              <w:footnoteReference w:customMarkFollows="1" w:id="3"/>
              <w:t>*</w:t>
            </w:r>
          </w:p>
          <w:p w:rsidR="00BF17BC" w:rsidRPr="007B3988" w:rsidRDefault="009C1C9A" w:rsidP="00BF17BC">
            <w:pPr>
              <w:pStyle w:val="ssPara1"/>
              <w:spacing w:before="60" w:after="0"/>
              <w:jc w:val="right"/>
              <w:rPr>
                <w:rFonts w:eastAsia="PMingLiU" w:cs="Arial"/>
                <w:sz w:val="20"/>
                <w:szCs w:val="20"/>
                <w:vertAlign w:val="superscript"/>
                <w:lang w:val="en-US"/>
              </w:rPr>
            </w:pPr>
            <w:r w:rsidRPr="007B3988">
              <w:rPr>
                <w:rFonts w:cs="Arial"/>
                <w:sz w:val="20"/>
                <w:szCs w:val="20"/>
              </w:rPr>
              <w:t>PRC</w:t>
            </w:r>
            <w:r w:rsidR="006049CB" w:rsidRPr="007B3988">
              <w:rPr>
                <w:rFonts w:cs="Arial" w:hint="eastAsia"/>
                <w:sz w:val="20"/>
                <w:szCs w:val="20"/>
              </w:rPr>
              <w:t>类别</w:t>
            </w:r>
            <w:r w:rsidR="00F170E5" w:rsidRPr="007B3988">
              <w:rPr>
                <w:rFonts w:cs="Arial"/>
                <w:sz w:val="20"/>
                <w:szCs w:val="20"/>
              </w:rPr>
              <w:t>A</w:t>
            </w:r>
            <w:r w:rsidR="00E21B93" w:rsidRPr="007B3988">
              <w:rPr>
                <w:rFonts w:cs="PMingLiU" w:hint="eastAsia"/>
                <w:sz w:val="20"/>
                <w:szCs w:val="20"/>
              </w:rPr>
              <w:t>人民币</w:t>
            </w:r>
            <w:r w:rsidR="002562A1" w:rsidRPr="007B3988">
              <w:rPr>
                <w:rFonts w:cs="PMingLiU" w:hint="eastAsia"/>
                <w:sz w:val="20"/>
                <w:szCs w:val="20"/>
              </w:rPr>
              <w:t>份额</w:t>
            </w:r>
            <w:r w:rsidR="00E21B93" w:rsidRPr="007B3988">
              <w:rPr>
                <w:rFonts w:cs="Arial" w:hint="eastAsia"/>
                <w:sz w:val="20"/>
                <w:szCs w:val="20"/>
              </w:rPr>
              <w:t>：</w:t>
            </w:r>
            <w:r w:rsidR="00E21B93" w:rsidRPr="007B3988">
              <w:rPr>
                <w:rFonts w:cs="Arial" w:hint="eastAsia"/>
                <w:sz w:val="20"/>
                <w:szCs w:val="20"/>
                <w:lang w:val="en-US"/>
              </w:rPr>
              <w:t>估计为</w:t>
            </w:r>
            <w:r w:rsidR="00D12DE4">
              <w:rPr>
                <w:rFonts w:cs="Calibri" w:hint="eastAsia"/>
                <w:sz w:val="20"/>
                <w:szCs w:val="20"/>
              </w:rPr>
              <w:t>1.21</w:t>
            </w:r>
            <w:r w:rsidR="00E21B93" w:rsidRPr="007B3988">
              <w:rPr>
                <w:rFonts w:cs="Arial"/>
                <w:sz w:val="20"/>
                <w:szCs w:val="20"/>
              </w:rPr>
              <w:t>%</w:t>
            </w:r>
            <w:r w:rsidR="00F82908" w:rsidRPr="007B3988">
              <w:rPr>
                <w:rFonts w:ascii="Calibri" w:hAnsi="Calibri" w:cs="Arial"/>
                <w:sz w:val="20"/>
                <w:szCs w:val="20"/>
              </w:rPr>
              <w:t>*</w:t>
            </w:r>
          </w:p>
          <w:p w:rsidR="00412A02" w:rsidRPr="007B3988" w:rsidRDefault="009C1C9A" w:rsidP="0065089C">
            <w:pPr>
              <w:pStyle w:val="ssPara1"/>
              <w:spacing w:before="60" w:after="0"/>
              <w:jc w:val="right"/>
              <w:rPr>
                <w:rFonts w:eastAsia="PMingLiU" w:cs="Arial"/>
                <w:sz w:val="20"/>
                <w:szCs w:val="20"/>
                <w:lang w:val="en-US"/>
              </w:rPr>
            </w:pPr>
            <w:r w:rsidRPr="007B3988">
              <w:rPr>
                <w:rFonts w:cs="Arial"/>
                <w:sz w:val="20"/>
                <w:szCs w:val="20"/>
              </w:rPr>
              <w:t>PRC</w:t>
            </w:r>
            <w:r w:rsidR="006049CB" w:rsidRPr="007B3988">
              <w:rPr>
                <w:rFonts w:cs="PMingLiU" w:hint="eastAsia"/>
                <w:sz w:val="20"/>
                <w:szCs w:val="20"/>
              </w:rPr>
              <w:t>类别</w:t>
            </w:r>
            <w:r w:rsidR="00F170E5" w:rsidRPr="007B3988">
              <w:rPr>
                <w:rFonts w:cs="PMingLiU"/>
                <w:sz w:val="20"/>
                <w:szCs w:val="20"/>
              </w:rPr>
              <w:t>I</w:t>
            </w:r>
            <w:r w:rsidR="00E21B93" w:rsidRPr="007B3988">
              <w:rPr>
                <w:rFonts w:cs="Arial" w:hint="eastAsia"/>
                <w:sz w:val="20"/>
                <w:szCs w:val="20"/>
              </w:rPr>
              <w:t>美元</w:t>
            </w:r>
            <w:r w:rsidR="002562A1" w:rsidRPr="007B3988">
              <w:rPr>
                <w:rFonts w:cs="Arial" w:hint="eastAsia"/>
                <w:sz w:val="20"/>
                <w:szCs w:val="20"/>
              </w:rPr>
              <w:t>份额</w:t>
            </w:r>
            <w:r w:rsidR="00E21B93" w:rsidRPr="007B3988">
              <w:rPr>
                <w:rFonts w:cs="Arial" w:hint="eastAsia"/>
                <w:sz w:val="20"/>
                <w:szCs w:val="20"/>
              </w:rPr>
              <w:t>：</w:t>
            </w:r>
            <w:r w:rsidR="00F82908" w:rsidRPr="007B3988">
              <w:rPr>
                <w:rFonts w:cs="Arial" w:hint="eastAsia"/>
                <w:sz w:val="20"/>
                <w:szCs w:val="20"/>
              </w:rPr>
              <w:t>估计为</w:t>
            </w:r>
            <w:r w:rsidR="00D12DE4">
              <w:rPr>
                <w:rFonts w:cs="Calibri" w:hint="eastAsia"/>
                <w:sz w:val="20"/>
                <w:szCs w:val="20"/>
              </w:rPr>
              <w:t>0.96</w:t>
            </w:r>
            <w:r w:rsidR="00E21B93" w:rsidRPr="007B3988">
              <w:rPr>
                <w:rFonts w:cs="Arial"/>
                <w:sz w:val="20"/>
                <w:szCs w:val="20"/>
                <w:lang w:val="en-US"/>
              </w:rPr>
              <w:t>%</w:t>
            </w:r>
            <w:r w:rsidR="00F82908" w:rsidRPr="007B3988">
              <w:rPr>
                <w:rFonts w:ascii="Calibri" w:hAnsi="Calibri" w:cs="Arial"/>
                <w:sz w:val="20"/>
                <w:szCs w:val="20"/>
              </w:rPr>
              <w:t>*</w:t>
            </w:r>
          </w:p>
          <w:p w:rsidR="00623EE6" w:rsidRPr="007B3988" w:rsidRDefault="009C1C9A" w:rsidP="00D12DE4">
            <w:pPr>
              <w:pStyle w:val="ssPara1"/>
              <w:spacing w:before="60" w:after="0"/>
              <w:jc w:val="right"/>
              <w:rPr>
                <w:rFonts w:eastAsia="PMingLiU" w:cs="Arial"/>
                <w:sz w:val="20"/>
                <w:szCs w:val="20"/>
                <w:lang w:val="en-US"/>
              </w:rPr>
            </w:pPr>
            <w:r w:rsidRPr="007B3988">
              <w:rPr>
                <w:rFonts w:cs="Arial"/>
                <w:sz w:val="20"/>
                <w:szCs w:val="20"/>
              </w:rPr>
              <w:t>PRC</w:t>
            </w:r>
            <w:r w:rsidR="006049CB" w:rsidRPr="007B3988">
              <w:rPr>
                <w:rFonts w:cs="Arial" w:hint="eastAsia"/>
                <w:sz w:val="20"/>
                <w:szCs w:val="20"/>
              </w:rPr>
              <w:t>类别</w:t>
            </w:r>
            <w:r w:rsidR="00F170E5" w:rsidRPr="007B3988">
              <w:rPr>
                <w:rFonts w:cs="Arial"/>
                <w:sz w:val="20"/>
                <w:szCs w:val="20"/>
              </w:rPr>
              <w:t>I</w:t>
            </w:r>
            <w:r w:rsidR="00E21B93" w:rsidRPr="007B3988">
              <w:rPr>
                <w:rFonts w:cs="PMingLiU" w:hint="eastAsia"/>
                <w:sz w:val="20"/>
                <w:szCs w:val="20"/>
              </w:rPr>
              <w:t>人民币</w:t>
            </w:r>
            <w:r w:rsidR="006049CB" w:rsidRPr="007B3988">
              <w:rPr>
                <w:rFonts w:cs="Arial" w:hint="eastAsia"/>
                <w:sz w:val="20"/>
                <w:szCs w:val="20"/>
              </w:rPr>
              <w:t>份额</w:t>
            </w:r>
            <w:r w:rsidR="00E21B93" w:rsidRPr="007B3988">
              <w:rPr>
                <w:rFonts w:cs="Arial" w:hint="eastAsia"/>
                <w:sz w:val="20"/>
                <w:szCs w:val="20"/>
              </w:rPr>
              <w:t>：</w:t>
            </w:r>
            <w:r w:rsidR="00E21B93" w:rsidRPr="007B3988">
              <w:rPr>
                <w:rFonts w:cs="Arial" w:hint="eastAsia"/>
                <w:sz w:val="20"/>
                <w:szCs w:val="20"/>
                <w:lang w:val="en-US"/>
              </w:rPr>
              <w:t>估计为</w:t>
            </w:r>
            <w:r w:rsidR="00D12DE4">
              <w:rPr>
                <w:rFonts w:cs="Calibri" w:hint="eastAsia"/>
                <w:sz w:val="20"/>
                <w:szCs w:val="20"/>
              </w:rPr>
              <w:t>0.96</w:t>
            </w:r>
            <w:r w:rsidR="00E21B93" w:rsidRPr="007B3988">
              <w:rPr>
                <w:rFonts w:cs="Arial"/>
                <w:sz w:val="20"/>
                <w:szCs w:val="20"/>
                <w:lang w:val="en-US"/>
              </w:rPr>
              <w:t>%</w:t>
            </w:r>
            <w:r w:rsidR="00E21B93" w:rsidRPr="007B3988">
              <w:rPr>
                <w:rFonts w:ascii="Calibri" w:hAnsi="Calibri" w:cs="Arial"/>
                <w:sz w:val="20"/>
                <w:szCs w:val="20"/>
              </w:rPr>
              <w:t>*</w:t>
            </w:r>
          </w:p>
        </w:tc>
      </w:tr>
      <w:tr w:rsidR="00D9370B" w:rsidRPr="007B3988" w:rsidTr="00D67541">
        <w:trPr>
          <w:trHeight w:val="70"/>
        </w:trPr>
        <w:tc>
          <w:tcPr>
            <w:tcW w:w="3227" w:type="dxa"/>
            <w:tcBorders>
              <w:left w:val="single" w:sz="4" w:space="0" w:color="auto"/>
            </w:tcBorders>
            <w:shd w:val="clear" w:color="auto" w:fill="F3F3F3"/>
          </w:tcPr>
          <w:p w:rsidR="00D9370B" w:rsidRPr="007B3988" w:rsidRDefault="00D9370B" w:rsidP="00C6019E">
            <w:pPr>
              <w:pStyle w:val="ssPara1"/>
              <w:adjustRightInd w:val="0"/>
              <w:snapToGrid w:val="0"/>
              <w:spacing w:before="60"/>
              <w:rPr>
                <w:rFonts w:cs="Arial"/>
                <w:b/>
                <w:bCs/>
                <w:sz w:val="20"/>
                <w:szCs w:val="20"/>
                <w:lang w:val="en-US"/>
              </w:rPr>
            </w:pPr>
            <w:r w:rsidRPr="007B3988">
              <w:rPr>
                <w:rFonts w:cs="Arial" w:hint="eastAsia"/>
                <w:b/>
                <w:bCs/>
                <w:sz w:val="20"/>
                <w:szCs w:val="20"/>
              </w:rPr>
              <w:lastRenderedPageBreak/>
              <w:t>交易频率</w:t>
            </w:r>
            <w:r w:rsidRPr="007B3988">
              <w:rPr>
                <w:rFonts w:cs="Arial"/>
                <w:b/>
                <w:bCs/>
                <w:sz w:val="20"/>
                <w:szCs w:val="20"/>
              </w:rPr>
              <w:t>：</w:t>
            </w:r>
          </w:p>
        </w:tc>
        <w:tc>
          <w:tcPr>
            <w:tcW w:w="6602" w:type="dxa"/>
            <w:tcBorders>
              <w:right w:val="single" w:sz="4" w:space="0" w:color="auto"/>
            </w:tcBorders>
            <w:shd w:val="clear" w:color="auto" w:fill="F3F3F3"/>
          </w:tcPr>
          <w:p w:rsidR="00D9370B" w:rsidRPr="007B3988" w:rsidRDefault="00D9370B" w:rsidP="005F21FB">
            <w:pPr>
              <w:pStyle w:val="ssPara1"/>
              <w:spacing w:before="60" w:after="0"/>
              <w:jc w:val="right"/>
              <w:rPr>
                <w:rFonts w:cs="Arial"/>
                <w:sz w:val="20"/>
                <w:szCs w:val="20"/>
              </w:rPr>
            </w:pPr>
            <w:r w:rsidRPr="007B3988">
              <w:rPr>
                <w:rFonts w:cs="Arial" w:hint="eastAsia"/>
                <w:sz w:val="20"/>
                <w:szCs w:val="20"/>
              </w:rPr>
              <w:t>内地销售的每个交易日</w:t>
            </w:r>
          </w:p>
        </w:tc>
      </w:tr>
      <w:tr w:rsidR="000E5102" w:rsidRPr="007B3988" w:rsidTr="00D67541">
        <w:tc>
          <w:tcPr>
            <w:tcW w:w="3227" w:type="dxa"/>
            <w:tcBorders>
              <w:left w:val="single" w:sz="4" w:space="0" w:color="auto"/>
              <w:bottom w:val="single" w:sz="4" w:space="0" w:color="auto"/>
            </w:tcBorders>
            <w:shd w:val="clear" w:color="auto" w:fill="F3F3F3"/>
            <w:vAlign w:val="center"/>
          </w:tcPr>
          <w:p w:rsidR="000E5102" w:rsidRPr="007B3988" w:rsidRDefault="00E21B93" w:rsidP="00C6019E">
            <w:pPr>
              <w:pStyle w:val="ssPara1"/>
              <w:tabs>
                <w:tab w:val="right" w:pos="5060"/>
              </w:tabs>
              <w:adjustRightInd w:val="0"/>
              <w:snapToGrid w:val="0"/>
              <w:jc w:val="left"/>
              <w:rPr>
                <w:rFonts w:eastAsia="PMingLiU" w:cs="Arial"/>
                <w:b/>
                <w:bCs/>
                <w:sz w:val="20"/>
                <w:szCs w:val="20"/>
              </w:rPr>
            </w:pPr>
            <w:r w:rsidRPr="007B3988">
              <w:rPr>
                <w:rFonts w:cs="Arial" w:hint="eastAsia"/>
                <w:b/>
                <w:bCs/>
                <w:sz w:val="20"/>
                <w:szCs w:val="20"/>
              </w:rPr>
              <w:t>基</w:t>
            </w:r>
            <w:r w:rsidR="00AE60A4" w:rsidRPr="007B3988">
              <w:rPr>
                <w:rFonts w:cs="Arial" w:hint="eastAsia"/>
                <w:b/>
                <w:bCs/>
                <w:sz w:val="20"/>
                <w:szCs w:val="20"/>
              </w:rPr>
              <w:t>础</w:t>
            </w:r>
            <w:r w:rsidRPr="007B3988">
              <w:rPr>
                <w:rFonts w:cs="Arial" w:hint="eastAsia"/>
                <w:b/>
                <w:bCs/>
                <w:sz w:val="20"/>
                <w:szCs w:val="20"/>
              </w:rPr>
              <w:t>货币：</w:t>
            </w:r>
          </w:p>
        </w:tc>
        <w:tc>
          <w:tcPr>
            <w:tcW w:w="6602" w:type="dxa"/>
            <w:tcBorders>
              <w:bottom w:val="single" w:sz="4" w:space="0" w:color="auto"/>
              <w:right w:val="single" w:sz="4" w:space="0" w:color="auto"/>
            </w:tcBorders>
            <w:shd w:val="clear" w:color="auto" w:fill="F3F3F3"/>
          </w:tcPr>
          <w:p w:rsidR="00440E81" w:rsidRPr="007B3988" w:rsidRDefault="00E21B93">
            <w:pPr>
              <w:pStyle w:val="ssPara1"/>
              <w:spacing w:before="60" w:after="120"/>
              <w:jc w:val="right"/>
              <w:rPr>
                <w:rFonts w:eastAsia="PMingLiU" w:cs="Arial"/>
                <w:sz w:val="20"/>
                <w:szCs w:val="20"/>
              </w:rPr>
            </w:pPr>
            <w:r w:rsidRPr="007B3988">
              <w:rPr>
                <w:rFonts w:cs="Arial" w:hint="eastAsia"/>
                <w:sz w:val="20"/>
                <w:szCs w:val="20"/>
              </w:rPr>
              <w:t>美元</w:t>
            </w:r>
          </w:p>
        </w:tc>
      </w:tr>
      <w:tr w:rsidR="000E5102" w:rsidRPr="007B3988" w:rsidTr="00C6019E">
        <w:tc>
          <w:tcPr>
            <w:tcW w:w="3227" w:type="dxa"/>
            <w:tcBorders>
              <w:left w:val="single" w:sz="4" w:space="0" w:color="auto"/>
            </w:tcBorders>
            <w:shd w:val="clear" w:color="auto" w:fill="F3F3F3"/>
          </w:tcPr>
          <w:p w:rsidR="000E5102" w:rsidRPr="007B3988" w:rsidRDefault="00530CAB" w:rsidP="00C6019E">
            <w:pPr>
              <w:pStyle w:val="ssPara1"/>
              <w:adjustRightInd w:val="0"/>
              <w:snapToGrid w:val="0"/>
              <w:rPr>
                <w:rFonts w:eastAsia="PMingLiU" w:cs="Arial"/>
                <w:b/>
                <w:bCs/>
                <w:sz w:val="20"/>
                <w:szCs w:val="20"/>
              </w:rPr>
            </w:pPr>
            <w:r w:rsidRPr="007B3988">
              <w:rPr>
                <w:rFonts w:cs="Arial" w:hint="eastAsia"/>
                <w:b/>
                <w:bCs/>
                <w:sz w:val="20"/>
                <w:szCs w:val="20"/>
              </w:rPr>
              <w:t>收益分配</w:t>
            </w:r>
            <w:r w:rsidR="00E21B93" w:rsidRPr="007B3988">
              <w:rPr>
                <w:rFonts w:cs="Arial" w:hint="eastAsia"/>
                <w:b/>
                <w:bCs/>
                <w:sz w:val="20"/>
                <w:szCs w:val="20"/>
              </w:rPr>
              <w:t>政策：</w:t>
            </w:r>
          </w:p>
        </w:tc>
        <w:tc>
          <w:tcPr>
            <w:tcW w:w="6602" w:type="dxa"/>
            <w:tcBorders>
              <w:right w:val="single" w:sz="4" w:space="0" w:color="auto"/>
            </w:tcBorders>
            <w:shd w:val="clear" w:color="auto" w:fill="F3F3F3"/>
          </w:tcPr>
          <w:p w:rsidR="005142B1" w:rsidRPr="007B3988" w:rsidRDefault="009C1C9A" w:rsidP="004B56F8">
            <w:pPr>
              <w:autoSpaceDE w:val="0"/>
              <w:autoSpaceDN w:val="0"/>
              <w:adjustRightInd w:val="0"/>
              <w:jc w:val="right"/>
              <w:rPr>
                <w:rFonts w:eastAsia="PMingLiU" w:cstheme="minorHAnsi"/>
                <w:sz w:val="20"/>
                <w:szCs w:val="20"/>
                <w:lang w:val="en-US"/>
              </w:rPr>
            </w:pPr>
            <w:r w:rsidRPr="007B3988">
              <w:rPr>
                <w:rFonts w:cs="Arial"/>
                <w:sz w:val="20"/>
                <w:szCs w:val="20"/>
              </w:rPr>
              <w:t>PRC</w:t>
            </w:r>
            <w:r w:rsidR="001929B6" w:rsidRPr="007B3988">
              <w:rPr>
                <w:rFonts w:cs="Arial" w:hint="eastAsia"/>
                <w:sz w:val="20"/>
                <w:szCs w:val="20"/>
              </w:rPr>
              <w:t>类别</w:t>
            </w:r>
            <w:r w:rsidR="00F170E5" w:rsidRPr="007B3988">
              <w:rPr>
                <w:rFonts w:cs="Arial" w:hint="eastAsia"/>
                <w:sz w:val="20"/>
                <w:szCs w:val="20"/>
              </w:rPr>
              <w:t>A</w:t>
            </w:r>
            <w:r w:rsidR="00E21B93" w:rsidRPr="007B3988">
              <w:rPr>
                <w:rFonts w:cs="Arial" w:hint="eastAsia"/>
                <w:sz w:val="20"/>
                <w:szCs w:val="20"/>
              </w:rPr>
              <w:t>美元、</w:t>
            </w:r>
            <w:r w:rsidRPr="007B3988">
              <w:rPr>
                <w:rFonts w:cs="Arial" w:hint="eastAsia"/>
                <w:sz w:val="20"/>
                <w:szCs w:val="20"/>
              </w:rPr>
              <w:t>P</w:t>
            </w:r>
            <w:r w:rsidRPr="007B3988">
              <w:rPr>
                <w:rFonts w:cs="Arial"/>
                <w:sz w:val="20"/>
                <w:szCs w:val="20"/>
              </w:rPr>
              <w:t>RC</w:t>
            </w:r>
            <w:r w:rsidR="001929B6" w:rsidRPr="007B3988">
              <w:rPr>
                <w:rFonts w:cs="Arial" w:hint="eastAsia"/>
                <w:sz w:val="20"/>
                <w:szCs w:val="20"/>
              </w:rPr>
              <w:t>类别</w:t>
            </w:r>
            <w:r w:rsidR="00F170E5" w:rsidRPr="007B3988">
              <w:rPr>
                <w:rFonts w:cs="Arial" w:hint="eastAsia"/>
                <w:sz w:val="20"/>
                <w:szCs w:val="20"/>
              </w:rPr>
              <w:t>A</w:t>
            </w:r>
            <w:r w:rsidR="00E21B93" w:rsidRPr="007B3988">
              <w:rPr>
                <w:rFonts w:cs="PMingLiU" w:hint="eastAsia"/>
                <w:sz w:val="20"/>
                <w:szCs w:val="20"/>
              </w:rPr>
              <w:t>人民币</w:t>
            </w:r>
            <w:r w:rsidR="00E21B93" w:rsidRPr="007B3988">
              <w:rPr>
                <w:rFonts w:cs="Arial" w:hint="eastAsia"/>
                <w:sz w:val="20"/>
                <w:szCs w:val="20"/>
              </w:rPr>
              <w:t>、</w:t>
            </w:r>
            <w:r w:rsidRPr="007B3988">
              <w:rPr>
                <w:rFonts w:cs="Arial" w:hint="eastAsia"/>
                <w:sz w:val="20"/>
                <w:szCs w:val="20"/>
              </w:rPr>
              <w:t>P</w:t>
            </w:r>
            <w:r w:rsidRPr="007B3988">
              <w:rPr>
                <w:rFonts w:cs="Arial"/>
                <w:sz w:val="20"/>
                <w:szCs w:val="20"/>
              </w:rPr>
              <w:t>RC</w:t>
            </w:r>
            <w:r w:rsidR="001929B6" w:rsidRPr="007B3988">
              <w:rPr>
                <w:rFonts w:cs="PMingLiU" w:hint="eastAsia"/>
                <w:sz w:val="20"/>
                <w:szCs w:val="20"/>
              </w:rPr>
              <w:t>类别</w:t>
            </w:r>
            <w:r w:rsidR="00F170E5" w:rsidRPr="007B3988">
              <w:rPr>
                <w:rFonts w:cs="Arial" w:hint="eastAsia"/>
                <w:sz w:val="20"/>
                <w:szCs w:val="20"/>
              </w:rPr>
              <w:t>I</w:t>
            </w:r>
            <w:r w:rsidR="00E21B93" w:rsidRPr="007B3988">
              <w:rPr>
                <w:rFonts w:cs="Arial" w:hint="eastAsia"/>
                <w:sz w:val="20"/>
                <w:szCs w:val="20"/>
              </w:rPr>
              <w:t>美元</w:t>
            </w:r>
            <w:r w:rsidR="002562A1" w:rsidRPr="007B3988">
              <w:rPr>
                <w:rFonts w:cs="Arial" w:hint="eastAsia"/>
                <w:sz w:val="20"/>
                <w:szCs w:val="20"/>
              </w:rPr>
              <w:t>及</w:t>
            </w:r>
            <w:r w:rsidRPr="007B3988">
              <w:rPr>
                <w:rFonts w:cs="Arial" w:hint="eastAsia"/>
                <w:sz w:val="20"/>
                <w:szCs w:val="20"/>
              </w:rPr>
              <w:t>P</w:t>
            </w:r>
            <w:r w:rsidRPr="007B3988">
              <w:rPr>
                <w:rFonts w:cs="Arial"/>
                <w:sz w:val="20"/>
                <w:szCs w:val="20"/>
              </w:rPr>
              <w:t>RC</w:t>
            </w:r>
            <w:r w:rsidR="001929B6" w:rsidRPr="007B3988">
              <w:rPr>
                <w:rFonts w:cs="Arial" w:hint="eastAsia"/>
                <w:sz w:val="20"/>
                <w:szCs w:val="20"/>
              </w:rPr>
              <w:t>类别</w:t>
            </w:r>
            <w:r w:rsidR="00F170E5" w:rsidRPr="007B3988">
              <w:rPr>
                <w:rFonts w:cs="Arial" w:hint="eastAsia"/>
                <w:sz w:val="20"/>
                <w:szCs w:val="20"/>
              </w:rPr>
              <w:t>I</w:t>
            </w:r>
            <w:r w:rsidR="00E21B93" w:rsidRPr="007B3988">
              <w:rPr>
                <w:rFonts w:cs="PMingLiU" w:hint="eastAsia"/>
                <w:sz w:val="20"/>
                <w:szCs w:val="20"/>
              </w:rPr>
              <w:t>人民币</w:t>
            </w:r>
            <w:r w:rsidR="00A63DC2" w:rsidRPr="007B3988">
              <w:rPr>
                <w:rFonts w:cs="Arial" w:hint="eastAsia"/>
                <w:sz w:val="20"/>
                <w:szCs w:val="20"/>
                <w:lang w:val="en-US"/>
              </w:rPr>
              <w:t>(</w:t>
            </w:r>
            <w:r w:rsidR="00E21B93" w:rsidRPr="007B3988">
              <w:rPr>
                <w:rFonts w:cs="Arial" w:hint="eastAsia"/>
                <w:sz w:val="20"/>
                <w:szCs w:val="20"/>
                <w:lang w:val="en-US"/>
              </w:rPr>
              <w:t>酌情</w:t>
            </w:r>
            <w:r w:rsidR="00BD1947" w:rsidRPr="007B3988">
              <w:rPr>
                <w:rFonts w:cs="Arial" w:hint="eastAsia"/>
                <w:sz w:val="20"/>
                <w:szCs w:val="20"/>
                <w:lang w:val="en-US"/>
              </w:rPr>
              <w:t>决定</w:t>
            </w:r>
            <w:r w:rsidR="00BD1947" w:rsidRPr="007B3988">
              <w:rPr>
                <w:rFonts w:cs="Arial"/>
                <w:sz w:val="20"/>
                <w:szCs w:val="20"/>
                <w:lang w:val="en-US"/>
              </w:rPr>
              <w:t>收益分配</w:t>
            </w:r>
            <w:r w:rsidR="00E21B93" w:rsidRPr="007B3988">
              <w:rPr>
                <w:rFonts w:cs="Arial" w:hint="eastAsia"/>
                <w:sz w:val="20"/>
                <w:szCs w:val="20"/>
                <w:lang w:val="en-US"/>
              </w:rPr>
              <w:t>，如有</w:t>
            </w:r>
            <w:r w:rsidR="00A63DC2" w:rsidRPr="007B3988">
              <w:rPr>
                <w:rFonts w:cs="Arial"/>
                <w:sz w:val="20"/>
                <w:szCs w:val="20"/>
              </w:rPr>
              <w:t>)</w:t>
            </w:r>
          </w:p>
          <w:p w:rsidR="00A63DC2" w:rsidRPr="007B3988" w:rsidRDefault="00A63DC2" w:rsidP="004B56F8">
            <w:pPr>
              <w:autoSpaceDE w:val="0"/>
              <w:autoSpaceDN w:val="0"/>
              <w:adjustRightInd w:val="0"/>
              <w:jc w:val="right"/>
              <w:rPr>
                <w:rFonts w:eastAsia="PMingLiU" w:cstheme="minorHAnsi"/>
                <w:sz w:val="20"/>
                <w:szCs w:val="20"/>
                <w:lang w:val="en-US"/>
              </w:rPr>
            </w:pPr>
          </w:p>
          <w:p w:rsidR="00194FFA" w:rsidRPr="007B3988" w:rsidRDefault="00E21B93" w:rsidP="005F7DCC">
            <w:pPr>
              <w:pStyle w:val="ssPara1"/>
              <w:spacing w:before="60" w:after="120"/>
              <w:jc w:val="right"/>
              <w:rPr>
                <w:rFonts w:eastAsia="PMingLiU" w:cstheme="minorHAnsi"/>
                <w:sz w:val="20"/>
                <w:szCs w:val="20"/>
              </w:rPr>
            </w:pPr>
            <w:r w:rsidRPr="007B3988">
              <w:rPr>
                <w:rFonts w:cstheme="minorHAnsi" w:hint="eastAsia"/>
                <w:sz w:val="20"/>
                <w:szCs w:val="20"/>
              </w:rPr>
              <w:t>概</w:t>
            </w:r>
            <w:r w:rsidR="00442713" w:rsidRPr="007B3988">
              <w:rPr>
                <w:rFonts w:cstheme="minorHAnsi" w:hint="eastAsia"/>
                <w:sz w:val="20"/>
                <w:szCs w:val="20"/>
              </w:rPr>
              <w:t>不</w:t>
            </w:r>
            <w:r w:rsidRPr="007B3988">
              <w:rPr>
                <w:rFonts w:cstheme="minorHAnsi" w:hint="eastAsia"/>
                <w:sz w:val="20"/>
                <w:szCs w:val="20"/>
              </w:rPr>
              <w:t>保证会定期</w:t>
            </w:r>
            <w:r w:rsidR="00C81146" w:rsidRPr="007B3988">
              <w:rPr>
                <w:rFonts w:cstheme="minorHAnsi" w:hint="eastAsia"/>
                <w:sz w:val="20"/>
                <w:szCs w:val="20"/>
              </w:rPr>
              <w:t>分配收益</w:t>
            </w:r>
            <w:r w:rsidRPr="007B3988">
              <w:rPr>
                <w:rFonts w:cstheme="minorHAnsi" w:hint="eastAsia"/>
                <w:sz w:val="20"/>
                <w:szCs w:val="20"/>
              </w:rPr>
              <w:t>，亦不保证</w:t>
            </w:r>
            <w:r w:rsidR="00FB2864" w:rsidRPr="007B3988">
              <w:rPr>
                <w:rFonts w:cstheme="minorHAnsi" w:hint="eastAsia"/>
                <w:sz w:val="20"/>
                <w:szCs w:val="20"/>
              </w:rPr>
              <w:t>作出</w:t>
            </w:r>
            <w:r w:rsidR="00FB2864" w:rsidRPr="007B3988">
              <w:rPr>
                <w:rFonts w:cstheme="minorHAnsi"/>
                <w:sz w:val="20"/>
                <w:szCs w:val="20"/>
              </w:rPr>
              <w:t>收益分配</w:t>
            </w:r>
            <w:r w:rsidRPr="007B3988">
              <w:rPr>
                <w:rFonts w:cstheme="minorHAnsi" w:hint="eastAsia"/>
                <w:sz w:val="20"/>
                <w:szCs w:val="20"/>
              </w:rPr>
              <w:t>时</w:t>
            </w:r>
            <w:r w:rsidR="00502278" w:rsidRPr="007B3988">
              <w:rPr>
                <w:rFonts w:cstheme="minorHAnsi" w:hint="eastAsia"/>
                <w:sz w:val="20"/>
                <w:szCs w:val="20"/>
              </w:rPr>
              <w:t>收益分配</w:t>
            </w:r>
            <w:r w:rsidRPr="007B3988">
              <w:rPr>
                <w:rFonts w:cstheme="minorHAnsi" w:hint="eastAsia"/>
                <w:sz w:val="20"/>
                <w:szCs w:val="20"/>
              </w:rPr>
              <w:t>的金额。</w:t>
            </w:r>
          </w:p>
          <w:p w:rsidR="000E5102" w:rsidRPr="007B3988" w:rsidRDefault="00907019">
            <w:pPr>
              <w:autoSpaceDE w:val="0"/>
              <w:autoSpaceDN w:val="0"/>
              <w:adjustRightInd w:val="0"/>
              <w:jc w:val="right"/>
              <w:rPr>
                <w:rFonts w:cstheme="minorHAnsi"/>
                <w:sz w:val="20"/>
                <w:szCs w:val="20"/>
              </w:rPr>
            </w:pPr>
            <w:r w:rsidRPr="007B3988">
              <w:rPr>
                <w:rFonts w:cstheme="minorHAnsi" w:hint="eastAsia"/>
                <w:sz w:val="20"/>
                <w:szCs w:val="20"/>
              </w:rPr>
              <w:t>收益分配</w:t>
            </w:r>
            <w:r w:rsidR="00A63DC2" w:rsidRPr="007B3988">
              <w:rPr>
                <w:rFonts w:cstheme="minorHAnsi"/>
                <w:sz w:val="20"/>
                <w:szCs w:val="20"/>
                <w:lang w:val="en-US"/>
              </w:rPr>
              <w:t>(</w:t>
            </w:r>
            <w:r w:rsidR="00E21B93" w:rsidRPr="007B3988">
              <w:rPr>
                <w:rFonts w:cstheme="minorHAnsi" w:hint="eastAsia"/>
                <w:sz w:val="20"/>
                <w:szCs w:val="20"/>
              </w:rPr>
              <w:t>如有</w:t>
            </w:r>
            <w:r w:rsidR="00A63DC2" w:rsidRPr="007B3988">
              <w:rPr>
                <w:rFonts w:cs="Arial"/>
                <w:sz w:val="20"/>
                <w:szCs w:val="20"/>
              </w:rPr>
              <w:t>)</w:t>
            </w:r>
            <w:r w:rsidR="00E21B93" w:rsidRPr="007B3988">
              <w:rPr>
                <w:rFonts w:cstheme="minorHAnsi" w:hint="eastAsia"/>
                <w:sz w:val="20"/>
                <w:szCs w:val="20"/>
              </w:rPr>
              <w:t>可能从资本</w:t>
            </w:r>
            <w:r w:rsidR="007D133D" w:rsidRPr="007B3988">
              <w:rPr>
                <w:rFonts w:cstheme="minorHAnsi" w:hint="eastAsia"/>
                <w:sz w:val="20"/>
                <w:szCs w:val="20"/>
              </w:rPr>
              <w:t>支</w:t>
            </w:r>
            <w:r w:rsidR="009379C7" w:rsidRPr="007B3988">
              <w:rPr>
                <w:rFonts w:cstheme="minorHAnsi" w:hint="eastAsia"/>
                <w:sz w:val="20"/>
                <w:szCs w:val="20"/>
              </w:rPr>
              <w:t>付</w:t>
            </w:r>
            <w:r w:rsidR="00E21B93" w:rsidRPr="007B3988">
              <w:rPr>
                <w:rFonts w:cstheme="minorHAnsi" w:hint="eastAsia"/>
                <w:sz w:val="20"/>
                <w:szCs w:val="20"/>
              </w:rPr>
              <w:t>或</w:t>
            </w:r>
            <w:r w:rsidR="009379C7" w:rsidRPr="007B3988">
              <w:rPr>
                <w:rFonts w:cstheme="minorHAnsi" w:hint="eastAsia"/>
                <w:sz w:val="20"/>
                <w:szCs w:val="20"/>
              </w:rPr>
              <w:t>实质</w:t>
            </w:r>
            <w:r w:rsidR="00E21B93" w:rsidRPr="007B3988">
              <w:rPr>
                <w:rFonts w:cstheme="minorHAnsi" w:hint="eastAsia"/>
                <w:sz w:val="20"/>
                <w:szCs w:val="20"/>
              </w:rPr>
              <w:t>上从资本</w:t>
            </w:r>
            <w:r w:rsidR="007D133D" w:rsidRPr="007B3988">
              <w:rPr>
                <w:rFonts w:cstheme="minorHAnsi" w:hint="eastAsia"/>
                <w:sz w:val="20"/>
                <w:szCs w:val="20"/>
              </w:rPr>
              <w:t>支</w:t>
            </w:r>
            <w:r w:rsidR="00E21B93" w:rsidRPr="007B3988">
              <w:rPr>
                <w:rFonts w:cstheme="minorHAnsi" w:hint="eastAsia"/>
                <w:sz w:val="20"/>
                <w:szCs w:val="20"/>
              </w:rPr>
              <w:t>付</w:t>
            </w:r>
            <w:r w:rsidR="00A63DC2" w:rsidRPr="007B3988">
              <w:rPr>
                <w:rFonts w:cstheme="minorHAnsi" w:hint="eastAsia"/>
                <w:sz w:val="20"/>
                <w:szCs w:val="20"/>
              </w:rPr>
              <w:t>。</w:t>
            </w:r>
          </w:p>
          <w:p w:rsidR="00C17412" w:rsidRPr="007B3988" w:rsidRDefault="00C17412">
            <w:pPr>
              <w:autoSpaceDE w:val="0"/>
              <w:autoSpaceDN w:val="0"/>
              <w:adjustRightInd w:val="0"/>
              <w:jc w:val="right"/>
              <w:rPr>
                <w:rFonts w:eastAsia="PMingLiU" w:cs="Arial"/>
                <w:sz w:val="20"/>
                <w:szCs w:val="20"/>
                <w:lang w:val="en-US"/>
              </w:rPr>
            </w:pPr>
          </w:p>
        </w:tc>
      </w:tr>
      <w:tr w:rsidR="00440E81" w:rsidRPr="007B3988" w:rsidTr="00915880">
        <w:trPr>
          <w:trHeight w:val="529"/>
        </w:trPr>
        <w:tc>
          <w:tcPr>
            <w:tcW w:w="3227" w:type="dxa"/>
            <w:tcBorders>
              <w:left w:val="single" w:sz="4" w:space="0" w:color="auto"/>
            </w:tcBorders>
            <w:shd w:val="clear" w:color="auto" w:fill="F3F3F3"/>
          </w:tcPr>
          <w:p w:rsidR="007F1C9F" w:rsidRPr="007B3988" w:rsidRDefault="007F1C9F" w:rsidP="00C6019E">
            <w:pPr>
              <w:pStyle w:val="ssPara1"/>
              <w:tabs>
                <w:tab w:val="right" w:pos="5060"/>
              </w:tabs>
              <w:adjustRightInd w:val="0"/>
              <w:snapToGrid w:val="0"/>
              <w:spacing w:before="60"/>
              <w:rPr>
                <w:rFonts w:cs="Arial"/>
                <w:b/>
                <w:bCs/>
                <w:sz w:val="20"/>
                <w:szCs w:val="20"/>
              </w:rPr>
            </w:pPr>
          </w:p>
          <w:p w:rsidR="00440E81" w:rsidRPr="007B3988" w:rsidRDefault="00440E81" w:rsidP="00C6019E">
            <w:pPr>
              <w:pStyle w:val="ssPara1"/>
              <w:tabs>
                <w:tab w:val="right" w:pos="5060"/>
              </w:tabs>
              <w:adjustRightInd w:val="0"/>
              <w:snapToGrid w:val="0"/>
              <w:spacing w:before="60"/>
              <w:rPr>
                <w:rFonts w:eastAsiaTheme="minorEastAsia" w:cs="Arial"/>
                <w:sz w:val="20"/>
                <w:szCs w:val="20"/>
              </w:rPr>
            </w:pPr>
            <w:r w:rsidRPr="007B3988">
              <w:rPr>
                <w:rFonts w:cs="Arial" w:hint="eastAsia"/>
                <w:b/>
                <w:bCs/>
                <w:sz w:val="20"/>
                <w:szCs w:val="20"/>
              </w:rPr>
              <w:t>本基金的财政年度终结日：</w:t>
            </w:r>
            <w:r w:rsidRPr="007B3988">
              <w:rPr>
                <w:rFonts w:eastAsia="PMingLiU" w:cs="Arial"/>
                <w:b/>
                <w:bCs/>
                <w:sz w:val="20"/>
                <w:szCs w:val="20"/>
              </w:rPr>
              <w:tab/>
            </w:r>
          </w:p>
        </w:tc>
        <w:tc>
          <w:tcPr>
            <w:tcW w:w="6602" w:type="dxa"/>
            <w:tcBorders>
              <w:left w:val="nil"/>
              <w:right w:val="single" w:sz="4" w:space="0" w:color="auto"/>
            </w:tcBorders>
            <w:shd w:val="clear" w:color="auto" w:fill="F3F3F3"/>
          </w:tcPr>
          <w:p w:rsidR="0028158A" w:rsidRPr="007B3988" w:rsidRDefault="00440E81" w:rsidP="0028158A">
            <w:pPr>
              <w:pStyle w:val="ssPara1"/>
              <w:spacing w:before="60" w:after="120"/>
              <w:jc w:val="right"/>
              <w:rPr>
                <w:rFonts w:cs="Arial"/>
                <w:sz w:val="20"/>
                <w:szCs w:val="20"/>
              </w:rPr>
            </w:pPr>
            <w:r w:rsidRPr="007B3988">
              <w:rPr>
                <w:rFonts w:cs="Arial"/>
                <w:sz w:val="20"/>
                <w:szCs w:val="20"/>
              </w:rPr>
              <w:t>12</w:t>
            </w:r>
            <w:r w:rsidRPr="007B3988">
              <w:rPr>
                <w:rFonts w:cs="Arial" w:hint="eastAsia"/>
                <w:sz w:val="20"/>
                <w:szCs w:val="20"/>
              </w:rPr>
              <w:t>月</w:t>
            </w:r>
            <w:r w:rsidRPr="007B3988">
              <w:rPr>
                <w:rFonts w:cs="Arial"/>
                <w:sz w:val="20"/>
                <w:szCs w:val="20"/>
              </w:rPr>
              <w:t>31</w:t>
            </w:r>
            <w:r w:rsidRPr="007B3988">
              <w:rPr>
                <w:rFonts w:cs="Arial" w:hint="eastAsia"/>
                <w:sz w:val="20"/>
                <w:szCs w:val="20"/>
              </w:rPr>
              <w:t>日</w:t>
            </w:r>
          </w:p>
        </w:tc>
      </w:tr>
      <w:tr w:rsidR="00440E81" w:rsidRPr="007B3988" w:rsidTr="00915880">
        <w:trPr>
          <w:trHeight w:val="1327"/>
        </w:trPr>
        <w:tc>
          <w:tcPr>
            <w:tcW w:w="9829" w:type="dxa"/>
            <w:gridSpan w:val="2"/>
            <w:tcBorders>
              <w:left w:val="single" w:sz="4" w:space="0" w:color="auto"/>
              <w:right w:val="single" w:sz="4" w:space="0" w:color="auto"/>
            </w:tcBorders>
            <w:shd w:val="clear" w:color="auto" w:fill="F3F3F3"/>
          </w:tcPr>
          <w:p w:rsidR="007F1C9F" w:rsidRPr="007B3988" w:rsidRDefault="0028158A" w:rsidP="00C6019E">
            <w:pPr>
              <w:pStyle w:val="ssPara1"/>
              <w:adjustRightInd w:val="0"/>
              <w:snapToGrid w:val="0"/>
              <w:spacing w:before="60"/>
              <w:jc w:val="left"/>
              <w:rPr>
                <w:rFonts w:cs="Arial"/>
                <w:b/>
                <w:bCs/>
                <w:sz w:val="20"/>
                <w:szCs w:val="20"/>
              </w:rPr>
            </w:pPr>
            <w:r w:rsidRPr="007B3988">
              <w:rPr>
                <w:rFonts w:cs="Arial" w:hint="eastAsia"/>
                <w:b/>
                <w:bCs/>
                <w:sz w:val="20"/>
                <w:szCs w:val="20"/>
              </w:rPr>
              <w:t>申购限额、赎回限额及最低持有量限制：</w:t>
            </w:r>
          </w:p>
        </w:tc>
      </w:tr>
      <w:tr w:rsidR="007F1C9F" w:rsidRPr="007B3988" w:rsidTr="00915880">
        <w:trPr>
          <w:trHeight w:val="2346"/>
        </w:trPr>
        <w:tc>
          <w:tcPr>
            <w:tcW w:w="9829" w:type="dxa"/>
            <w:gridSpan w:val="2"/>
            <w:tcBorders>
              <w:left w:val="single" w:sz="4" w:space="0" w:color="auto"/>
              <w:bottom w:val="single" w:sz="4" w:space="0" w:color="auto"/>
              <w:right w:val="single" w:sz="4" w:space="0" w:color="auto"/>
            </w:tcBorders>
            <w:shd w:val="clear" w:color="auto" w:fill="F3F3F3"/>
          </w:tcPr>
          <w:p w:rsidR="007F1C9F" w:rsidRPr="007B3988" w:rsidRDefault="007F1C9F" w:rsidP="005D36F7">
            <w:pPr>
              <w:pStyle w:val="ssPara1"/>
              <w:adjustRightInd w:val="0"/>
              <w:snapToGrid w:val="0"/>
              <w:spacing w:before="60"/>
              <w:jc w:val="left"/>
              <w:rPr>
                <w:rFonts w:eastAsiaTheme="minorEastAsia" w:cs="Arial"/>
                <w:sz w:val="20"/>
                <w:szCs w:val="20"/>
              </w:rPr>
            </w:pPr>
            <w:r w:rsidRPr="007B3988">
              <w:rPr>
                <w:rFonts w:eastAsiaTheme="minorEastAsia" w:cs="Arial" w:hint="eastAsia"/>
                <w:sz w:val="20"/>
                <w:szCs w:val="20"/>
              </w:rPr>
              <w:t>就内地投资者而言，本基金在内地销售的</w:t>
            </w:r>
            <w:r w:rsidRPr="007B3988">
              <w:rPr>
                <w:rFonts w:eastAsiaTheme="minorEastAsia" w:cs="Arial" w:hint="eastAsia"/>
                <w:sz w:val="20"/>
                <w:szCs w:val="20"/>
              </w:rPr>
              <w:t>P</w:t>
            </w:r>
            <w:r w:rsidRPr="007B3988">
              <w:rPr>
                <w:rFonts w:eastAsiaTheme="minorEastAsia" w:cs="Arial"/>
                <w:sz w:val="20"/>
                <w:szCs w:val="20"/>
              </w:rPr>
              <w:t>RC</w:t>
            </w:r>
            <w:r w:rsidRPr="007B3988">
              <w:rPr>
                <w:rFonts w:eastAsiaTheme="minorEastAsia" w:cs="Arial" w:hint="eastAsia"/>
                <w:sz w:val="20"/>
                <w:szCs w:val="20"/>
              </w:rPr>
              <w:t>类别</w:t>
            </w:r>
            <w:r w:rsidRPr="007B3988">
              <w:rPr>
                <w:rFonts w:eastAsiaTheme="minorEastAsia" w:cs="Arial" w:hint="eastAsia"/>
                <w:sz w:val="20"/>
                <w:szCs w:val="20"/>
              </w:rPr>
              <w:t>A</w:t>
            </w:r>
            <w:r w:rsidRPr="007B3988">
              <w:rPr>
                <w:rFonts w:eastAsiaTheme="minorEastAsia" w:cs="Arial" w:hint="eastAsia"/>
                <w:sz w:val="20"/>
                <w:szCs w:val="20"/>
              </w:rPr>
              <w:t>人民币、</w:t>
            </w:r>
            <w:r w:rsidRPr="007B3988">
              <w:rPr>
                <w:rFonts w:eastAsiaTheme="minorEastAsia" w:cs="Arial" w:hint="eastAsia"/>
                <w:sz w:val="20"/>
                <w:szCs w:val="20"/>
              </w:rPr>
              <w:t>P</w:t>
            </w:r>
            <w:r w:rsidRPr="007B3988">
              <w:rPr>
                <w:rFonts w:eastAsiaTheme="minorEastAsia" w:cs="Arial"/>
                <w:sz w:val="20"/>
                <w:szCs w:val="20"/>
              </w:rPr>
              <w:t>RC</w:t>
            </w:r>
            <w:r w:rsidRPr="007B3988">
              <w:rPr>
                <w:rFonts w:eastAsiaTheme="minorEastAsia" w:cs="Arial" w:hint="eastAsia"/>
                <w:sz w:val="20"/>
                <w:szCs w:val="20"/>
              </w:rPr>
              <w:t>类别</w:t>
            </w:r>
            <w:r w:rsidRPr="007B3988">
              <w:rPr>
                <w:rFonts w:eastAsiaTheme="minorEastAsia" w:cs="Arial" w:hint="eastAsia"/>
                <w:sz w:val="20"/>
                <w:szCs w:val="20"/>
              </w:rPr>
              <w:t>A</w:t>
            </w:r>
            <w:r w:rsidRPr="007B3988">
              <w:rPr>
                <w:rFonts w:eastAsiaTheme="minorEastAsia" w:cs="Arial" w:hint="eastAsia"/>
                <w:sz w:val="20"/>
                <w:szCs w:val="20"/>
              </w:rPr>
              <w:t>美元、</w:t>
            </w:r>
            <w:r w:rsidRPr="007B3988">
              <w:rPr>
                <w:rFonts w:eastAsiaTheme="minorEastAsia" w:cs="Arial" w:hint="eastAsia"/>
                <w:sz w:val="20"/>
                <w:szCs w:val="20"/>
              </w:rPr>
              <w:t>P</w:t>
            </w:r>
            <w:r w:rsidRPr="007B3988">
              <w:rPr>
                <w:rFonts w:eastAsiaTheme="minorEastAsia" w:cs="Arial"/>
                <w:sz w:val="20"/>
                <w:szCs w:val="20"/>
              </w:rPr>
              <w:t>RC</w:t>
            </w:r>
            <w:r w:rsidRPr="007B3988">
              <w:rPr>
                <w:rFonts w:eastAsiaTheme="minorEastAsia" w:cs="Arial" w:hint="eastAsia"/>
                <w:sz w:val="20"/>
                <w:szCs w:val="20"/>
              </w:rPr>
              <w:t>类别</w:t>
            </w:r>
            <w:r w:rsidRPr="007B3988">
              <w:rPr>
                <w:rFonts w:eastAsiaTheme="minorEastAsia" w:cs="Arial" w:hint="eastAsia"/>
                <w:sz w:val="20"/>
                <w:szCs w:val="20"/>
              </w:rPr>
              <w:t>I</w:t>
            </w:r>
            <w:r w:rsidRPr="007B3988">
              <w:rPr>
                <w:rFonts w:eastAsiaTheme="minorEastAsia" w:cs="Arial" w:hint="eastAsia"/>
                <w:sz w:val="20"/>
                <w:szCs w:val="20"/>
              </w:rPr>
              <w:t>人民币及</w:t>
            </w:r>
            <w:r w:rsidRPr="007B3988">
              <w:rPr>
                <w:rFonts w:eastAsiaTheme="minorEastAsia" w:cs="Arial" w:hint="eastAsia"/>
                <w:sz w:val="20"/>
                <w:szCs w:val="20"/>
              </w:rPr>
              <w:t>P</w:t>
            </w:r>
            <w:r w:rsidRPr="007B3988">
              <w:rPr>
                <w:rFonts w:eastAsiaTheme="minorEastAsia" w:cs="Arial"/>
                <w:sz w:val="20"/>
                <w:szCs w:val="20"/>
              </w:rPr>
              <w:t>RC</w:t>
            </w:r>
            <w:r w:rsidRPr="007B3988">
              <w:rPr>
                <w:rFonts w:eastAsiaTheme="minorEastAsia" w:cs="Arial" w:hint="eastAsia"/>
                <w:sz w:val="20"/>
                <w:szCs w:val="20"/>
              </w:rPr>
              <w:t>类别</w:t>
            </w:r>
            <w:r w:rsidRPr="007B3988">
              <w:rPr>
                <w:rFonts w:eastAsiaTheme="minorEastAsia" w:cs="Arial" w:hint="eastAsia"/>
                <w:sz w:val="20"/>
                <w:szCs w:val="20"/>
              </w:rPr>
              <w:t>I</w:t>
            </w:r>
            <w:r w:rsidRPr="007B3988">
              <w:rPr>
                <w:rFonts w:eastAsiaTheme="minorEastAsia" w:cs="Arial" w:hint="eastAsia"/>
                <w:sz w:val="20"/>
                <w:szCs w:val="20"/>
              </w:rPr>
              <w:t>美元的最低申购金额、</w:t>
            </w:r>
            <w:r w:rsidRPr="007B3988">
              <w:rPr>
                <w:rFonts w:cs="Arial" w:hint="eastAsia"/>
                <w:sz w:val="20"/>
                <w:szCs w:val="20"/>
              </w:rPr>
              <w:t>最低赎回要求及最低持有量要求</w:t>
            </w:r>
            <w:r w:rsidRPr="007B3988">
              <w:rPr>
                <w:rFonts w:eastAsiaTheme="minorEastAsia" w:cs="Arial" w:hint="eastAsia"/>
                <w:sz w:val="20"/>
                <w:szCs w:val="20"/>
              </w:rPr>
              <w:t>如下：</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843"/>
              <w:gridCol w:w="1984"/>
              <w:gridCol w:w="1701"/>
              <w:gridCol w:w="2127"/>
            </w:tblGrid>
            <w:tr w:rsidR="007F1C9F" w:rsidRPr="007B3988" w:rsidTr="005D36F7">
              <w:tc>
                <w:tcPr>
                  <w:tcW w:w="1838" w:type="dxa"/>
                </w:tcPr>
                <w:p w:rsidR="007F1C9F" w:rsidRPr="007B3988" w:rsidRDefault="007F1C9F" w:rsidP="005D36F7">
                  <w:pPr>
                    <w:adjustRightInd w:val="0"/>
                    <w:snapToGrid w:val="0"/>
                    <w:spacing w:line="317" w:lineRule="auto"/>
                    <w:rPr>
                      <w:rFonts w:eastAsiaTheme="minorEastAsia" w:cs="Arial"/>
                      <w:b/>
                      <w:snapToGrid w:val="0"/>
                      <w:sz w:val="20"/>
                      <w:szCs w:val="20"/>
                    </w:rPr>
                  </w:pPr>
                </w:p>
              </w:tc>
              <w:tc>
                <w:tcPr>
                  <w:tcW w:w="1843" w:type="dxa"/>
                </w:tcPr>
                <w:p w:rsidR="007F1C9F" w:rsidRPr="007B3988" w:rsidRDefault="007F1C9F" w:rsidP="005D36F7">
                  <w:pPr>
                    <w:adjustRightInd w:val="0"/>
                    <w:snapToGrid w:val="0"/>
                    <w:spacing w:line="317" w:lineRule="auto"/>
                    <w:rPr>
                      <w:rFonts w:eastAsiaTheme="minorEastAsia" w:cs="Arial"/>
                      <w:b/>
                      <w:snapToGrid w:val="0"/>
                      <w:sz w:val="20"/>
                      <w:szCs w:val="20"/>
                    </w:rPr>
                  </w:pPr>
                  <w:r w:rsidRPr="007B3988">
                    <w:rPr>
                      <w:rFonts w:eastAsiaTheme="minorEastAsia" w:cs="Arial"/>
                      <w:b/>
                      <w:sz w:val="20"/>
                      <w:szCs w:val="20"/>
                    </w:rPr>
                    <w:t>PRC</w:t>
                  </w:r>
                  <w:r w:rsidRPr="007B3988">
                    <w:rPr>
                      <w:rFonts w:eastAsiaTheme="minorEastAsia" w:cs="Arial" w:hint="eastAsia"/>
                      <w:b/>
                      <w:snapToGrid w:val="0"/>
                      <w:sz w:val="20"/>
                      <w:szCs w:val="20"/>
                    </w:rPr>
                    <w:t>类别</w:t>
                  </w:r>
                  <w:r w:rsidRPr="007B3988">
                    <w:rPr>
                      <w:rFonts w:eastAsiaTheme="minorEastAsia" w:cs="Arial"/>
                      <w:b/>
                      <w:snapToGrid w:val="0"/>
                      <w:sz w:val="20"/>
                      <w:szCs w:val="20"/>
                    </w:rPr>
                    <w:t>A</w:t>
                  </w:r>
                  <w:r w:rsidRPr="007B3988">
                    <w:rPr>
                      <w:rFonts w:eastAsiaTheme="minorEastAsia" w:cs="Arial" w:hint="eastAsia"/>
                      <w:b/>
                      <w:snapToGrid w:val="0"/>
                      <w:sz w:val="20"/>
                      <w:szCs w:val="20"/>
                    </w:rPr>
                    <w:t>美元</w:t>
                  </w:r>
                </w:p>
              </w:tc>
              <w:tc>
                <w:tcPr>
                  <w:tcW w:w="1984" w:type="dxa"/>
                </w:tcPr>
                <w:p w:rsidR="007F1C9F" w:rsidRPr="007B3988" w:rsidRDefault="007F1C9F" w:rsidP="005D36F7">
                  <w:pPr>
                    <w:adjustRightInd w:val="0"/>
                    <w:snapToGrid w:val="0"/>
                    <w:spacing w:line="317" w:lineRule="auto"/>
                    <w:rPr>
                      <w:rFonts w:eastAsiaTheme="minorEastAsia" w:cs="Arial"/>
                      <w:b/>
                      <w:snapToGrid w:val="0"/>
                      <w:sz w:val="20"/>
                      <w:szCs w:val="20"/>
                    </w:rPr>
                  </w:pPr>
                  <w:r w:rsidRPr="007B3988">
                    <w:rPr>
                      <w:rFonts w:eastAsiaTheme="minorEastAsia" w:cs="Arial"/>
                      <w:b/>
                      <w:sz w:val="20"/>
                      <w:szCs w:val="20"/>
                    </w:rPr>
                    <w:t>PRC</w:t>
                  </w:r>
                  <w:r w:rsidRPr="007B3988">
                    <w:rPr>
                      <w:rFonts w:eastAsiaTheme="minorEastAsia" w:cs="Arial" w:hint="eastAsia"/>
                      <w:b/>
                      <w:snapToGrid w:val="0"/>
                      <w:sz w:val="20"/>
                      <w:szCs w:val="20"/>
                    </w:rPr>
                    <w:t>类别</w:t>
                  </w:r>
                  <w:r w:rsidRPr="007B3988">
                    <w:rPr>
                      <w:rFonts w:eastAsiaTheme="minorEastAsia" w:cs="Arial"/>
                      <w:b/>
                      <w:snapToGrid w:val="0"/>
                      <w:sz w:val="20"/>
                      <w:szCs w:val="20"/>
                    </w:rPr>
                    <w:t>A</w:t>
                  </w:r>
                  <w:r w:rsidRPr="007B3988">
                    <w:rPr>
                      <w:rFonts w:eastAsiaTheme="minorEastAsia" w:cs="Arial" w:hint="eastAsia"/>
                      <w:b/>
                      <w:snapToGrid w:val="0"/>
                      <w:sz w:val="20"/>
                      <w:szCs w:val="20"/>
                    </w:rPr>
                    <w:t>人民币</w:t>
                  </w:r>
                </w:p>
              </w:tc>
              <w:tc>
                <w:tcPr>
                  <w:tcW w:w="1701" w:type="dxa"/>
                </w:tcPr>
                <w:p w:rsidR="007F1C9F" w:rsidRPr="007B3988" w:rsidRDefault="007F1C9F" w:rsidP="005D36F7">
                  <w:pPr>
                    <w:adjustRightInd w:val="0"/>
                    <w:snapToGrid w:val="0"/>
                    <w:spacing w:line="317" w:lineRule="auto"/>
                    <w:rPr>
                      <w:rFonts w:eastAsiaTheme="minorEastAsia" w:cs="Arial"/>
                      <w:b/>
                      <w:snapToGrid w:val="0"/>
                      <w:sz w:val="20"/>
                      <w:szCs w:val="20"/>
                    </w:rPr>
                  </w:pPr>
                  <w:r w:rsidRPr="007B3988">
                    <w:rPr>
                      <w:rFonts w:eastAsiaTheme="minorEastAsia" w:cs="Arial"/>
                      <w:b/>
                      <w:sz w:val="20"/>
                      <w:szCs w:val="20"/>
                    </w:rPr>
                    <w:t>PRC</w:t>
                  </w:r>
                  <w:r w:rsidRPr="007B3988">
                    <w:rPr>
                      <w:rFonts w:eastAsiaTheme="minorEastAsia" w:cs="Arial" w:hint="eastAsia"/>
                      <w:b/>
                      <w:snapToGrid w:val="0"/>
                      <w:sz w:val="20"/>
                      <w:szCs w:val="20"/>
                    </w:rPr>
                    <w:t>类别</w:t>
                  </w:r>
                  <w:r w:rsidRPr="007B3988">
                    <w:rPr>
                      <w:rFonts w:eastAsiaTheme="minorEastAsia" w:cs="Arial"/>
                      <w:b/>
                      <w:snapToGrid w:val="0"/>
                      <w:sz w:val="20"/>
                      <w:szCs w:val="20"/>
                    </w:rPr>
                    <w:t>I</w:t>
                  </w:r>
                  <w:r w:rsidRPr="007B3988">
                    <w:rPr>
                      <w:rFonts w:eastAsiaTheme="minorEastAsia" w:cs="Arial" w:hint="eastAsia"/>
                      <w:b/>
                      <w:snapToGrid w:val="0"/>
                      <w:sz w:val="20"/>
                      <w:szCs w:val="20"/>
                    </w:rPr>
                    <w:t>美元</w:t>
                  </w:r>
                </w:p>
              </w:tc>
              <w:tc>
                <w:tcPr>
                  <w:tcW w:w="2127" w:type="dxa"/>
                </w:tcPr>
                <w:p w:rsidR="007F1C9F" w:rsidRPr="007B3988" w:rsidRDefault="007F1C9F" w:rsidP="005D36F7">
                  <w:pPr>
                    <w:adjustRightInd w:val="0"/>
                    <w:snapToGrid w:val="0"/>
                    <w:spacing w:line="317" w:lineRule="auto"/>
                    <w:rPr>
                      <w:rFonts w:eastAsiaTheme="minorEastAsia" w:cs="Arial"/>
                      <w:b/>
                      <w:snapToGrid w:val="0"/>
                      <w:sz w:val="20"/>
                      <w:szCs w:val="20"/>
                    </w:rPr>
                  </w:pPr>
                  <w:r w:rsidRPr="007B3988">
                    <w:rPr>
                      <w:rFonts w:eastAsiaTheme="minorEastAsia" w:cs="Arial"/>
                      <w:b/>
                      <w:sz w:val="20"/>
                      <w:szCs w:val="20"/>
                    </w:rPr>
                    <w:t>PRC</w:t>
                  </w:r>
                  <w:r w:rsidRPr="007B3988">
                    <w:rPr>
                      <w:rFonts w:eastAsiaTheme="minorEastAsia" w:cs="Arial" w:hint="eastAsia"/>
                      <w:b/>
                      <w:snapToGrid w:val="0"/>
                      <w:sz w:val="20"/>
                      <w:szCs w:val="20"/>
                    </w:rPr>
                    <w:t>类别</w:t>
                  </w:r>
                  <w:r w:rsidRPr="007B3988">
                    <w:rPr>
                      <w:rFonts w:eastAsiaTheme="minorEastAsia" w:cs="Arial"/>
                      <w:b/>
                      <w:snapToGrid w:val="0"/>
                      <w:sz w:val="20"/>
                      <w:szCs w:val="20"/>
                    </w:rPr>
                    <w:t>I</w:t>
                  </w:r>
                  <w:r w:rsidRPr="007B3988">
                    <w:rPr>
                      <w:rFonts w:eastAsiaTheme="minorEastAsia" w:cs="Arial" w:hint="eastAsia"/>
                      <w:b/>
                      <w:snapToGrid w:val="0"/>
                      <w:sz w:val="20"/>
                      <w:szCs w:val="20"/>
                    </w:rPr>
                    <w:t>人民币</w:t>
                  </w:r>
                </w:p>
              </w:tc>
            </w:tr>
            <w:tr w:rsidR="007F1C9F" w:rsidRPr="007B3988" w:rsidTr="005D36F7">
              <w:tc>
                <w:tcPr>
                  <w:tcW w:w="1838" w:type="dxa"/>
                </w:tcPr>
                <w:p w:rsidR="007F1C9F" w:rsidRPr="007B3988" w:rsidRDefault="007F1C9F" w:rsidP="005D36F7">
                  <w:pPr>
                    <w:adjustRightInd w:val="0"/>
                    <w:snapToGrid w:val="0"/>
                    <w:spacing w:line="317" w:lineRule="auto"/>
                    <w:rPr>
                      <w:rFonts w:eastAsiaTheme="minorEastAsia" w:cs="Arial"/>
                      <w:b/>
                      <w:snapToGrid w:val="0"/>
                      <w:sz w:val="20"/>
                      <w:szCs w:val="20"/>
                    </w:rPr>
                  </w:pPr>
                  <w:r w:rsidRPr="007B3988">
                    <w:rPr>
                      <w:rFonts w:eastAsiaTheme="minorEastAsia" w:cs="Arial" w:hint="eastAsia"/>
                      <w:b/>
                      <w:snapToGrid w:val="0"/>
                      <w:sz w:val="20"/>
                      <w:szCs w:val="20"/>
                    </w:rPr>
                    <w:t>最低首次申购金额</w:t>
                  </w:r>
                </w:p>
              </w:tc>
              <w:tc>
                <w:tcPr>
                  <w:tcW w:w="1843" w:type="dxa"/>
                </w:tcPr>
                <w:p w:rsidR="007F1C9F" w:rsidRPr="007B3988" w:rsidRDefault="007F1C9F" w:rsidP="005D36F7">
                  <w:pPr>
                    <w:adjustRightInd w:val="0"/>
                    <w:snapToGrid w:val="0"/>
                    <w:spacing w:line="317" w:lineRule="auto"/>
                    <w:rPr>
                      <w:rFonts w:eastAsiaTheme="minorEastAsia" w:cs="Arial"/>
                      <w:snapToGrid w:val="0"/>
                      <w:sz w:val="20"/>
                      <w:szCs w:val="20"/>
                    </w:rPr>
                  </w:pPr>
                  <w:r w:rsidRPr="007B3988">
                    <w:rPr>
                      <w:rFonts w:eastAsiaTheme="minorEastAsia" w:cs="Arial"/>
                      <w:snapToGrid w:val="0"/>
                      <w:sz w:val="20"/>
                      <w:szCs w:val="20"/>
                    </w:rPr>
                    <w:t>10</w:t>
                  </w:r>
                  <w:r w:rsidRPr="007B3988">
                    <w:rPr>
                      <w:rFonts w:eastAsiaTheme="minorEastAsia" w:cs="Arial"/>
                      <w:snapToGrid w:val="0"/>
                      <w:sz w:val="20"/>
                      <w:szCs w:val="20"/>
                    </w:rPr>
                    <w:t>美元</w:t>
                  </w:r>
                </w:p>
              </w:tc>
              <w:tc>
                <w:tcPr>
                  <w:tcW w:w="1984" w:type="dxa"/>
                </w:tcPr>
                <w:p w:rsidR="007F1C9F" w:rsidRPr="007B3988" w:rsidRDefault="007F1C9F" w:rsidP="005D36F7">
                  <w:pPr>
                    <w:adjustRightInd w:val="0"/>
                    <w:snapToGrid w:val="0"/>
                    <w:spacing w:line="317" w:lineRule="auto"/>
                    <w:rPr>
                      <w:rFonts w:eastAsiaTheme="minorEastAsia" w:cs="Arial"/>
                      <w:snapToGrid w:val="0"/>
                      <w:sz w:val="20"/>
                      <w:szCs w:val="20"/>
                    </w:rPr>
                  </w:pPr>
                  <w:r w:rsidRPr="007B3988">
                    <w:rPr>
                      <w:rFonts w:cs="Arial"/>
                      <w:sz w:val="20"/>
                      <w:szCs w:val="20"/>
                      <w:lang w:eastAsia="zh-TW"/>
                    </w:rPr>
                    <w:t>人民币</w:t>
                  </w:r>
                  <w:r w:rsidRPr="007B3988">
                    <w:rPr>
                      <w:rFonts w:cs="Arial"/>
                      <w:sz w:val="20"/>
                      <w:szCs w:val="20"/>
                      <w:lang w:eastAsia="zh-TW"/>
                    </w:rPr>
                    <w:t>10</w:t>
                  </w:r>
                  <w:r w:rsidRPr="007B3988">
                    <w:rPr>
                      <w:rFonts w:cs="Arial"/>
                      <w:sz w:val="20"/>
                      <w:szCs w:val="20"/>
                      <w:lang w:eastAsia="zh-TW"/>
                    </w:rPr>
                    <w:t>元</w:t>
                  </w:r>
                </w:p>
              </w:tc>
              <w:tc>
                <w:tcPr>
                  <w:tcW w:w="1701" w:type="dxa"/>
                </w:tcPr>
                <w:p w:rsidR="007F1C9F" w:rsidRPr="007B3988" w:rsidRDefault="007F1C9F" w:rsidP="005D36F7">
                  <w:pPr>
                    <w:adjustRightInd w:val="0"/>
                    <w:snapToGrid w:val="0"/>
                    <w:spacing w:line="317" w:lineRule="auto"/>
                    <w:rPr>
                      <w:rFonts w:eastAsiaTheme="minorEastAsia" w:cs="Arial"/>
                      <w:snapToGrid w:val="0"/>
                      <w:sz w:val="20"/>
                      <w:szCs w:val="20"/>
                    </w:rPr>
                  </w:pPr>
                  <w:r w:rsidRPr="007B3988">
                    <w:rPr>
                      <w:rFonts w:cs="Arial"/>
                      <w:sz w:val="20"/>
                      <w:szCs w:val="20"/>
                    </w:rPr>
                    <w:t>500,000</w:t>
                  </w:r>
                  <w:r w:rsidRPr="007B3988">
                    <w:rPr>
                      <w:rFonts w:cs="Arial"/>
                      <w:sz w:val="20"/>
                      <w:szCs w:val="20"/>
                    </w:rPr>
                    <w:t>美元</w:t>
                  </w:r>
                </w:p>
              </w:tc>
              <w:tc>
                <w:tcPr>
                  <w:tcW w:w="2127" w:type="dxa"/>
                </w:tcPr>
                <w:p w:rsidR="007F1C9F" w:rsidRPr="007B3988" w:rsidRDefault="007F1C9F" w:rsidP="005D36F7">
                  <w:pPr>
                    <w:adjustRightInd w:val="0"/>
                    <w:snapToGrid w:val="0"/>
                    <w:spacing w:line="317" w:lineRule="auto"/>
                    <w:rPr>
                      <w:rFonts w:eastAsiaTheme="minorEastAsia" w:cs="Arial"/>
                      <w:snapToGrid w:val="0"/>
                      <w:sz w:val="20"/>
                      <w:szCs w:val="20"/>
                    </w:rPr>
                  </w:pPr>
                  <w:r w:rsidRPr="007B3988">
                    <w:rPr>
                      <w:rFonts w:cs="Arial"/>
                      <w:sz w:val="20"/>
                      <w:szCs w:val="20"/>
                      <w:lang w:eastAsia="zh-TW"/>
                    </w:rPr>
                    <w:t>人民币</w:t>
                  </w:r>
                  <w:r w:rsidRPr="007B3988">
                    <w:rPr>
                      <w:rFonts w:cs="Arial"/>
                      <w:sz w:val="20"/>
                      <w:szCs w:val="20"/>
                      <w:lang w:eastAsia="zh-TW"/>
                    </w:rPr>
                    <w:t>5,000,000</w:t>
                  </w:r>
                  <w:r w:rsidRPr="007B3988">
                    <w:rPr>
                      <w:rFonts w:cs="Arial"/>
                      <w:sz w:val="20"/>
                      <w:szCs w:val="20"/>
                      <w:lang w:eastAsia="zh-TW"/>
                    </w:rPr>
                    <w:t>元</w:t>
                  </w:r>
                </w:p>
              </w:tc>
            </w:tr>
            <w:tr w:rsidR="007F1C9F" w:rsidRPr="007B3988" w:rsidTr="005D36F7">
              <w:tc>
                <w:tcPr>
                  <w:tcW w:w="1838" w:type="dxa"/>
                </w:tcPr>
                <w:p w:rsidR="007F1C9F" w:rsidRPr="007B3988" w:rsidRDefault="007F1C9F" w:rsidP="005D36F7">
                  <w:pPr>
                    <w:adjustRightInd w:val="0"/>
                    <w:snapToGrid w:val="0"/>
                    <w:spacing w:line="317" w:lineRule="auto"/>
                    <w:rPr>
                      <w:rFonts w:eastAsiaTheme="minorEastAsia" w:cs="Arial"/>
                      <w:b/>
                      <w:snapToGrid w:val="0"/>
                      <w:sz w:val="20"/>
                      <w:szCs w:val="20"/>
                    </w:rPr>
                  </w:pPr>
                  <w:r w:rsidRPr="007B3988">
                    <w:rPr>
                      <w:rFonts w:eastAsiaTheme="minorEastAsia" w:cs="Arial" w:hint="eastAsia"/>
                      <w:b/>
                      <w:snapToGrid w:val="0"/>
                      <w:sz w:val="20"/>
                      <w:szCs w:val="20"/>
                    </w:rPr>
                    <w:t>最低追加申购金额</w:t>
                  </w:r>
                </w:p>
              </w:tc>
              <w:tc>
                <w:tcPr>
                  <w:tcW w:w="1843" w:type="dxa"/>
                </w:tcPr>
                <w:p w:rsidR="007F1C9F" w:rsidRPr="007B3988" w:rsidRDefault="007F1C9F" w:rsidP="005D36F7">
                  <w:pPr>
                    <w:adjustRightInd w:val="0"/>
                    <w:snapToGrid w:val="0"/>
                    <w:spacing w:line="317" w:lineRule="auto"/>
                    <w:rPr>
                      <w:rFonts w:eastAsiaTheme="minorEastAsia" w:cs="Arial"/>
                      <w:snapToGrid w:val="0"/>
                      <w:sz w:val="20"/>
                      <w:szCs w:val="20"/>
                    </w:rPr>
                  </w:pPr>
                  <w:r w:rsidRPr="007B3988">
                    <w:rPr>
                      <w:rFonts w:cs="Arial"/>
                      <w:sz w:val="20"/>
                      <w:szCs w:val="20"/>
                    </w:rPr>
                    <w:t>10</w:t>
                  </w:r>
                  <w:r w:rsidRPr="007B3988">
                    <w:rPr>
                      <w:rFonts w:cs="Arial"/>
                      <w:sz w:val="20"/>
                      <w:szCs w:val="20"/>
                    </w:rPr>
                    <w:t>美元</w:t>
                  </w:r>
                </w:p>
              </w:tc>
              <w:tc>
                <w:tcPr>
                  <w:tcW w:w="1984" w:type="dxa"/>
                </w:tcPr>
                <w:p w:rsidR="007F1C9F" w:rsidRPr="007B3988" w:rsidRDefault="007F1C9F" w:rsidP="005D36F7">
                  <w:pPr>
                    <w:adjustRightInd w:val="0"/>
                    <w:snapToGrid w:val="0"/>
                    <w:spacing w:line="317" w:lineRule="auto"/>
                    <w:rPr>
                      <w:rFonts w:eastAsiaTheme="minorEastAsia" w:cs="Arial"/>
                      <w:snapToGrid w:val="0"/>
                      <w:sz w:val="20"/>
                      <w:szCs w:val="20"/>
                    </w:rPr>
                  </w:pPr>
                  <w:r w:rsidRPr="007B3988">
                    <w:rPr>
                      <w:rFonts w:cs="Arial"/>
                      <w:sz w:val="20"/>
                      <w:szCs w:val="20"/>
                      <w:lang w:eastAsia="zh-TW"/>
                    </w:rPr>
                    <w:t>人民币</w:t>
                  </w:r>
                  <w:r w:rsidRPr="007B3988">
                    <w:rPr>
                      <w:rFonts w:cs="Arial"/>
                      <w:sz w:val="20"/>
                      <w:szCs w:val="20"/>
                      <w:lang w:eastAsia="zh-TW"/>
                    </w:rPr>
                    <w:t>10</w:t>
                  </w:r>
                  <w:r w:rsidRPr="007B3988">
                    <w:rPr>
                      <w:rFonts w:cs="Arial"/>
                      <w:sz w:val="20"/>
                      <w:szCs w:val="20"/>
                      <w:lang w:eastAsia="zh-TW"/>
                    </w:rPr>
                    <w:t>元</w:t>
                  </w:r>
                </w:p>
              </w:tc>
              <w:tc>
                <w:tcPr>
                  <w:tcW w:w="1701" w:type="dxa"/>
                </w:tcPr>
                <w:p w:rsidR="007F1C9F" w:rsidRPr="007B3988" w:rsidRDefault="007F1C9F" w:rsidP="005D36F7">
                  <w:pPr>
                    <w:adjustRightInd w:val="0"/>
                    <w:snapToGrid w:val="0"/>
                    <w:spacing w:line="317" w:lineRule="auto"/>
                    <w:rPr>
                      <w:rFonts w:eastAsiaTheme="minorEastAsia" w:cs="Arial"/>
                      <w:snapToGrid w:val="0"/>
                      <w:sz w:val="20"/>
                      <w:szCs w:val="20"/>
                    </w:rPr>
                  </w:pPr>
                  <w:r w:rsidRPr="007B3988">
                    <w:rPr>
                      <w:rFonts w:cs="Arial"/>
                      <w:sz w:val="20"/>
                      <w:szCs w:val="20"/>
                    </w:rPr>
                    <w:t>100</w:t>
                  </w:r>
                  <w:r w:rsidRPr="007B3988">
                    <w:rPr>
                      <w:rFonts w:cs="Arial"/>
                      <w:sz w:val="20"/>
                      <w:szCs w:val="20"/>
                    </w:rPr>
                    <w:t>美元</w:t>
                  </w:r>
                </w:p>
              </w:tc>
              <w:tc>
                <w:tcPr>
                  <w:tcW w:w="2127" w:type="dxa"/>
                </w:tcPr>
                <w:p w:rsidR="007F1C9F" w:rsidRPr="007B3988" w:rsidRDefault="007F1C9F" w:rsidP="005D36F7">
                  <w:pPr>
                    <w:adjustRightInd w:val="0"/>
                    <w:snapToGrid w:val="0"/>
                    <w:spacing w:line="317" w:lineRule="auto"/>
                    <w:rPr>
                      <w:rFonts w:eastAsiaTheme="minorEastAsia" w:cs="Arial"/>
                      <w:snapToGrid w:val="0"/>
                      <w:sz w:val="20"/>
                      <w:szCs w:val="20"/>
                    </w:rPr>
                  </w:pPr>
                  <w:r w:rsidRPr="007B3988">
                    <w:rPr>
                      <w:rFonts w:cs="Arial"/>
                      <w:sz w:val="20"/>
                      <w:szCs w:val="20"/>
                      <w:lang w:eastAsia="zh-TW"/>
                    </w:rPr>
                    <w:t>人民币</w:t>
                  </w:r>
                  <w:r w:rsidRPr="007B3988">
                    <w:rPr>
                      <w:rFonts w:cs="Arial"/>
                      <w:sz w:val="20"/>
                      <w:szCs w:val="20"/>
                      <w:lang w:eastAsia="zh-TW"/>
                    </w:rPr>
                    <w:t>1,000</w:t>
                  </w:r>
                  <w:r w:rsidRPr="007B3988">
                    <w:rPr>
                      <w:rFonts w:cs="Arial"/>
                      <w:sz w:val="20"/>
                      <w:szCs w:val="20"/>
                      <w:lang w:eastAsia="zh-TW"/>
                    </w:rPr>
                    <w:t>元</w:t>
                  </w:r>
                </w:p>
              </w:tc>
            </w:tr>
            <w:tr w:rsidR="007F1C9F" w:rsidRPr="007B3988" w:rsidTr="005D36F7">
              <w:tc>
                <w:tcPr>
                  <w:tcW w:w="1838" w:type="dxa"/>
                </w:tcPr>
                <w:p w:rsidR="007F1C9F" w:rsidRPr="007B3988" w:rsidRDefault="007F1C9F" w:rsidP="005D36F7">
                  <w:pPr>
                    <w:adjustRightInd w:val="0"/>
                    <w:snapToGrid w:val="0"/>
                    <w:spacing w:line="317" w:lineRule="auto"/>
                    <w:rPr>
                      <w:rFonts w:eastAsiaTheme="minorEastAsia" w:cs="Arial"/>
                      <w:b/>
                      <w:snapToGrid w:val="0"/>
                      <w:sz w:val="20"/>
                      <w:szCs w:val="20"/>
                    </w:rPr>
                  </w:pPr>
                  <w:r w:rsidRPr="007B3988">
                    <w:rPr>
                      <w:rFonts w:eastAsiaTheme="minorEastAsia" w:cs="Arial" w:hint="eastAsia"/>
                      <w:b/>
                      <w:snapToGrid w:val="0"/>
                      <w:sz w:val="20"/>
                      <w:szCs w:val="20"/>
                    </w:rPr>
                    <w:t>最低</w:t>
                  </w:r>
                  <w:r w:rsidRPr="007B3988">
                    <w:rPr>
                      <w:rFonts w:eastAsiaTheme="minorEastAsia" w:cs="Arial"/>
                      <w:b/>
                      <w:snapToGrid w:val="0"/>
                      <w:sz w:val="20"/>
                      <w:szCs w:val="20"/>
                    </w:rPr>
                    <w:t>赎回要求</w:t>
                  </w:r>
                </w:p>
              </w:tc>
              <w:tc>
                <w:tcPr>
                  <w:tcW w:w="1843" w:type="dxa"/>
                </w:tcPr>
                <w:p w:rsidR="007F1C9F" w:rsidRPr="007B3988" w:rsidRDefault="007F1C9F" w:rsidP="005D36F7">
                  <w:pPr>
                    <w:adjustRightInd w:val="0"/>
                    <w:snapToGrid w:val="0"/>
                    <w:spacing w:line="317" w:lineRule="auto"/>
                    <w:rPr>
                      <w:rFonts w:cs="Arial"/>
                      <w:sz w:val="20"/>
                      <w:szCs w:val="20"/>
                    </w:rPr>
                  </w:pPr>
                  <w:r w:rsidRPr="007B3988">
                    <w:rPr>
                      <w:rFonts w:cs="Arial" w:hint="eastAsia"/>
                      <w:sz w:val="20"/>
                      <w:szCs w:val="20"/>
                    </w:rPr>
                    <w:t>10</w:t>
                  </w:r>
                  <w:r w:rsidRPr="007B3988">
                    <w:rPr>
                      <w:rFonts w:cs="Arial" w:hint="eastAsia"/>
                      <w:sz w:val="20"/>
                      <w:szCs w:val="20"/>
                    </w:rPr>
                    <w:t>份</w:t>
                  </w:r>
                </w:p>
              </w:tc>
              <w:tc>
                <w:tcPr>
                  <w:tcW w:w="1984" w:type="dxa"/>
                </w:tcPr>
                <w:p w:rsidR="007F1C9F" w:rsidRPr="007B3988" w:rsidRDefault="007F1C9F" w:rsidP="005D36F7">
                  <w:pPr>
                    <w:adjustRightInd w:val="0"/>
                    <w:snapToGrid w:val="0"/>
                    <w:spacing w:line="317" w:lineRule="auto"/>
                    <w:rPr>
                      <w:rFonts w:cs="Arial"/>
                      <w:sz w:val="20"/>
                      <w:szCs w:val="20"/>
                      <w:lang w:eastAsia="zh-TW"/>
                    </w:rPr>
                  </w:pPr>
                  <w:r w:rsidRPr="007B3988">
                    <w:rPr>
                      <w:rFonts w:cs="Arial" w:hint="eastAsia"/>
                      <w:sz w:val="20"/>
                      <w:szCs w:val="20"/>
                    </w:rPr>
                    <w:t>10</w:t>
                  </w:r>
                  <w:r w:rsidRPr="007B3988">
                    <w:rPr>
                      <w:rFonts w:cs="Arial" w:hint="eastAsia"/>
                      <w:sz w:val="20"/>
                      <w:szCs w:val="20"/>
                    </w:rPr>
                    <w:t>份</w:t>
                  </w:r>
                </w:p>
              </w:tc>
              <w:tc>
                <w:tcPr>
                  <w:tcW w:w="1701" w:type="dxa"/>
                </w:tcPr>
                <w:p w:rsidR="007F1C9F" w:rsidRPr="007B3988" w:rsidRDefault="007F1C9F" w:rsidP="005D36F7">
                  <w:pPr>
                    <w:adjustRightInd w:val="0"/>
                    <w:snapToGrid w:val="0"/>
                    <w:spacing w:line="317" w:lineRule="auto"/>
                    <w:rPr>
                      <w:rFonts w:cs="Arial"/>
                      <w:sz w:val="20"/>
                      <w:szCs w:val="20"/>
                    </w:rPr>
                  </w:pPr>
                  <w:r w:rsidRPr="007B3988">
                    <w:rPr>
                      <w:rFonts w:cs="Arial" w:hint="eastAsia"/>
                      <w:sz w:val="20"/>
                      <w:szCs w:val="20"/>
                    </w:rPr>
                    <w:t>10</w:t>
                  </w:r>
                  <w:r w:rsidRPr="007B3988">
                    <w:rPr>
                      <w:rFonts w:cs="Arial" w:hint="eastAsia"/>
                      <w:sz w:val="20"/>
                      <w:szCs w:val="20"/>
                    </w:rPr>
                    <w:t>份</w:t>
                  </w:r>
                </w:p>
              </w:tc>
              <w:tc>
                <w:tcPr>
                  <w:tcW w:w="2127" w:type="dxa"/>
                </w:tcPr>
                <w:p w:rsidR="007F1C9F" w:rsidRPr="007B3988" w:rsidRDefault="007F1C9F" w:rsidP="005D36F7">
                  <w:pPr>
                    <w:adjustRightInd w:val="0"/>
                    <w:snapToGrid w:val="0"/>
                    <w:spacing w:line="317" w:lineRule="auto"/>
                    <w:rPr>
                      <w:rFonts w:cs="Arial"/>
                      <w:sz w:val="20"/>
                      <w:szCs w:val="20"/>
                      <w:lang w:eastAsia="zh-TW"/>
                    </w:rPr>
                  </w:pPr>
                  <w:r w:rsidRPr="007B3988">
                    <w:rPr>
                      <w:rFonts w:cs="Arial" w:hint="eastAsia"/>
                      <w:sz w:val="20"/>
                      <w:szCs w:val="20"/>
                    </w:rPr>
                    <w:t>10</w:t>
                  </w:r>
                  <w:r w:rsidRPr="007B3988">
                    <w:rPr>
                      <w:rFonts w:cs="Arial" w:hint="eastAsia"/>
                      <w:sz w:val="20"/>
                      <w:szCs w:val="20"/>
                    </w:rPr>
                    <w:t>份</w:t>
                  </w:r>
                </w:p>
              </w:tc>
            </w:tr>
            <w:tr w:rsidR="007F1C9F" w:rsidRPr="007B3988" w:rsidTr="005D36F7">
              <w:tc>
                <w:tcPr>
                  <w:tcW w:w="1838" w:type="dxa"/>
                </w:tcPr>
                <w:p w:rsidR="007F1C9F" w:rsidRPr="007B3988" w:rsidRDefault="007F1C9F" w:rsidP="005D36F7">
                  <w:pPr>
                    <w:adjustRightInd w:val="0"/>
                    <w:snapToGrid w:val="0"/>
                    <w:spacing w:line="317" w:lineRule="auto"/>
                    <w:rPr>
                      <w:rFonts w:eastAsiaTheme="minorEastAsia" w:cs="Arial"/>
                      <w:b/>
                      <w:snapToGrid w:val="0"/>
                      <w:sz w:val="20"/>
                      <w:szCs w:val="20"/>
                    </w:rPr>
                  </w:pPr>
                  <w:r w:rsidRPr="007B3988">
                    <w:rPr>
                      <w:rFonts w:eastAsiaTheme="minorEastAsia" w:cs="Arial" w:hint="eastAsia"/>
                      <w:b/>
                      <w:snapToGrid w:val="0"/>
                      <w:sz w:val="20"/>
                      <w:szCs w:val="20"/>
                    </w:rPr>
                    <w:t>最低</w:t>
                  </w:r>
                  <w:r w:rsidRPr="007B3988">
                    <w:rPr>
                      <w:rFonts w:eastAsiaTheme="minorEastAsia" w:cs="Arial"/>
                      <w:b/>
                      <w:snapToGrid w:val="0"/>
                      <w:sz w:val="20"/>
                      <w:szCs w:val="20"/>
                    </w:rPr>
                    <w:t>持有量要求</w:t>
                  </w:r>
                </w:p>
              </w:tc>
              <w:tc>
                <w:tcPr>
                  <w:tcW w:w="1843" w:type="dxa"/>
                </w:tcPr>
                <w:p w:rsidR="007F1C9F" w:rsidRPr="007B3988" w:rsidRDefault="007F1C9F" w:rsidP="005D36F7">
                  <w:pPr>
                    <w:adjustRightInd w:val="0"/>
                    <w:snapToGrid w:val="0"/>
                    <w:spacing w:line="317" w:lineRule="auto"/>
                    <w:rPr>
                      <w:rFonts w:cs="Arial"/>
                      <w:sz w:val="20"/>
                      <w:szCs w:val="20"/>
                    </w:rPr>
                  </w:pPr>
                  <w:r w:rsidRPr="007B3988">
                    <w:rPr>
                      <w:rFonts w:cs="Arial" w:hint="eastAsia"/>
                      <w:sz w:val="20"/>
                      <w:szCs w:val="20"/>
                    </w:rPr>
                    <w:t>10</w:t>
                  </w:r>
                  <w:r w:rsidRPr="007B3988">
                    <w:rPr>
                      <w:rFonts w:cs="Arial" w:hint="eastAsia"/>
                      <w:sz w:val="20"/>
                      <w:szCs w:val="20"/>
                    </w:rPr>
                    <w:t>份</w:t>
                  </w:r>
                </w:p>
              </w:tc>
              <w:tc>
                <w:tcPr>
                  <w:tcW w:w="1984" w:type="dxa"/>
                </w:tcPr>
                <w:p w:rsidR="007F1C9F" w:rsidRPr="007B3988" w:rsidRDefault="007F1C9F" w:rsidP="005D36F7">
                  <w:pPr>
                    <w:adjustRightInd w:val="0"/>
                    <w:snapToGrid w:val="0"/>
                    <w:spacing w:line="317" w:lineRule="auto"/>
                    <w:rPr>
                      <w:rFonts w:cs="Arial"/>
                      <w:sz w:val="20"/>
                      <w:szCs w:val="20"/>
                      <w:lang w:eastAsia="zh-TW"/>
                    </w:rPr>
                  </w:pPr>
                  <w:r w:rsidRPr="007B3988">
                    <w:rPr>
                      <w:rFonts w:cs="Arial" w:hint="eastAsia"/>
                      <w:sz w:val="20"/>
                      <w:szCs w:val="20"/>
                    </w:rPr>
                    <w:t>10</w:t>
                  </w:r>
                  <w:r w:rsidRPr="007B3988">
                    <w:rPr>
                      <w:rFonts w:cs="Arial" w:hint="eastAsia"/>
                      <w:sz w:val="20"/>
                      <w:szCs w:val="20"/>
                    </w:rPr>
                    <w:t>份</w:t>
                  </w:r>
                </w:p>
              </w:tc>
              <w:tc>
                <w:tcPr>
                  <w:tcW w:w="1701" w:type="dxa"/>
                </w:tcPr>
                <w:p w:rsidR="007F1C9F" w:rsidRPr="007B3988" w:rsidRDefault="007F1C9F" w:rsidP="005D36F7">
                  <w:pPr>
                    <w:adjustRightInd w:val="0"/>
                    <w:snapToGrid w:val="0"/>
                    <w:spacing w:line="317" w:lineRule="auto"/>
                    <w:rPr>
                      <w:rFonts w:cs="Arial"/>
                      <w:sz w:val="20"/>
                      <w:szCs w:val="20"/>
                    </w:rPr>
                  </w:pPr>
                  <w:r w:rsidRPr="007B3988">
                    <w:rPr>
                      <w:rFonts w:cs="Arial" w:hint="eastAsia"/>
                      <w:sz w:val="20"/>
                      <w:szCs w:val="20"/>
                    </w:rPr>
                    <w:t>10</w:t>
                  </w:r>
                  <w:r w:rsidRPr="007B3988">
                    <w:rPr>
                      <w:rFonts w:cs="Arial" w:hint="eastAsia"/>
                      <w:sz w:val="20"/>
                      <w:szCs w:val="20"/>
                    </w:rPr>
                    <w:t>份</w:t>
                  </w:r>
                </w:p>
              </w:tc>
              <w:tc>
                <w:tcPr>
                  <w:tcW w:w="2127" w:type="dxa"/>
                </w:tcPr>
                <w:p w:rsidR="007F1C9F" w:rsidRPr="007B3988" w:rsidRDefault="007F1C9F" w:rsidP="005D36F7">
                  <w:pPr>
                    <w:adjustRightInd w:val="0"/>
                    <w:snapToGrid w:val="0"/>
                    <w:spacing w:line="317" w:lineRule="auto"/>
                    <w:rPr>
                      <w:rFonts w:cs="Arial"/>
                      <w:sz w:val="20"/>
                      <w:szCs w:val="20"/>
                      <w:lang w:eastAsia="zh-TW"/>
                    </w:rPr>
                  </w:pPr>
                  <w:r w:rsidRPr="007B3988">
                    <w:rPr>
                      <w:rFonts w:cs="Arial" w:hint="eastAsia"/>
                      <w:sz w:val="20"/>
                      <w:szCs w:val="20"/>
                    </w:rPr>
                    <w:t>10</w:t>
                  </w:r>
                  <w:r w:rsidRPr="007B3988">
                    <w:rPr>
                      <w:rFonts w:cs="Arial" w:hint="eastAsia"/>
                      <w:sz w:val="20"/>
                      <w:szCs w:val="20"/>
                    </w:rPr>
                    <w:t>份</w:t>
                  </w:r>
                </w:p>
              </w:tc>
            </w:tr>
          </w:tbl>
          <w:p w:rsidR="007F1C9F" w:rsidRPr="007B3988" w:rsidRDefault="007F1C9F" w:rsidP="00C6019E">
            <w:pPr>
              <w:pStyle w:val="ssPara1"/>
              <w:adjustRightInd w:val="0"/>
              <w:snapToGrid w:val="0"/>
              <w:spacing w:before="60"/>
              <w:jc w:val="left"/>
              <w:rPr>
                <w:rFonts w:eastAsiaTheme="minorEastAsia" w:cs="Arial"/>
                <w:sz w:val="20"/>
                <w:szCs w:val="20"/>
              </w:rPr>
            </w:pPr>
          </w:p>
        </w:tc>
      </w:tr>
      <w:tr w:rsidR="007F1C9F" w:rsidRPr="007B3988" w:rsidTr="00F340F6">
        <w:tc>
          <w:tcPr>
            <w:tcW w:w="9829" w:type="dxa"/>
            <w:gridSpan w:val="2"/>
            <w:tcBorders>
              <w:top w:val="single" w:sz="4" w:space="0" w:color="auto"/>
              <w:left w:val="single" w:sz="4" w:space="0" w:color="auto"/>
              <w:bottom w:val="single" w:sz="4" w:space="0" w:color="auto"/>
              <w:right w:val="single" w:sz="4" w:space="0" w:color="auto"/>
            </w:tcBorders>
            <w:shd w:val="clear" w:color="auto" w:fill="auto"/>
          </w:tcPr>
          <w:p w:rsidR="00C36E98" w:rsidRPr="007B3988" w:rsidRDefault="00C36E98" w:rsidP="00C36E98">
            <w:pPr>
              <w:pStyle w:val="ssPara1"/>
              <w:adjustRightInd w:val="0"/>
              <w:snapToGrid w:val="0"/>
              <w:spacing w:before="60"/>
              <w:jc w:val="left"/>
              <w:rPr>
                <w:rFonts w:eastAsiaTheme="minorEastAsia" w:cs="Arial"/>
                <w:sz w:val="20"/>
                <w:szCs w:val="20"/>
              </w:rPr>
            </w:pPr>
            <w:r w:rsidRPr="007B3988">
              <w:rPr>
                <w:rFonts w:eastAsiaTheme="minorEastAsia" w:cs="Arial" w:hint="eastAsia"/>
                <w:sz w:val="20"/>
                <w:szCs w:val="20"/>
              </w:rPr>
              <w:t>基金管理人可在香港法律法规、信托契约、基金说明书允许的情况下，调整上述规定的申购金额和赎回份额等数量限制。基金管理人必须在调整实施前进行公告。</w:t>
            </w:r>
          </w:p>
          <w:p w:rsidR="007F1C9F" w:rsidRPr="007B3988" w:rsidRDefault="007F1C9F" w:rsidP="00C6019E">
            <w:pPr>
              <w:pStyle w:val="ssPara1"/>
              <w:adjustRightInd w:val="0"/>
              <w:snapToGrid w:val="0"/>
              <w:spacing w:before="60"/>
              <w:rPr>
                <w:rFonts w:eastAsia="PMingLiU" w:cs="Arial"/>
              </w:rPr>
            </w:pPr>
            <w:r w:rsidRPr="007B3988">
              <w:rPr>
                <w:rFonts w:cs="Arial" w:hint="eastAsia"/>
                <w:b/>
                <w:bCs/>
                <w:sz w:val="28"/>
                <w:szCs w:val="28"/>
              </w:rPr>
              <w:t>本基金是什么样的产品</w:t>
            </w:r>
            <w:r w:rsidRPr="007B3988">
              <w:rPr>
                <w:rFonts w:cs="Arial"/>
                <w:b/>
                <w:bCs/>
                <w:sz w:val="28"/>
                <w:szCs w:val="28"/>
              </w:rPr>
              <w:t>?</w:t>
            </w:r>
          </w:p>
          <w:p w:rsidR="007F1C9F" w:rsidRPr="007B3988" w:rsidRDefault="007F1C9F" w:rsidP="000F1163">
            <w:pPr>
              <w:pStyle w:val="ssPara1"/>
              <w:adjustRightInd w:val="0"/>
              <w:snapToGrid w:val="0"/>
              <w:spacing w:before="60"/>
              <w:rPr>
                <w:rFonts w:cs="Arial"/>
                <w:sz w:val="20"/>
                <w:szCs w:val="20"/>
              </w:rPr>
            </w:pPr>
            <w:r w:rsidRPr="007B3988">
              <w:rPr>
                <w:rFonts w:cs="Arial" w:hint="eastAsia"/>
                <w:sz w:val="20"/>
                <w:szCs w:val="20"/>
              </w:rPr>
              <w:t>本基金是受香港法律监管的博时投资基金</w:t>
            </w:r>
            <w:r w:rsidRPr="007B3988">
              <w:rPr>
                <w:rFonts w:cs="Arial" w:hint="eastAsia"/>
                <w:sz w:val="20"/>
                <w:szCs w:val="20"/>
              </w:rPr>
              <w:t>(</w:t>
            </w:r>
            <w:r w:rsidRPr="007B3988">
              <w:rPr>
                <w:rFonts w:cs="Arial" w:hint="eastAsia"/>
                <w:sz w:val="20"/>
                <w:szCs w:val="20"/>
              </w:rPr>
              <w:t>根据日期为</w:t>
            </w:r>
            <w:r w:rsidRPr="007B3988">
              <w:rPr>
                <w:rFonts w:cs="Arial"/>
                <w:sz w:val="20"/>
                <w:szCs w:val="20"/>
              </w:rPr>
              <w:t>2012</w:t>
            </w:r>
            <w:r w:rsidRPr="007B3988">
              <w:rPr>
                <w:rFonts w:cs="Arial" w:hint="eastAsia"/>
                <w:sz w:val="20"/>
                <w:szCs w:val="20"/>
              </w:rPr>
              <w:t>年</w:t>
            </w:r>
            <w:r w:rsidRPr="007B3988">
              <w:rPr>
                <w:rFonts w:cs="Arial"/>
                <w:sz w:val="20"/>
                <w:szCs w:val="20"/>
              </w:rPr>
              <w:t>1</w:t>
            </w:r>
            <w:r w:rsidRPr="007B3988">
              <w:rPr>
                <w:rFonts w:cs="Arial" w:hint="eastAsia"/>
                <w:sz w:val="20"/>
                <w:szCs w:val="20"/>
              </w:rPr>
              <w:t>月</w:t>
            </w:r>
            <w:r w:rsidRPr="007B3988">
              <w:rPr>
                <w:rFonts w:cs="Arial"/>
                <w:sz w:val="20"/>
                <w:szCs w:val="20"/>
              </w:rPr>
              <w:t>5</w:t>
            </w:r>
            <w:r w:rsidRPr="007B3988">
              <w:rPr>
                <w:rFonts w:cs="Arial" w:hint="eastAsia"/>
                <w:sz w:val="20"/>
                <w:szCs w:val="20"/>
              </w:rPr>
              <w:t>日的信托契约</w:t>
            </w:r>
            <w:r w:rsidRPr="007B3988">
              <w:rPr>
                <w:rFonts w:cs="Arial" w:hint="eastAsia"/>
                <w:sz w:val="20"/>
                <w:szCs w:val="20"/>
              </w:rPr>
              <w:t>(</w:t>
            </w:r>
            <w:r w:rsidRPr="007B3988">
              <w:rPr>
                <w:rFonts w:cs="Arial" w:hint="eastAsia"/>
                <w:sz w:val="20"/>
                <w:szCs w:val="20"/>
              </w:rPr>
              <w:t>经修订</w:t>
            </w:r>
            <w:r w:rsidRPr="007B3988">
              <w:rPr>
                <w:rFonts w:cs="Arial" w:hint="eastAsia"/>
                <w:sz w:val="20"/>
                <w:szCs w:val="20"/>
              </w:rPr>
              <w:t>)</w:t>
            </w:r>
            <w:r w:rsidRPr="007B3988">
              <w:rPr>
                <w:rFonts w:cs="Arial" w:hint="eastAsia"/>
                <w:sz w:val="20"/>
                <w:szCs w:val="20"/>
              </w:rPr>
              <w:t>成立的伞子单位信托基金</w:t>
            </w:r>
            <w:r w:rsidRPr="007B3988">
              <w:rPr>
                <w:rFonts w:cs="Arial" w:hint="eastAsia"/>
                <w:sz w:val="20"/>
                <w:szCs w:val="20"/>
              </w:rPr>
              <w:t>)</w:t>
            </w:r>
            <w:r w:rsidRPr="007B3988">
              <w:rPr>
                <w:rFonts w:cs="Arial" w:hint="eastAsia"/>
                <w:sz w:val="20"/>
                <w:szCs w:val="20"/>
              </w:rPr>
              <w:t>的子基金。本基金已于</w:t>
            </w:r>
            <w:r w:rsidRPr="007B3988">
              <w:rPr>
                <w:rFonts w:cs="Arial" w:hint="eastAsia"/>
                <w:sz w:val="20"/>
                <w:szCs w:val="20"/>
              </w:rPr>
              <w:t>2014</w:t>
            </w:r>
            <w:r w:rsidRPr="007B3988">
              <w:rPr>
                <w:rFonts w:cs="Arial" w:hint="eastAsia"/>
                <w:sz w:val="20"/>
                <w:szCs w:val="20"/>
              </w:rPr>
              <w:t>年</w:t>
            </w:r>
            <w:r w:rsidRPr="007B3988">
              <w:rPr>
                <w:rFonts w:cs="Arial" w:hint="eastAsia"/>
                <w:sz w:val="20"/>
                <w:szCs w:val="20"/>
              </w:rPr>
              <w:t>10</w:t>
            </w:r>
            <w:r w:rsidRPr="007B3988">
              <w:rPr>
                <w:rFonts w:cs="Arial" w:hint="eastAsia"/>
                <w:sz w:val="20"/>
                <w:szCs w:val="20"/>
              </w:rPr>
              <w:t>月</w:t>
            </w:r>
            <w:r w:rsidRPr="007B3988">
              <w:rPr>
                <w:rFonts w:cs="Arial" w:hint="eastAsia"/>
                <w:sz w:val="20"/>
                <w:szCs w:val="20"/>
              </w:rPr>
              <w:t>14</w:t>
            </w:r>
            <w:r w:rsidRPr="007B3988">
              <w:rPr>
                <w:rFonts w:cs="Arial" w:hint="eastAsia"/>
                <w:sz w:val="20"/>
                <w:szCs w:val="20"/>
              </w:rPr>
              <w:t>日获香港证券及期货事务监察委员会</w:t>
            </w:r>
            <w:r w:rsidRPr="007B3988">
              <w:rPr>
                <w:rFonts w:cs="Arial" w:hint="eastAsia"/>
                <w:sz w:val="20"/>
                <w:szCs w:val="20"/>
              </w:rPr>
              <w:t>(</w:t>
            </w:r>
            <w:r w:rsidRPr="007B3988">
              <w:rPr>
                <w:rFonts w:cs="Arial" w:hint="eastAsia"/>
                <w:sz w:val="20"/>
                <w:szCs w:val="20"/>
              </w:rPr>
              <w:t>“香港证监会”</w:t>
            </w:r>
            <w:r w:rsidRPr="007B3988">
              <w:rPr>
                <w:rFonts w:cs="Arial" w:hint="eastAsia"/>
                <w:sz w:val="20"/>
                <w:szCs w:val="20"/>
              </w:rPr>
              <w:t>)</w:t>
            </w:r>
            <w:r w:rsidRPr="007B3988">
              <w:rPr>
                <w:rFonts w:cs="Arial" w:hint="eastAsia"/>
                <w:sz w:val="20"/>
                <w:szCs w:val="20"/>
              </w:rPr>
              <w:t>认可，于</w:t>
            </w:r>
            <w:r w:rsidR="000F1163" w:rsidRPr="00495282">
              <w:rPr>
                <w:rFonts w:cs="Arial"/>
                <w:sz w:val="20"/>
                <w:szCs w:val="20"/>
              </w:rPr>
              <w:t>2019</w:t>
            </w:r>
            <w:r w:rsidRPr="00495282">
              <w:rPr>
                <w:rFonts w:cs="Arial" w:hint="eastAsia"/>
                <w:sz w:val="20"/>
                <w:szCs w:val="20"/>
              </w:rPr>
              <w:t>年</w:t>
            </w:r>
            <w:r w:rsidR="000F1163" w:rsidRPr="00495282">
              <w:rPr>
                <w:rFonts w:cs="Arial"/>
                <w:sz w:val="20"/>
                <w:szCs w:val="20"/>
              </w:rPr>
              <w:t>11</w:t>
            </w:r>
            <w:r w:rsidRPr="00495282">
              <w:rPr>
                <w:rFonts w:cs="Arial" w:hint="eastAsia"/>
                <w:sz w:val="20"/>
                <w:szCs w:val="20"/>
              </w:rPr>
              <w:t>月</w:t>
            </w:r>
            <w:r w:rsidR="000F1163" w:rsidRPr="00495282">
              <w:rPr>
                <w:rFonts w:cs="Arial"/>
                <w:sz w:val="20"/>
                <w:szCs w:val="20"/>
              </w:rPr>
              <w:t>12</w:t>
            </w:r>
            <w:r w:rsidRPr="00495282">
              <w:rPr>
                <w:rFonts w:cs="Arial" w:hint="eastAsia"/>
                <w:sz w:val="20"/>
                <w:szCs w:val="20"/>
              </w:rPr>
              <w:t>日经中国证券监督管理委员会</w:t>
            </w:r>
            <w:r w:rsidRPr="00495282">
              <w:rPr>
                <w:rFonts w:cs="Arial"/>
                <w:sz w:val="20"/>
                <w:szCs w:val="20"/>
              </w:rPr>
              <w:t>(</w:t>
            </w:r>
            <w:r w:rsidRPr="00495282">
              <w:rPr>
                <w:rFonts w:cs="Arial" w:hint="eastAsia"/>
                <w:sz w:val="20"/>
                <w:szCs w:val="20"/>
              </w:rPr>
              <w:t>“中国证监会”</w:t>
            </w:r>
            <w:r w:rsidRPr="00495282">
              <w:rPr>
                <w:rFonts w:cs="Arial"/>
                <w:sz w:val="20"/>
                <w:szCs w:val="20"/>
              </w:rPr>
              <w:t>)</w:t>
            </w:r>
            <w:r w:rsidRPr="00495282">
              <w:rPr>
                <w:rFonts w:cs="Arial" w:hint="eastAsia"/>
                <w:sz w:val="20"/>
                <w:szCs w:val="20"/>
              </w:rPr>
              <w:t>证监许可</w:t>
            </w:r>
            <w:r w:rsidRPr="00495282">
              <w:rPr>
                <w:rFonts w:cs="Arial"/>
                <w:sz w:val="20"/>
                <w:szCs w:val="20"/>
              </w:rPr>
              <w:t>[</w:t>
            </w:r>
            <w:r w:rsidR="000F1163" w:rsidRPr="00495282">
              <w:rPr>
                <w:rFonts w:cs="Arial"/>
                <w:sz w:val="20"/>
                <w:szCs w:val="20"/>
              </w:rPr>
              <w:t>2019</w:t>
            </w:r>
            <w:r w:rsidRPr="00495282">
              <w:rPr>
                <w:rFonts w:cs="Arial"/>
                <w:sz w:val="20"/>
                <w:szCs w:val="20"/>
              </w:rPr>
              <w:t>][</w:t>
            </w:r>
            <w:r w:rsidR="000F1163" w:rsidRPr="00495282">
              <w:rPr>
                <w:rFonts w:cs="Arial"/>
                <w:sz w:val="20"/>
                <w:szCs w:val="20"/>
              </w:rPr>
              <w:t>2256</w:t>
            </w:r>
            <w:r w:rsidRPr="00495282">
              <w:rPr>
                <w:rFonts w:cs="Arial"/>
                <w:sz w:val="20"/>
                <w:szCs w:val="20"/>
              </w:rPr>
              <w:t>]</w:t>
            </w:r>
            <w:r w:rsidRPr="00495282">
              <w:rPr>
                <w:rFonts w:cs="Arial" w:hint="eastAsia"/>
                <w:sz w:val="20"/>
                <w:szCs w:val="20"/>
              </w:rPr>
              <w:t>号文注册</w:t>
            </w:r>
            <w:r w:rsidRPr="007B3988">
              <w:rPr>
                <w:rFonts w:cs="Arial" w:hint="eastAsia"/>
                <w:sz w:val="20"/>
                <w:szCs w:val="20"/>
              </w:rPr>
              <w:t>，准予在中国内地销售。</w:t>
            </w:r>
          </w:p>
        </w:tc>
      </w:tr>
      <w:tr w:rsidR="007F1C9F" w:rsidRPr="007B3988" w:rsidTr="00F340F6">
        <w:tc>
          <w:tcPr>
            <w:tcW w:w="9829" w:type="dxa"/>
            <w:gridSpan w:val="2"/>
            <w:tcBorders>
              <w:top w:val="single" w:sz="4" w:space="0" w:color="auto"/>
              <w:left w:val="single" w:sz="4" w:space="0" w:color="auto"/>
              <w:bottom w:val="single" w:sz="4" w:space="0" w:color="auto"/>
              <w:right w:val="single" w:sz="4" w:space="0" w:color="auto"/>
            </w:tcBorders>
          </w:tcPr>
          <w:p w:rsidR="007F1C9F" w:rsidRPr="007B3988" w:rsidRDefault="007F1C9F" w:rsidP="00C6019E">
            <w:pPr>
              <w:pStyle w:val="ssPara1"/>
              <w:spacing w:before="60"/>
              <w:rPr>
                <w:rFonts w:eastAsia="PMingLiU" w:cstheme="minorHAnsi"/>
                <w:b/>
                <w:bCs/>
                <w:sz w:val="20"/>
                <w:szCs w:val="20"/>
              </w:rPr>
            </w:pPr>
            <w:r w:rsidRPr="007B3988">
              <w:rPr>
                <w:rFonts w:cs="Arial" w:hint="eastAsia"/>
                <w:b/>
                <w:bCs/>
                <w:sz w:val="28"/>
                <w:szCs w:val="28"/>
              </w:rPr>
              <w:t>目标及投资策略</w:t>
            </w:r>
          </w:p>
          <w:p w:rsidR="007F1C9F" w:rsidRPr="007B3988" w:rsidRDefault="007F1C9F" w:rsidP="00C6019E">
            <w:pPr>
              <w:pStyle w:val="ssPara1"/>
              <w:spacing w:before="60"/>
              <w:rPr>
                <w:rFonts w:eastAsia="PMingLiU" w:cstheme="minorHAnsi"/>
                <w:b/>
                <w:bCs/>
                <w:sz w:val="20"/>
                <w:szCs w:val="20"/>
              </w:rPr>
            </w:pPr>
            <w:r w:rsidRPr="007B3988">
              <w:rPr>
                <w:rFonts w:cstheme="minorHAnsi" w:hint="eastAsia"/>
                <w:b/>
                <w:bCs/>
                <w:sz w:val="20"/>
                <w:szCs w:val="20"/>
              </w:rPr>
              <w:t>目标</w:t>
            </w:r>
          </w:p>
          <w:p w:rsidR="007F1C9F" w:rsidRPr="007B3988" w:rsidRDefault="007F1C9F" w:rsidP="00C6019E">
            <w:pPr>
              <w:pStyle w:val="ssPara1"/>
              <w:spacing w:before="60"/>
              <w:rPr>
                <w:rFonts w:eastAsia="PMingLiU" w:cstheme="minorHAnsi"/>
                <w:sz w:val="20"/>
                <w:szCs w:val="20"/>
                <w:lang w:val="en-US"/>
              </w:rPr>
            </w:pPr>
            <w:r w:rsidRPr="007B3988">
              <w:rPr>
                <w:rFonts w:cstheme="minorHAnsi" w:hint="eastAsia"/>
                <w:sz w:val="20"/>
                <w:szCs w:val="20"/>
              </w:rPr>
              <w:t>本基金的投资目标是通过主要投资于全球新兴市场债券及新兴市场货币，以取得收入及资本增值。</w:t>
            </w:r>
          </w:p>
          <w:p w:rsidR="007F1C9F" w:rsidRPr="007B3988" w:rsidRDefault="007F1C9F" w:rsidP="00C6019E">
            <w:pPr>
              <w:pStyle w:val="ssPara1"/>
              <w:spacing w:before="60"/>
              <w:rPr>
                <w:rFonts w:eastAsia="PMingLiU" w:cstheme="minorHAnsi"/>
                <w:b/>
                <w:bCs/>
                <w:sz w:val="20"/>
                <w:szCs w:val="20"/>
                <w:lang w:val="en-US"/>
              </w:rPr>
            </w:pPr>
            <w:r w:rsidRPr="007B3988">
              <w:rPr>
                <w:rFonts w:cstheme="minorHAnsi" w:hint="eastAsia"/>
                <w:b/>
                <w:bCs/>
                <w:sz w:val="20"/>
                <w:szCs w:val="20"/>
              </w:rPr>
              <w:t>策略</w:t>
            </w:r>
          </w:p>
          <w:p w:rsidR="007F1C9F" w:rsidRPr="007B3988" w:rsidRDefault="007F1C9F" w:rsidP="00C6019E">
            <w:pPr>
              <w:pStyle w:val="ssPara1"/>
              <w:spacing w:before="60"/>
              <w:rPr>
                <w:rFonts w:eastAsia="PMingLiU" w:cstheme="minorHAnsi"/>
                <w:sz w:val="20"/>
                <w:szCs w:val="20"/>
                <w:lang w:val="en-US"/>
              </w:rPr>
            </w:pPr>
            <w:r w:rsidRPr="007B3988">
              <w:rPr>
                <w:rFonts w:cstheme="minorHAnsi" w:hint="eastAsia"/>
                <w:sz w:val="20"/>
                <w:szCs w:val="20"/>
              </w:rPr>
              <w:t>本基金拟通过把最少</w:t>
            </w:r>
            <w:r w:rsidRPr="007B3988">
              <w:rPr>
                <w:rFonts w:cstheme="minorHAnsi"/>
                <w:sz w:val="20"/>
                <w:szCs w:val="20"/>
              </w:rPr>
              <w:t>70%</w:t>
            </w:r>
            <w:r w:rsidRPr="007B3988">
              <w:rPr>
                <w:rFonts w:cstheme="minorHAnsi" w:hint="eastAsia"/>
                <w:sz w:val="20"/>
                <w:szCs w:val="20"/>
              </w:rPr>
              <w:t>的资产净值投资于由属于新兴市场的</w:t>
            </w:r>
            <w:r w:rsidRPr="007B3988">
              <w:rPr>
                <w:rFonts w:cstheme="minorHAnsi"/>
                <w:sz w:val="20"/>
                <w:szCs w:val="20"/>
              </w:rPr>
              <w:t>国家</w:t>
            </w:r>
            <w:r w:rsidRPr="007B3988">
              <w:rPr>
                <w:rFonts w:cstheme="minorHAnsi"/>
                <w:sz w:val="20"/>
                <w:szCs w:val="20"/>
                <w:lang w:val="en-US"/>
              </w:rPr>
              <w:t>/</w:t>
            </w:r>
            <w:r w:rsidRPr="007B3988">
              <w:rPr>
                <w:rFonts w:cstheme="minorHAnsi" w:hint="eastAsia"/>
                <w:sz w:val="20"/>
                <w:szCs w:val="20"/>
                <w:lang w:val="en-US"/>
              </w:rPr>
              <w:t>地区</w:t>
            </w:r>
            <w:r w:rsidRPr="007B3988">
              <w:rPr>
                <w:rFonts w:cstheme="minorHAnsi"/>
                <w:sz w:val="20"/>
                <w:szCs w:val="20"/>
                <w:lang w:val="en-US"/>
              </w:rPr>
              <w:t>的</w:t>
            </w:r>
            <w:r w:rsidRPr="007B3988">
              <w:rPr>
                <w:rFonts w:cstheme="minorHAnsi" w:hint="eastAsia"/>
                <w:sz w:val="20"/>
                <w:szCs w:val="20"/>
              </w:rPr>
              <w:t>政府、政府支持机构或企业发行的债券和新兴市场货币，以达成投资目标。新兴市场包括但不限于亚洲、拉丁美洲、非洲、东欧及中东的</w:t>
            </w:r>
            <w:r w:rsidRPr="007B3988">
              <w:rPr>
                <w:rFonts w:cstheme="minorHAnsi"/>
                <w:sz w:val="20"/>
                <w:szCs w:val="20"/>
              </w:rPr>
              <w:t>市场</w:t>
            </w:r>
            <w:r w:rsidRPr="007B3988">
              <w:rPr>
                <w:rFonts w:cstheme="minorHAnsi" w:hint="eastAsia"/>
                <w:sz w:val="20"/>
                <w:szCs w:val="20"/>
              </w:rPr>
              <w:t>。本基金还可以把最多</w:t>
            </w:r>
            <w:r w:rsidRPr="007B3988">
              <w:rPr>
                <w:rFonts w:cstheme="minorHAnsi"/>
                <w:sz w:val="20"/>
                <w:szCs w:val="20"/>
              </w:rPr>
              <w:t>20%</w:t>
            </w:r>
            <w:r w:rsidRPr="007B3988">
              <w:rPr>
                <w:rFonts w:cstheme="minorHAnsi" w:hint="eastAsia"/>
                <w:sz w:val="20"/>
                <w:szCs w:val="20"/>
              </w:rPr>
              <w:t>的资产净值投资于单一主权发行人</w:t>
            </w:r>
            <w:r w:rsidRPr="007B3988">
              <w:rPr>
                <w:rFonts w:cstheme="minorHAnsi"/>
                <w:sz w:val="20"/>
                <w:szCs w:val="20"/>
                <w:lang w:val="en-US"/>
              </w:rPr>
              <w:t>(</w:t>
            </w:r>
            <w:r w:rsidRPr="007B3988">
              <w:rPr>
                <w:rFonts w:cstheme="minorHAnsi" w:hint="eastAsia"/>
                <w:sz w:val="20"/>
                <w:szCs w:val="20"/>
              </w:rPr>
              <w:t>包括政府、公共机构或地方机关</w:t>
            </w:r>
            <w:r w:rsidRPr="007B3988">
              <w:rPr>
                <w:rFonts w:cs="Arial"/>
                <w:sz w:val="20"/>
                <w:szCs w:val="20"/>
              </w:rPr>
              <w:t>)</w:t>
            </w:r>
            <w:r w:rsidRPr="007B3988">
              <w:rPr>
                <w:rFonts w:cstheme="minorHAnsi" w:hint="eastAsia"/>
                <w:sz w:val="20"/>
                <w:szCs w:val="20"/>
              </w:rPr>
              <w:t>所发行及</w:t>
            </w:r>
            <w:r w:rsidRPr="007B3988">
              <w:rPr>
                <w:rFonts w:cstheme="minorHAnsi"/>
                <w:sz w:val="20"/>
                <w:szCs w:val="20"/>
                <w:lang w:val="en-US"/>
              </w:rPr>
              <w:t>/</w:t>
            </w:r>
            <w:r w:rsidRPr="007B3988">
              <w:rPr>
                <w:rFonts w:cstheme="minorHAnsi" w:hint="eastAsia"/>
                <w:sz w:val="20"/>
                <w:szCs w:val="20"/>
              </w:rPr>
              <w:t>或担保的属于投资级别以下及</w:t>
            </w:r>
            <w:r w:rsidRPr="007B3988">
              <w:rPr>
                <w:rFonts w:cstheme="minorHAnsi"/>
                <w:sz w:val="20"/>
                <w:szCs w:val="20"/>
                <w:lang w:val="en-US"/>
              </w:rPr>
              <w:t>/</w:t>
            </w:r>
            <w:r w:rsidRPr="007B3988">
              <w:rPr>
                <w:rFonts w:cstheme="minorHAnsi" w:hint="eastAsia"/>
                <w:sz w:val="20"/>
                <w:szCs w:val="20"/>
              </w:rPr>
              <w:t>或无评级的债券。有关投资根据基金</w:t>
            </w:r>
            <w:r w:rsidRPr="007B3988">
              <w:rPr>
                <w:rFonts w:cstheme="minorHAnsi"/>
                <w:sz w:val="20"/>
                <w:szCs w:val="20"/>
              </w:rPr>
              <w:t>管理</w:t>
            </w:r>
            <w:r w:rsidRPr="007B3988">
              <w:rPr>
                <w:rFonts w:cstheme="minorHAnsi" w:hint="eastAsia"/>
                <w:sz w:val="20"/>
                <w:szCs w:val="20"/>
              </w:rPr>
              <w:t>人及</w:t>
            </w:r>
            <w:r w:rsidRPr="007B3988">
              <w:rPr>
                <w:rFonts w:cstheme="minorHAnsi" w:hint="eastAsia"/>
                <w:sz w:val="20"/>
                <w:szCs w:val="20"/>
              </w:rPr>
              <w:t>/</w:t>
            </w:r>
            <w:r w:rsidRPr="007B3988">
              <w:rPr>
                <w:rFonts w:cstheme="minorHAnsi" w:hint="eastAsia"/>
                <w:sz w:val="20"/>
                <w:szCs w:val="20"/>
              </w:rPr>
              <w:t>或次</w:t>
            </w:r>
            <w:r w:rsidRPr="007B3988">
              <w:rPr>
                <w:rFonts w:cstheme="minorHAnsi"/>
                <w:sz w:val="20"/>
                <w:szCs w:val="20"/>
              </w:rPr>
              <w:t>管理</w:t>
            </w:r>
            <w:r w:rsidRPr="007B3988">
              <w:rPr>
                <w:rFonts w:cstheme="minorHAnsi" w:hint="eastAsia"/>
                <w:sz w:val="20"/>
                <w:szCs w:val="20"/>
              </w:rPr>
              <w:t>人的专业判断作出，其投资理由可能包括主权发行人的理想前景、评级的升级潜力以及有关投资价值因评级变化而预期会出现的变动。</w:t>
            </w:r>
          </w:p>
          <w:p w:rsidR="007F1C9F" w:rsidRPr="007B3988" w:rsidRDefault="007F1C9F" w:rsidP="00C6019E">
            <w:pPr>
              <w:pStyle w:val="ssPara1"/>
              <w:spacing w:before="60"/>
              <w:rPr>
                <w:rFonts w:cstheme="minorHAnsi"/>
                <w:sz w:val="20"/>
                <w:szCs w:val="20"/>
              </w:rPr>
            </w:pPr>
            <w:r w:rsidRPr="007B3988">
              <w:rPr>
                <w:rFonts w:cstheme="minorHAnsi" w:hint="eastAsia"/>
                <w:sz w:val="20"/>
                <w:szCs w:val="20"/>
              </w:rPr>
              <w:t>本基金的其余资产净值可投资于本基金所投主要地域及资产类别以外的资产，包括发达市场及发展中市场的债</w:t>
            </w:r>
            <w:r w:rsidRPr="007B3988">
              <w:rPr>
                <w:rFonts w:cstheme="minorHAnsi" w:hint="eastAsia"/>
                <w:sz w:val="20"/>
                <w:szCs w:val="20"/>
              </w:rPr>
              <w:lastRenderedPageBreak/>
              <w:t>务工具</w:t>
            </w:r>
            <w:r w:rsidRPr="007B3988">
              <w:rPr>
                <w:rFonts w:cstheme="minorHAnsi" w:hint="eastAsia"/>
                <w:sz w:val="20"/>
                <w:szCs w:val="20"/>
              </w:rPr>
              <w:t>(</w:t>
            </w:r>
            <w:r w:rsidRPr="007B3988">
              <w:rPr>
                <w:rFonts w:cstheme="minorHAnsi" w:hint="eastAsia"/>
                <w:sz w:val="20"/>
                <w:szCs w:val="20"/>
              </w:rPr>
              <w:t>如美国国库券、企业债券、货币市场工具及存款</w:t>
            </w:r>
            <w:r w:rsidRPr="007B3988">
              <w:rPr>
                <w:rFonts w:cs="Arial"/>
                <w:sz w:val="20"/>
                <w:szCs w:val="20"/>
              </w:rPr>
              <w:t>)</w:t>
            </w:r>
            <w:r w:rsidRPr="007B3988">
              <w:rPr>
                <w:rFonts w:cstheme="minorHAnsi" w:hint="eastAsia"/>
                <w:sz w:val="20"/>
                <w:szCs w:val="20"/>
              </w:rPr>
              <w:t>、基金及现金等价物。本基金还可投资于金融衍生工具以用作对冲或投资目的，但相关投资须在《单位信托及互惠基金守则》</w:t>
            </w:r>
            <w:r w:rsidRPr="007B3988">
              <w:rPr>
                <w:rFonts w:cstheme="minorHAnsi" w:hint="eastAsia"/>
                <w:sz w:val="20"/>
                <w:szCs w:val="20"/>
              </w:rPr>
              <w:t>(</w:t>
            </w:r>
            <w:r w:rsidRPr="007B3988">
              <w:rPr>
                <w:rFonts w:cstheme="minorHAnsi" w:hint="eastAsia"/>
                <w:sz w:val="20"/>
                <w:szCs w:val="20"/>
              </w:rPr>
              <w:t>“《守则》”</w:t>
            </w:r>
            <w:r w:rsidRPr="007B3988">
              <w:rPr>
                <w:rFonts w:cs="Arial"/>
                <w:sz w:val="20"/>
                <w:szCs w:val="20"/>
              </w:rPr>
              <w:t>)</w:t>
            </w:r>
            <w:r w:rsidRPr="007B3988">
              <w:rPr>
                <w:rFonts w:cstheme="minorHAnsi" w:hint="eastAsia"/>
                <w:sz w:val="20"/>
                <w:szCs w:val="20"/>
              </w:rPr>
              <w:t>和招募说明书</w:t>
            </w:r>
            <w:r w:rsidRPr="007B3988">
              <w:rPr>
                <w:rFonts w:cstheme="minorHAnsi"/>
                <w:sz w:val="20"/>
                <w:szCs w:val="20"/>
              </w:rPr>
              <w:t>之</w:t>
            </w:r>
            <w:r w:rsidRPr="007B3988">
              <w:rPr>
                <w:rFonts w:cstheme="minorHAnsi" w:hint="eastAsia"/>
                <w:sz w:val="20"/>
                <w:szCs w:val="20"/>
              </w:rPr>
              <w:t>基金说明书中的投资限制所容许的范围内</w:t>
            </w:r>
            <w:r w:rsidRPr="007B3988">
              <w:rPr>
                <w:rFonts w:cstheme="minorHAnsi"/>
                <w:sz w:val="20"/>
                <w:szCs w:val="20"/>
                <w:lang w:val="en-US"/>
              </w:rPr>
              <w:t>(</w:t>
            </w:r>
            <w:r w:rsidRPr="007B3988">
              <w:rPr>
                <w:rFonts w:cstheme="minorHAnsi" w:hint="eastAsia"/>
                <w:sz w:val="20"/>
                <w:szCs w:val="20"/>
              </w:rPr>
              <w:t>尽管如此，衍生工具不会被广泛地用于投资用途</w:t>
            </w:r>
            <w:r w:rsidRPr="007B3988">
              <w:rPr>
                <w:rFonts w:cs="Arial"/>
                <w:sz w:val="20"/>
                <w:szCs w:val="20"/>
              </w:rPr>
              <w:t>)</w:t>
            </w:r>
            <w:r w:rsidRPr="007B3988">
              <w:rPr>
                <w:rFonts w:cstheme="minorHAnsi" w:hint="eastAsia"/>
                <w:sz w:val="20"/>
                <w:szCs w:val="20"/>
              </w:rPr>
              <w:t>进行。本基金的投资将会受限于《守则》第</w:t>
            </w:r>
            <w:r w:rsidRPr="007B3988">
              <w:rPr>
                <w:rFonts w:cstheme="minorHAnsi"/>
                <w:sz w:val="20"/>
                <w:szCs w:val="20"/>
              </w:rPr>
              <w:t>7</w:t>
            </w:r>
            <w:r w:rsidRPr="007B3988">
              <w:rPr>
                <w:rFonts w:cstheme="minorHAnsi" w:hint="eastAsia"/>
                <w:sz w:val="20"/>
                <w:szCs w:val="20"/>
              </w:rPr>
              <w:t>章载列的限制。</w:t>
            </w:r>
          </w:p>
          <w:p w:rsidR="007F1C9F" w:rsidRPr="007B3988" w:rsidRDefault="007F1C9F" w:rsidP="00C6019E">
            <w:pPr>
              <w:pStyle w:val="ssPara1"/>
              <w:rPr>
                <w:rFonts w:eastAsia="PMingLiU" w:cstheme="minorHAnsi"/>
                <w:sz w:val="20"/>
                <w:szCs w:val="20"/>
              </w:rPr>
            </w:pPr>
            <w:r w:rsidRPr="007B3988">
              <w:rPr>
                <w:rFonts w:cstheme="minorHAnsi" w:hint="eastAsia"/>
                <w:sz w:val="20"/>
                <w:szCs w:val="20"/>
              </w:rPr>
              <w:t>本基金并无义务在任何指定时间投资于任何国家</w:t>
            </w:r>
            <w:r w:rsidRPr="007B3988">
              <w:rPr>
                <w:rFonts w:cstheme="minorHAnsi" w:hint="eastAsia"/>
                <w:sz w:val="20"/>
                <w:szCs w:val="20"/>
              </w:rPr>
              <w:t>/</w:t>
            </w:r>
            <w:r w:rsidRPr="007B3988">
              <w:rPr>
                <w:rFonts w:cstheme="minorHAnsi" w:hint="eastAsia"/>
                <w:sz w:val="20"/>
                <w:szCs w:val="20"/>
              </w:rPr>
              <w:t>地区，资产净值投资比例也不受任何限制，可投资于任何单一国家或地区，但是投资于内地的比例不得多于资产净值</w:t>
            </w:r>
            <w:r w:rsidRPr="007B3988">
              <w:rPr>
                <w:rFonts w:cstheme="minorHAnsi"/>
                <w:sz w:val="20"/>
                <w:szCs w:val="20"/>
              </w:rPr>
              <w:t>的</w:t>
            </w:r>
            <w:r w:rsidRPr="007B3988">
              <w:rPr>
                <w:rFonts w:cstheme="minorHAnsi"/>
                <w:sz w:val="20"/>
                <w:szCs w:val="20"/>
              </w:rPr>
              <w:t>20%</w:t>
            </w:r>
            <w:r w:rsidRPr="007B3988">
              <w:rPr>
                <w:rFonts w:cstheme="minorHAnsi" w:hint="eastAsia"/>
                <w:sz w:val="20"/>
                <w:szCs w:val="20"/>
              </w:rPr>
              <w:t>。本基金所持债务工具也没有最低</w:t>
            </w:r>
            <w:r w:rsidR="00BF037D">
              <w:rPr>
                <w:rFonts w:cstheme="minorHAnsi" w:hint="eastAsia"/>
                <w:sz w:val="20"/>
                <w:szCs w:val="20"/>
              </w:rPr>
              <w:t>信用</w:t>
            </w:r>
            <w:r w:rsidRPr="007B3988">
              <w:rPr>
                <w:rFonts w:cstheme="minorHAnsi" w:hint="eastAsia"/>
                <w:sz w:val="20"/>
                <w:szCs w:val="20"/>
              </w:rPr>
              <w:t>评级限制</w:t>
            </w:r>
            <w:r w:rsidRPr="007B3988">
              <w:rPr>
                <w:rFonts w:cstheme="minorHAnsi" w:hint="eastAsia"/>
                <w:sz w:val="20"/>
                <w:szCs w:val="20"/>
              </w:rPr>
              <w:t>(</w:t>
            </w:r>
            <w:r w:rsidRPr="007B3988">
              <w:rPr>
                <w:rFonts w:cstheme="minorHAnsi" w:hint="eastAsia"/>
                <w:sz w:val="20"/>
                <w:szCs w:val="20"/>
              </w:rPr>
              <w:t>因此可持有无评级或较低评级证券</w:t>
            </w:r>
            <w:r w:rsidRPr="007B3988">
              <w:rPr>
                <w:rFonts w:cs="Arial"/>
                <w:sz w:val="20"/>
                <w:szCs w:val="20"/>
              </w:rPr>
              <w:t>)</w:t>
            </w:r>
            <w:r w:rsidRPr="007B3988">
              <w:rPr>
                <w:rFonts w:cstheme="minorHAnsi" w:hint="eastAsia"/>
                <w:sz w:val="20"/>
                <w:szCs w:val="20"/>
              </w:rPr>
              <w:t>，而投资于无评级或较低评级证券的资产净值比例亦不受任何限制。</w:t>
            </w:r>
          </w:p>
          <w:p w:rsidR="007F1C9F" w:rsidRPr="007B3988" w:rsidRDefault="007F1C9F" w:rsidP="00083975">
            <w:pPr>
              <w:pStyle w:val="ssPara1"/>
              <w:rPr>
                <w:rFonts w:eastAsia="PMingLiU" w:cstheme="minorHAnsi"/>
                <w:sz w:val="20"/>
                <w:szCs w:val="20"/>
                <w:lang w:val="en-US"/>
              </w:rPr>
            </w:pPr>
            <w:r w:rsidRPr="007B3988">
              <w:rPr>
                <w:rFonts w:cstheme="minorHAnsi" w:hint="eastAsia"/>
                <w:sz w:val="20"/>
                <w:szCs w:val="20"/>
              </w:rPr>
              <w:t>对内地证券的投资将以基金</w:t>
            </w:r>
            <w:r w:rsidRPr="007B3988">
              <w:rPr>
                <w:rFonts w:cstheme="minorHAnsi"/>
                <w:sz w:val="20"/>
                <w:szCs w:val="20"/>
              </w:rPr>
              <w:t>管理</w:t>
            </w:r>
            <w:r w:rsidRPr="007B3988">
              <w:rPr>
                <w:rFonts w:cstheme="minorHAnsi" w:hint="eastAsia"/>
                <w:sz w:val="20"/>
                <w:szCs w:val="20"/>
              </w:rPr>
              <w:t>人的人民币合格境外机构投资者</w:t>
            </w:r>
            <w:r w:rsidRPr="007B3988">
              <w:rPr>
                <w:rFonts w:cstheme="minorHAnsi" w:hint="eastAsia"/>
                <w:sz w:val="20"/>
                <w:szCs w:val="20"/>
              </w:rPr>
              <w:t>(</w:t>
            </w:r>
            <w:r w:rsidRPr="007B3988">
              <w:rPr>
                <w:rFonts w:cstheme="minorHAnsi" w:hint="eastAsia"/>
                <w:sz w:val="20"/>
                <w:szCs w:val="20"/>
              </w:rPr>
              <w:t>“</w:t>
            </w:r>
            <w:r w:rsidRPr="007B3988">
              <w:rPr>
                <w:rFonts w:cstheme="minorHAnsi"/>
                <w:sz w:val="20"/>
                <w:szCs w:val="20"/>
              </w:rPr>
              <w:t>RQFII</w:t>
            </w:r>
            <w:r w:rsidRPr="007B3988">
              <w:rPr>
                <w:rFonts w:cstheme="minorHAnsi" w:hint="eastAsia"/>
                <w:sz w:val="20"/>
                <w:szCs w:val="20"/>
              </w:rPr>
              <w:t>”</w:t>
            </w:r>
            <w:r w:rsidRPr="007B3988">
              <w:rPr>
                <w:rFonts w:cs="Arial"/>
                <w:sz w:val="20"/>
                <w:szCs w:val="20"/>
              </w:rPr>
              <w:t>)</w:t>
            </w:r>
            <w:r w:rsidRPr="007B3988">
              <w:rPr>
                <w:rFonts w:cstheme="minorHAnsi" w:hint="eastAsia"/>
                <w:sz w:val="20"/>
                <w:szCs w:val="20"/>
              </w:rPr>
              <w:t>身份</w:t>
            </w:r>
            <w:r w:rsidR="004944EC">
              <w:rPr>
                <w:rFonts w:cstheme="minorHAnsi" w:hint="eastAsia"/>
                <w:sz w:val="20"/>
                <w:szCs w:val="20"/>
              </w:rPr>
              <w:t>、</w:t>
            </w:r>
            <w:r w:rsidRPr="007B3988">
              <w:rPr>
                <w:rFonts w:cstheme="minorHAnsi" w:hint="eastAsia"/>
                <w:sz w:val="20"/>
                <w:szCs w:val="20"/>
              </w:rPr>
              <w:t>根据</w:t>
            </w:r>
            <w:r w:rsidRPr="007B3988">
              <w:rPr>
                <w:rFonts w:cstheme="minorHAnsi"/>
                <w:sz w:val="20"/>
                <w:szCs w:val="20"/>
              </w:rPr>
              <w:t>RQFII</w:t>
            </w:r>
            <w:r w:rsidRPr="007B3988">
              <w:rPr>
                <w:rFonts w:cstheme="minorHAnsi" w:hint="eastAsia"/>
                <w:sz w:val="20"/>
                <w:szCs w:val="20"/>
              </w:rPr>
              <w:t>规定</w:t>
            </w:r>
            <w:r w:rsidR="00083975">
              <w:rPr>
                <w:rFonts w:cstheme="minorHAnsi" w:hint="eastAsia"/>
                <w:sz w:val="20"/>
                <w:szCs w:val="20"/>
              </w:rPr>
              <w:t>进行，</w:t>
            </w:r>
            <w:r w:rsidR="004944EC">
              <w:rPr>
                <w:rFonts w:cstheme="minorHAnsi" w:hint="eastAsia"/>
                <w:sz w:val="20"/>
                <w:szCs w:val="20"/>
              </w:rPr>
              <w:t>并通过</w:t>
            </w:r>
            <w:r w:rsidRPr="007B3988">
              <w:rPr>
                <w:rFonts w:cstheme="minorHAnsi" w:hint="eastAsia"/>
                <w:sz w:val="20"/>
                <w:szCs w:val="20"/>
              </w:rPr>
              <w:t>境外投资机制及</w:t>
            </w:r>
            <w:r w:rsidRPr="007B3988">
              <w:rPr>
                <w:rFonts w:cstheme="minorHAnsi"/>
                <w:sz w:val="20"/>
                <w:szCs w:val="20"/>
              </w:rPr>
              <w:t>/</w:t>
            </w:r>
            <w:r w:rsidRPr="007B3988">
              <w:rPr>
                <w:rFonts w:cstheme="minorHAnsi" w:hint="eastAsia"/>
                <w:sz w:val="20"/>
                <w:szCs w:val="20"/>
              </w:rPr>
              <w:t>或债券通</w:t>
            </w:r>
            <w:r w:rsidRPr="007B3988">
              <w:rPr>
                <w:rFonts w:cstheme="minorHAnsi"/>
                <w:sz w:val="20"/>
                <w:szCs w:val="20"/>
              </w:rPr>
              <w:t>(</w:t>
            </w:r>
            <w:r w:rsidRPr="007B3988">
              <w:rPr>
                <w:rFonts w:cstheme="minorHAnsi" w:hint="eastAsia"/>
                <w:sz w:val="20"/>
                <w:szCs w:val="20"/>
              </w:rPr>
              <w:t>均在招募说明书</w:t>
            </w:r>
            <w:r w:rsidRPr="007B3988">
              <w:rPr>
                <w:rFonts w:cstheme="minorHAnsi"/>
                <w:sz w:val="20"/>
                <w:szCs w:val="20"/>
              </w:rPr>
              <w:t>之</w:t>
            </w:r>
            <w:r w:rsidRPr="007B3988">
              <w:rPr>
                <w:rFonts w:cstheme="minorHAnsi" w:hint="eastAsia"/>
                <w:sz w:val="20"/>
                <w:szCs w:val="20"/>
              </w:rPr>
              <w:t>基金说明书有详细说明</w:t>
            </w:r>
            <w:r w:rsidRPr="007B3988">
              <w:rPr>
                <w:rFonts w:cstheme="minorHAnsi"/>
                <w:sz w:val="20"/>
                <w:szCs w:val="20"/>
              </w:rPr>
              <w:t>)</w:t>
            </w:r>
            <w:r w:rsidRPr="007B3988">
              <w:rPr>
                <w:rFonts w:cstheme="minorHAnsi" w:hint="eastAsia"/>
                <w:sz w:val="20"/>
                <w:szCs w:val="20"/>
              </w:rPr>
              <w:t>进行。</w:t>
            </w:r>
          </w:p>
          <w:p w:rsidR="007F1C9F" w:rsidRPr="007B3988" w:rsidRDefault="007F1C9F" w:rsidP="00C6019E">
            <w:pPr>
              <w:pStyle w:val="ssPara1"/>
              <w:rPr>
                <w:rFonts w:cstheme="minorHAnsi"/>
                <w:sz w:val="20"/>
                <w:szCs w:val="20"/>
              </w:rPr>
            </w:pPr>
            <w:r w:rsidRPr="007B3988">
              <w:rPr>
                <w:rFonts w:cstheme="minorHAnsi" w:hint="eastAsia"/>
                <w:sz w:val="20"/>
                <w:szCs w:val="20"/>
              </w:rPr>
              <w:t>本基金不会投资于资产支持证券</w:t>
            </w:r>
            <w:r w:rsidRPr="007B3988">
              <w:rPr>
                <w:rFonts w:cstheme="minorHAnsi" w:hint="eastAsia"/>
                <w:sz w:val="20"/>
                <w:szCs w:val="20"/>
              </w:rPr>
              <w:t>(</w:t>
            </w:r>
            <w:r w:rsidRPr="007B3988">
              <w:rPr>
                <w:rFonts w:cstheme="minorHAnsi" w:hint="eastAsia"/>
                <w:sz w:val="20"/>
                <w:szCs w:val="20"/>
              </w:rPr>
              <w:t>包括资产支持商业票据</w:t>
            </w:r>
            <w:r w:rsidRPr="007B3988">
              <w:rPr>
                <w:rFonts w:cs="Arial"/>
                <w:sz w:val="20"/>
                <w:szCs w:val="20"/>
              </w:rPr>
              <w:t>)</w:t>
            </w:r>
            <w:r w:rsidRPr="007B3988">
              <w:rPr>
                <w:rFonts w:cstheme="minorHAnsi" w:hint="eastAsia"/>
                <w:sz w:val="20"/>
                <w:szCs w:val="20"/>
              </w:rPr>
              <w:t>。本基金也不会订立</w:t>
            </w:r>
            <w:r w:rsidR="00FD4363" w:rsidRPr="00FD4363">
              <w:rPr>
                <w:rFonts w:cstheme="minorHAnsi" w:hint="eastAsia"/>
                <w:sz w:val="20"/>
                <w:szCs w:val="20"/>
              </w:rPr>
              <w:t>销售及</w:t>
            </w:r>
            <w:r w:rsidRPr="007B3988">
              <w:rPr>
                <w:rFonts w:cstheme="minorHAnsi" w:hint="eastAsia"/>
                <w:sz w:val="20"/>
                <w:szCs w:val="20"/>
              </w:rPr>
              <w:t>回购与逆回购交易、证券借贷交易或其他类似场外交易。本基金不会寻求对任何股本证券进行投资，所以因可转换债券的</w:t>
            </w:r>
            <w:r w:rsidRPr="007B3988">
              <w:rPr>
                <w:rFonts w:cstheme="minorHAnsi"/>
                <w:sz w:val="20"/>
                <w:szCs w:val="20"/>
              </w:rPr>
              <w:t>转换</w:t>
            </w:r>
            <w:r w:rsidRPr="007B3988">
              <w:rPr>
                <w:rFonts w:cstheme="minorHAnsi" w:hint="eastAsia"/>
                <w:sz w:val="20"/>
                <w:szCs w:val="20"/>
              </w:rPr>
              <w:t>而使得本</w:t>
            </w:r>
            <w:r w:rsidRPr="007B3988">
              <w:rPr>
                <w:rFonts w:cstheme="minorHAnsi"/>
                <w:sz w:val="20"/>
                <w:szCs w:val="20"/>
              </w:rPr>
              <w:t>基金的投资组合</w:t>
            </w:r>
            <w:r w:rsidRPr="007B3988">
              <w:rPr>
                <w:rFonts w:cstheme="minorHAnsi" w:hint="eastAsia"/>
                <w:sz w:val="20"/>
                <w:szCs w:val="20"/>
              </w:rPr>
              <w:t>持有的任何股本证券将仅为附带的、被动性的。持有任何该等股本均为暂时性的，本基金将按当时市况在</w:t>
            </w:r>
            <w:r w:rsidRPr="007B3988">
              <w:rPr>
                <w:rFonts w:hint="eastAsia"/>
                <w:sz w:val="20"/>
                <w:szCs w:val="20"/>
              </w:rPr>
              <w:t>切实</w:t>
            </w:r>
            <w:r w:rsidRPr="007B3988">
              <w:rPr>
                <w:rFonts w:cstheme="minorHAnsi" w:hint="eastAsia"/>
                <w:sz w:val="20"/>
                <w:szCs w:val="20"/>
              </w:rPr>
              <w:t>可行情况下尽快出售持有的有关股本。</w:t>
            </w:r>
          </w:p>
          <w:p w:rsidR="007F1C9F" w:rsidRPr="007B3988" w:rsidRDefault="007F1C9F" w:rsidP="00C6019E">
            <w:pPr>
              <w:pStyle w:val="ssPara1"/>
              <w:rPr>
                <w:rFonts w:eastAsia="PMingLiU" w:cstheme="minorHAnsi"/>
                <w:sz w:val="20"/>
                <w:szCs w:val="20"/>
              </w:rPr>
            </w:pPr>
            <w:r w:rsidRPr="007B3988">
              <w:rPr>
                <w:rFonts w:cstheme="minorHAnsi" w:hint="eastAsia"/>
                <w:sz w:val="20"/>
                <w:szCs w:val="20"/>
              </w:rPr>
              <w:t>基金</w:t>
            </w:r>
            <w:r w:rsidRPr="007B3988">
              <w:rPr>
                <w:rFonts w:cstheme="minorHAnsi"/>
                <w:sz w:val="20"/>
                <w:szCs w:val="20"/>
              </w:rPr>
              <w:t>管理人</w:t>
            </w:r>
            <w:r w:rsidRPr="007B3988">
              <w:rPr>
                <w:rFonts w:cstheme="minorHAnsi" w:hint="eastAsia"/>
                <w:sz w:val="20"/>
                <w:szCs w:val="20"/>
              </w:rPr>
              <w:t>将负责内地及香港的投资组合配置和本基金的整体投资组合配置。次管理人将负责管理内地及香港以外的投资组合配置。</w:t>
            </w:r>
          </w:p>
        </w:tc>
      </w:tr>
      <w:tr w:rsidR="00FD4363" w:rsidRPr="007B3988" w:rsidTr="00F340F6">
        <w:tc>
          <w:tcPr>
            <w:tcW w:w="9829" w:type="dxa"/>
            <w:gridSpan w:val="2"/>
            <w:tcBorders>
              <w:top w:val="single" w:sz="4" w:space="0" w:color="auto"/>
              <w:left w:val="single" w:sz="4" w:space="0" w:color="auto"/>
              <w:bottom w:val="single" w:sz="4" w:space="0" w:color="auto"/>
              <w:right w:val="single" w:sz="4" w:space="0" w:color="auto"/>
            </w:tcBorders>
          </w:tcPr>
          <w:p w:rsidR="00FD4363" w:rsidRPr="00732F03" w:rsidRDefault="00FD4363" w:rsidP="00FD4363">
            <w:pPr>
              <w:pStyle w:val="ssPara1"/>
              <w:spacing w:before="60" w:after="120"/>
              <w:rPr>
                <w:rFonts w:ascii="Calibri" w:hAnsi="Calibri" w:cs="Arial"/>
                <w:highlight w:val="yellow"/>
              </w:rPr>
            </w:pPr>
            <w:r w:rsidRPr="00994606">
              <w:rPr>
                <w:rFonts w:ascii="Calibri" w:hAnsi="Calibri" w:cs="Arial" w:hint="eastAsia"/>
                <w:b/>
                <w:bCs/>
                <w:sz w:val="28"/>
                <w:szCs w:val="28"/>
              </w:rPr>
              <w:lastRenderedPageBreak/>
              <w:t>运用衍生工具／投资于衍生工具</w:t>
            </w:r>
          </w:p>
          <w:p w:rsidR="00FD4363" w:rsidRPr="007B3988" w:rsidRDefault="00612F5A" w:rsidP="00CE759B">
            <w:pPr>
              <w:pStyle w:val="ssPara1"/>
              <w:spacing w:before="60"/>
              <w:rPr>
                <w:rFonts w:cs="Arial"/>
                <w:b/>
                <w:bCs/>
                <w:sz w:val="28"/>
                <w:szCs w:val="28"/>
              </w:rPr>
            </w:pPr>
            <w:r>
              <w:rPr>
                <w:rFonts w:ascii="Calibri" w:hAnsi="Calibri" w:cs="Arial"/>
                <w:sz w:val="20"/>
                <w:szCs w:val="20"/>
              </w:rPr>
              <w:t>本</w:t>
            </w:r>
            <w:r w:rsidR="00FD4363" w:rsidRPr="00994606">
              <w:rPr>
                <w:rFonts w:ascii="Calibri" w:hAnsi="Calibri" w:cs="Arial" w:hint="eastAsia"/>
                <w:sz w:val="20"/>
                <w:szCs w:val="20"/>
              </w:rPr>
              <w:t>基金的衍生工具净敞口可能高达</w:t>
            </w:r>
            <w:r w:rsidR="00CE759B">
              <w:rPr>
                <w:rFonts w:ascii="Calibri" w:hAnsi="Calibri" w:cs="Arial" w:hint="eastAsia"/>
                <w:sz w:val="20"/>
                <w:szCs w:val="20"/>
              </w:rPr>
              <w:t>本</w:t>
            </w:r>
            <w:r w:rsidR="00FD4363" w:rsidRPr="00994606">
              <w:rPr>
                <w:rFonts w:ascii="Calibri" w:hAnsi="Calibri" w:cs="Arial" w:hint="eastAsia"/>
                <w:sz w:val="20"/>
                <w:szCs w:val="20"/>
              </w:rPr>
              <w:t>基金资产净值的</w:t>
            </w:r>
            <w:r w:rsidR="00FD4363" w:rsidRPr="00994606">
              <w:rPr>
                <w:rFonts w:ascii="Calibri" w:hAnsi="Calibri" w:cs="Arial" w:hint="eastAsia"/>
                <w:sz w:val="20"/>
                <w:szCs w:val="20"/>
              </w:rPr>
              <w:t>50%</w:t>
            </w:r>
            <w:r w:rsidR="00FD4363" w:rsidRPr="00994606">
              <w:rPr>
                <w:rFonts w:ascii="Calibri" w:hAnsi="Calibri" w:cs="Arial" w:hint="eastAsia"/>
                <w:sz w:val="20"/>
                <w:szCs w:val="20"/>
              </w:rPr>
              <w:t>。</w:t>
            </w:r>
          </w:p>
        </w:tc>
      </w:tr>
      <w:tr w:rsidR="007F1C9F" w:rsidRPr="007B3988" w:rsidTr="00F340F6">
        <w:tc>
          <w:tcPr>
            <w:tcW w:w="9829" w:type="dxa"/>
            <w:gridSpan w:val="2"/>
            <w:tcBorders>
              <w:top w:val="single" w:sz="4" w:space="0" w:color="auto"/>
              <w:left w:val="single" w:sz="4" w:space="0" w:color="auto"/>
              <w:bottom w:val="single" w:sz="4" w:space="0" w:color="auto"/>
              <w:right w:val="single" w:sz="4" w:space="0" w:color="auto"/>
            </w:tcBorders>
          </w:tcPr>
          <w:p w:rsidR="007F1C9F" w:rsidRPr="007B3988" w:rsidRDefault="007F1C9F" w:rsidP="005F7DCC">
            <w:pPr>
              <w:pStyle w:val="ssPara1"/>
              <w:rPr>
                <w:rFonts w:cs="Arial"/>
                <w:b/>
                <w:bCs/>
                <w:sz w:val="28"/>
                <w:szCs w:val="28"/>
              </w:rPr>
            </w:pPr>
            <w:r w:rsidRPr="007B3988">
              <w:rPr>
                <w:rFonts w:cs="Arial" w:hint="eastAsia"/>
                <w:b/>
                <w:bCs/>
                <w:sz w:val="28"/>
                <w:szCs w:val="28"/>
              </w:rPr>
              <w:t>香港互认基金的特别说明</w:t>
            </w:r>
          </w:p>
          <w:p w:rsidR="007F1C9F" w:rsidRPr="007B3988" w:rsidRDefault="007F1C9F" w:rsidP="005F7DCC">
            <w:pPr>
              <w:pStyle w:val="ssPara1"/>
              <w:rPr>
                <w:rStyle w:val="CharacterStyle1"/>
                <w:b/>
                <w:szCs w:val="20"/>
                <w:lang w:val="en-HK"/>
              </w:rPr>
            </w:pPr>
            <w:r w:rsidRPr="007B3988">
              <w:rPr>
                <w:rStyle w:val="CharacterStyle1"/>
                <w:rFonts w:hint="eastAsia"/>
                <w:b/>
                <w:szCs w:val="20"/>
                <w:lang w:val="en-HK"/>
              </w:rPr>
              <w:t>关于本基金在内地的注册</w:t>
            </w:r>
          </w:p>
          <w:p w:rsidR="007F1C9F" w:rsidRPr="007B3988" w:rsidRDefault="007F1C9F" w:rsidP="005F7DCC">
            <w:pPr>
              <w:pStyle w:val="ssPara1"/>
              <w:rPr>
                <w:rStyle w:val="CharacterStyle1"/>
                <w:szCs w:val="20"/>
                <w:lang w:val="en-HK"/>
              </w:rPr>
            </w:pPr>
            <w:r w:rsidRPr="007B3988">
              <w:rPr>
                <w:rStyle w:val="CharacterStyle1"/>
                <w:rFonts w:hint="eastAsia"/>
                <w:szCs w:val="20"/>
                <w:lang w:val="en-HK"/>
              </w:rPr>
              <w:t>本基金为依据《香港互认基金管理暂行规定》</w:t>
            </w:r>
            <w:r w:rsidRPr="007B3988">
              <w:rPr>
                <w:rStyle w:val="CharacterStyle1"/>
                <w:szCs w:val="20"/>
                <w:lang w:val="en-HK"/>
              </w:rPr>
              <w:t>(</w:t>
            </w:r>
            <w:r w:rsidRPr="007B3988">
              <w:rPr>
                <w:rStyle w:val="CharacterStyle1"/>
                <w:rFonts w:hint="eastAsia"/>
                <w:szCs w:val="20"/>
                <w:lang w:val="en-HK"/>
              </w:rPr>
              <w:t>中国证监会公告</w:t>
            </w:r>
            <w:r w:rsidRPr="007B3988">
              <w:rPr>
                <w:rStyle w:val="CharacterStyle1"/>
                <w:szCs w:val="20"/>
                <w:lang w:val="en-HK"/>
              </w:rPr>
              <w:t>[2015]12</w:t>
            </w:r>
            <w:r w:rsidRPr="007B3988">
              <w:rPr>
                <w:rStyle w:val="CharacterStyle1"/>
                <w:rFonts w:hint="eastAsia"/>
                <w:szCs w:val="20"/>
                <w:lang w:val="en-HK"/>
              </w:rPr>
              <w:t>号</w:t>
            </w:r>
            <w:r w:rsidRPr="007B3988">
              <w:rPr>
                <w:rStyle w:val="CharacterStyle1"/>
                <w:szCs w:val="20"/>
                <w:lang w:val="en-HK"/>
              </w:rPr>
              <w:t>)</w:t>
            </w:r>
            <w:r w:rsidRPr="007B3988">
              <w:rPr>
                <w:rStyle w:val="CharacterStyle1"/>
                <w:rFonts w:hint="eastAsia"/>
                <w:szCs w:val="20"/>
                <w:lang w:val="en-HK"/>
              </w:rPr>
              <w:t>经中国证券监督管理委员会</w:t>
            </w:r>
            <w:r w:rsidRPr="007B3988">
              <w:rPr>
                <w:rStyle w:val="CharacterStyle1"/>
                <w:szCs w:val="20"/>
                <w:lang w:val="en-HK"/>
              </w:rPr>
              <w:t>(“</w:t>
            </w:r>
            <w:r w:rsidRPr="007B3988">
              <w:rPr>
                <w:rStyle w:val="CharacterStyle1"/>
                <w:szCs w:val="20"/>
                <w:lang w:val="en-HK"/>
              </w:rPr>
              <w:t>中国证监会</w:t>
            </w:r>
            <w:r w:rsidRPr="007B3988">
              <w:rPr>
                <w:rStyle w:val="CharacterStyle1"/>
                <w:szCs w:val="20"/>
                <w:lang w:val="en-HK"/>
              </w:rPr>
              <w:t>”)</w:t>
            </w:r>
            <w:r w:rsidRPr="007B3988">
              <w:rPr>
                <w:rStyle w:val="CharacterStyle1"/>
                <w:rFonts w:hint="eastAsia"/>
                <w:szCs w:val="20"/>
                <w:lang w:val="en-HK"/>
              </w:rPr>
              <w:t>注册后在内地公开销售的香港互认基金。</w:t>
            </w:r>
          </w:p>
          <w:p w:rsidR="007F1C9F" w:rsidRPr="007B3988" w:rsidRDefault="007F1C9F" w:rsidP="005F7DCC">
            <w:pPr>
              <w:pStyle w:val="ssPara1"/>
              <w:rPr>
                <w:rStyle w:val="CharacterStyle1"/>
                <w:szCs w:val="20"/>
                <w:lang w:val="en-HK"/>
              </w:rPr>
            </w:pPr>
            <w:r w:rsidRPr="00107C41">
              <w:rPr>
                <w:rStyle w:val="CharacterStyle1"/>
                <w:rFonts w:hint="eastAsia"/>
                <w:szCs w:val="20"/>
                <w:lang w:val="en-HK"/>
              </w:rPr>
              <w:t>本基金于</w:t>
            </w:r>
            <w:r w:rsidRPr="00107C41">
              <w:rPr>
                <w:rStyle w:val="CharacterStyle1"/>
                <w:szCs w:val="20"/>
                <w:lang w:val="en-HK"/>
              </w:rPr>
              <w:t>201</w:t>
            </w:r>
            <w:r w:rsidR="00AD495A" w:rsidRPr="00107C41">
              <w:rPr>
                <w:rStyle w:val="CharacterStyle1"/>
                <w:szCs w:val="20"/>
                <w:lang w:val="en-HK"/>
              </w:rPr>
              <w:t>9</w:t>
            </w:r>
            <w:r w:rsidRPr="00107C41">
              <w:rPr>
                <w:rStyle w:val="CharacterStyle1"/>
                <w:rFonts w:hint="eastAsia"/>
                <w:szCs w:val="20"/>
                <w:lang w:val="en-HK"/>
              </w:rPr>
              <w:t>年</w:t>
            </w:r>
            <w:r w:rsidR="000F1163" w:rsidRPr="00107C41">
              <w:rPr>
                <w:rStyle w:val="CharacterStyle1"/>
                <w:szCs w:val="20"/>
                <w:lang w:val="en-HK"/>
              </w:rPr>
              <w:t>11</w:t>
            </w:r>
            <w:r w:rsidRPr="00107C41">
              <w:rPr>
                <w:rStyle w:val="CharacterStyle1"/>
                <w:rFonts w:hint="eastAsia"/>
                <w:szCs w:val="20"/>
                <w:lang w:val="en-HK"/>
              </w:rPr>
              <w:t>月</w:t>
            </w:r>
            <w:r w:rsidR="000F1163" w:rsidRPr="00107C41">
              <w:rPr>
                <w:rStyle w:val="CharacterStyle1"/>
                <w:szCs w:val="20"/>
                <w:lang w:val="en-HK"/>
              </w:rPr>
              <w:t>12</w:t>
            </w:r>
            <w:r w:rsidRPr="00107C41">
              <w:rPr>
                <w:rStyle w:val="CharacterStyle1"/>
                <w:rFonts w:hint="eastAsia"/>
                <w:szCs w:val="20"/>
                <w:lang w:val="en-HK"/>
              </w:rPr>
              <w:t>日经中国证监会证监许可</w:t>
            </w:r>
            <w:r w:rsidRPr="00107C41">
              <w:rPr>
                <w:rStyle w:val="CharacterStyle1"/>
                <w:szCs w:val="20"/>
                <w:lang w:val="en-HK"/>
              </w:rPr>
              <w:t>[201</w:t>
            </w:r>
            <w:r w:rsidR="00AD495A" w:rsidRPr="00107C41">
              <w:rPr>
                <w:rStyle w:val="CharacterStyle1"/>
                <w:szCs w:val="20"/>
                <w:lang w:val="en-HK"/>
              </w:rPr>
              <w:t>9</w:t>
            </w:r>
            <w:r w:rsidRPr="00107C41">
              <w:rPr>
                <w:rStyle w:val="CharacterStyle1"/>
                <w:szCs w:val="20"/>
                <w:lang w:val="en-HK"/>
              </w:rPr>
              <w:t>][</w:t>
            </w:r>
            <w:r w:rsidR="000F1163" w:rsidRPr="00107C41">
              <w:rPr>
                <w:rStyle w:val="CharacterStyle1"/>
                <w:szCs w:val="20"/>
                <w:lang w:val="en-HK"/>
              </w:rPr>
              <w:t>2256</w:t>
            </w:r>
            <w:r w:rsidRPr="00107C41">
              <w:rPr>
                <w:rStyle w:val="CharacterStyle1"/>
                <w:szCs w:val="20"/>
                <w:lang w:val="en-HK"/>
              </w:rPr>
              <w:t>]</w:t>
            </w:r>
            <w:r w:rsidRPr="00107C41">
              <w:rPr>
                <w:rStyle w:val="CharacterStyle1"/>
                <w:rFonts w:hint="eastAsia"/>
                <w:szCs w:val="20"/>
                <w:lang w:val="en-HK"/>
              </w:rPr>
              <w:t>号文注册</w:t>
            </w:r>
            <w:r w:rsidRPr="00C01D4A">
              <w:rPr>
                <w:rStyle w:val="CharacterStyle1"/>
                <w:rFonts w:hint="eastAsia"/>
                <w:szCs w:val="20"/>
                <w:lang w:val="en-HK"/>
              </w:rPr>
              <w:t>。但中国证监会对本基金的注册，并不表明其对本基金的投资价值和市场前景作出实质性判断或保证，也不表明投资于本基金没有风险。</w:t>
            </w:r>
          </w:p>
          <w:p w:rsidR="007F1C9F" w:rsidRPr="007B3988" w:rsidRDefault="007F1C9F" w:rsidP="005F7DCC">
            <w:pPr>
              <w:pStyle w:val="ssPara1"/>
              <w:rPr>
                <w:rStyle w:val="CharacterStyle1"/>
                <w:b/>
                <w:szCs w:val="20"/>
                <w:lang w:val="en-HK"/>
              </w:rPr>
            </w:pPr>
            <w:r w:rsidRPr="007B3988">
              <w:rPr>
                <w:rStyle w:val="CharacterStyle1"/>
                <w:rFonts w:hint="eastAsia"/>
                <w:b/>
                <w:szCs w:val="20"/>
                <w:lang w:val="en-HK"/>
              </w:rPr>
              <w:t>本基金应满足的香港互认基金的条件及不满足时的处理方案</w:t>
            </w:r>
          </w:p>
          <w:p w:rsidR="007F1C9F" w:rsidRPr="007B3988" w:rsidRDefault="007F1C9F" w:rsidP="005F7DCC">
            <w:pPr>
              <w:pStyle w:val="ssPara1"/>
              <w:rPr>
                <w:rStyle w:val="CharacterStyle1"/>
                <w:szCs w:val="20"/>
                <w:lang w:val="en-HK"/>
              </w:rPr>
            </w:pPr>
            <w:r w:rsidRPr="007B3988">
              <w:rPr>
                <w:rStyle w:val="CharacterStyle1"/>
                <w:rFonts w:hint="eastAsia"/>
                <w:szCs w:val="20"/>
                <w:lang w:val="en-HK"/>
              </w:rPr>
              <w:t>依据《香港互认基金管理暂行规定》，本基金作为香港互认基金在内地公开销售，应当持续满足《香港互认基金管理暂行规定》规定的香港互认基金的条件。香港互认基金是指依照香港法律在香港设立、运作和公开销售，并经中国证监会批准在内地公开销售的单位信托、互惠基金或者其他形式的集体投资计划。</w:t>
            </w:r>
          </w:p>
          <w:p w:rsidR="007F1C9F" w:rsidRPr="007B3988" w:rsidRDefault="007F1C9F" w:rsidP="005F7DCC">
            <w:pPr>
              <w:pStyle w:val="ssPara1"/>
              <w:rPr>
                <w:rStyle w:val="CharacterStyle1"/>
                <w:lang w:val="en-HK"/>
              </w:rPr>
            </w:pPr>
            <w:r w:rsidRPr="007B3988">
              <w:rPr>
                <w:rStyle w:val="CharacterStyle1"/>
                <w:rFonts w:hint="eastAsia"/>
                <w:szCs w:val="20"/>
                <w:lang w:val="en-HK"/>
              </w:rPr>
              <w:t>若本基金不符合《香港互认基金管理暂行规定》的条件，包括但不限于资产规模低于</w:t>
            </w:r>
            <w:r w:rsidRPr="007B3988">
              <w:rPr>
                <w:rStyle w:val="CharacterStyle1"/>
                <w:szCs w:val="20"/>
                <w:lang w:val="en-HK"/>
              </w:rPr>
              <w:t>2</w:t>
            </w:r>
            <w:r w:rsidRPr="007B3988">
              <w:rPr>
                <w:rStyle w:val="CharacterStyle1"/>
                <w:rFonts w:hint="eastAsia"/>
                <w:szCs w:val="20"/>
                <w:lang w:val="en-HK"/>
              </w:rPr>
              <w:t>亿元人民币或等值货币，或在内地的销售规模占基金总资产的比例达到或超过</w:t>
            </w:r>
            <w:r w:rsidRPr="007B3988">
              <w:rPr>
                <w:rStyle w:val="CharacterStyle1"/>
                <w:szCs w:val="20"/>
                <w:lang w:val="en-HK"/>
              </w:rPr>
              <w:t>50%</w:t>
            </w:r>
            <w:r w:rsidRPr="007B3988">
              <w:rPr>
                <w:rStyle w:val="CharacterStyle1"/>
                <w:rFonts w:hint="eastAsia"/>
                <w:szCs w:val="20"/>
                <w:lang w:val="en-HK"/>
              </w:rPr>
              <w:t>，本基金将根据相关法律法规暂停内地的销售，直至本基金重新符合香港互认基金的条件。</w:t>
            </w:r>
          </w:p>
          <w:p w:rsidR="007F1C9F" w:rsidRPr="007B3988" w:rsidRDefault="007F1C9F" w:rsidP="005F7DCC">
            <w:pPr>
              <w:pStyle w:val="ssPara1"/>
              <w:rPr>
                <w:rStyle w:val="CharacterStyle1"/>
                <w:rFonts w:eastAsiaTheme="minorEastAsia" w:cs="Arial"/>
                <w:szCs w:val="20"/>
                <w:lang w:val="en-HK"/>
              </w:rPr>
            </w:pPr>
            <w:r w:rsidRPr="007B3988">
              <w:rPr>
                <w:rStyle w:val="CharacterStyle1"/>
                <w:rFonts w:hint="eastAsia"/>
                <w:szCs w:val="20"/>
                <w:lang w:val="en-HK"/>
              </w:rPr>
              <w:t>同时，本基金及其他在内地销售的</w:t>
            </w:r>
            <w:r w:rsidRPr="007B3988">
              <w:rPr>
                <w:rStyle w:val="CharacterStyle1"/>
                <w:rFonts w:eastAsiaTheme="minorEastAsia" w:cs="Arial"/>
                <w:szCs w:val="20"/>
                <w:lang w:val="en-HK"/>
              </w:rPr>
              <w:t>香港互认基金将受到全面的额度限制。若在内地销售的全部香港互认基金的销售额度达到中国证监会和</w:t>
            </w:r>
            <w:r w:rsidRPr="007B3988">
              <w:rPr>
                <w:rStyle w:val="CharacterStyle1"/>
                <w:rFonts w:eastAsiaTheme="minorEastAsia" w:cs="Arial"/>
                <w:szCs w:val="20"/>
                <w:lang w:val="en-HK"/>
              </w:rPr>
              <w:t>/</w:t>
            </w:r>
            <w:r w:rsidRPr="007B3988">
              <w:rPr>
                <w:rStyle w:val="CharacterStyle1"/>
                <w:rFonts w:eastAsiaTheme="minorEastAsia" w:cs="Arial"/>
                <w:szCs w:val="20"/>
                <w:lang w:val="en-HK"/>
              </w:rPr>
              <w:t>或香港证监会和</w:t>
            </w:r>
            <w:r w:rsidRPr="007B3988">
              <w:rPr>
                <w:rStyle w:val="CharacterStyle1"/>
                <w:rFonts w:eastAsiaTheme="minorEastAsia" w:cs="Arial"/>
                <w:szCs w:val="20"/>
                <w:lang w:val="en-HK"/>
              </w:rPr>
              <w:t>/</w:t>
            </w:r>
            <w:r w:rsidRPr="007B3988">
              <w:rPr>
                <w:rStyle w:val="CharacterStyle1"/>
                <w:rFonts w:eastAsiaTheme="minorEastAsia" w:cs="Arial"/>
                <w:szCs w:val="20"/>
                <w:lang w:val="en-HK"/>
              </w:rPr>
              <w:t>或</w:t>
            </w:r>
            <w:r w:rsidRPr="007B3988">
              <w:rPr>
                <w:rFonts w:eastAsiaTheme="minorEastAsia" w:cs="Arial"/>
                <w:sz w:val="20"/>
                <w:szCs w:val="20"/>
              </w:rPr>
              <w:t>国家外汇管理局</w:t>
            </w:r>
            <w:r w:rsidRPr="007B3988">
              <w:rPr>
                <w:rStyle w:val="CharacterStyle1"/>
                <w:rFonts w:eastAsiaTheme="minorEastAsia" w:cs="Arial"/>
                <w:szCs w:val="20"/>
                <w:lang w:val="en-HK"/>
              </w:rPr>
              <w:t>规定的额度或者不时调整的额度，本基金将公告暂停接受内地投资者的申购申请。</w:t>
            </w:r>
          </w:p>
          <w:p w:rsidR="007F1C9F" w:rsidRPr="007B3988" w:rsidRDefault="007F1C9F" w:rsidP="005F7DCC">
            <w:pPr>
              <w:pStyle w:val="ssPara1"/>
              <w:rPr>
                <w:rStyle w:val="CharacterStyle2"/>
                <w:rFonts w:ascii="Times New Roman" w:hAnsi="Times New Roman"/>
                <w:b/>
                <w:sz w:val="20"/>
                <w:szCs w:val="20"/>
                <w:lang w:val="en-AU"/>
              </w:rPr>
            </w:pPr>
            <w:r w:rsidRPr="007B3988">
              <w:rPr>
                <w:rStyle w:val="CharacterStyle2"/>
                <w:rFonts w:ascii="Times New Roman" w:hAnsi="Times New Roman" w:hint="eastAsia"/>
                <w:b/>
                <w:sz w:val="20"/>
                <w:szCs w:val="20"/>
                <w:lang w:val="en-AU"/>
              </w:rPr>
              <w:t>关于公平对待内地投资者的声明</w:t>
            </w:r>
          </w:p>
          <w:p w:rsidR="007F1C9F" w:rsidRPr="007B3988" w:rsidRDefault="007F1C9F" w:rsidP="005F7DCC">
            <w:pPr>
              <w:pStyle w:val="ssPara1"/>
              <w:rPr>
                <w:rStyle w:val="CharacterStyle1"/>
                <w:rFonts w:ascii="Times New Roman" w:hAnsi="Times New Roman"/>
                <w:szCs w:val="20"/>
              </w:rPr>
            </w:pPr>
            <w:r w:rsidRPr="007B3988">
              <w:rPr>
                <w:rStyle w:val="CharacterStyle2"/>
                <w:rFonts w:ascii="Times New Roman" w:hAnsi="Times New Roman" w:hint="eastAsia"/>
                <w:sz w:val="20"/>
                <w:szCs w:val="20"/>
              </w:rPr>
              <w:t>基金管理人兹声明，将按《香港互认基金管理暂行规定》的规定，采取合理措施，确保香港及内地投资者获得公平的对待，包括投资者权益保护、投资者权利行使、信息披露和赔偿等。</w:t>
            </w:r>
          </w:p>
          <w:p w:rsidR="007F1C9F" w:rsidRPr="007B3988" w:rsidRDefault="007F1C9F" w:rsidP="005F7DCC">
            <w:pPr>
              <w:pStyle w:val="ssPara1"/>
              <w:rPr>
                <w:b/>
                <w:sz w:val="20"/>
                <w:szCs w:val="20"/>
              </w:rPr>
            </w:pPr>
            <w:r w:rsidRPr="007B3988">
              <w:rPr>
                <w:rFonts w:hint="eastAsia"/>
                <w:b/>
                <w:sz w:val="20"/>
                <w:szCs w:val="20"/>
              </w:rPr>
              <w:t>基金管理人的内地代理人</w:t>
            </w:r>
          </w:p>
          <w:p w:rsidR="007F1C9F" w:rsidRPr="007B3988" w:rsidRDefault="007F1C9F" w:rsidP="005F7DCC">
            <w:pPr>
              <w:pStyle w:val="ssPara1"/>
              <w:rPr>
                <w:rStyle w:val="CharacterStyle1"/>
                <w:rFonts w:ascii="Times New Roman" w:hAnsi="Times New Roman"/>
                <w:szCs w:val="20"/>
              </w:rPr>
            </w:pPr>
            <w:r w:rsidRPr="007B3988">
              <w:rPr>
                <w:rStyle w:val="CharacterStyle2"/>
                <w:rFonts w:ascii="Times New Roman" w:hAnsi="Times New Roman" w:hint="eastAsia"/>
                <w:sz w:val="20"/>
                <w:szCs w:val="20"/>
              </w:rPr>
              <w:t>内地代理人根据基金管理人的委托，代为办理以下事项：在本基金于内地公开销售前向中国证监会申请注册、</w:t>
            </w:r>
            <w:r w:rsidRPr="007B3988">
              <w:rPr>
                <w:rStyle w:val="CharacterStyle2"/>
                <w:rFonts w:ascii="Times New Roman" w:hAnsi="Times New Roman" w:hint="eastAsia"/>
                <w:sz w:val="20"/>
                <w:szCs w:val="20"/>
              </w:rPr>
              <w:lastRenderedPageBreak/>
              <w:t>本基金的信息披露、内地销售安排、与内地销售机构、基金管理</w:t>
            </w:r>
            <w:r w:rsidRPr="00901386">
              <w:rPr>
                <w:rStyle w:val="CharacterStyle2"/>
                <w:rFonts w:ascii="Times New Roman" w:hAnsi="Times New Roman" w:hint="eastAsia"/>
                <w:sz w:val="20"/>
                <w:szCs w:val="20"/>
              </w:rPr>
              <w:t>人</w:t>
            </w:r>
            <w:r w:rsidRPr="00901386">
              <w:rPr>
                <w:rStyle w:val="CharacterStyle2"/>
                <w:rFonts w:ascii="Times New Roman" w:hAnsi="Times New Roman"/>
                <w:sz w:val="20"/>
                <w:szCs w:val="20"/>
              </w:rPr>
              <w:t>(</w:t>
            </w:r>
            <w:r w:rsidRPr="00901386">
              <w:rPr>
                <w:rStyle w:val="CharacterStyle2"/>
                <w:rFonts w:ascii="Times New Roman" w:hAnsi="Times New Roman" w:hint="eastAsia"/>
                <w:sz w:val="20"/>
                <w:szCs w:val="20"/>
              </w:rPr>
              <w:t>或其指定的行政管理人</w:t>
            </w:r>
            <w:r w:rsidRPr="00901386">
              <w:rPr>
                <w:rStyle w:val="CharacterStyle2"/>
                <w:rFonts w:ascii="Times New Roman" w:hAnsi="Times New Roman"/>
                <w:sz w:val="20"/>
                <w:szCs w:val="20"/>
              </w:rPr>
              <w:t>)</w:t>
            </w:r>
            <w:r w:rsidRPr="00901386">
              <w:rPr>
                <w:rStyle w:val="CharacterStyle2"/>
                <w:rFonts w:ascii="Times New Roman" w:hAnsi="Times New Roman" w:hint="eastAsia"/>
                <w:sz w:val="20"/>
                <w:szCs w:val="20"/>
              </w:rPr>
              <w:t>的数据</w:t>
            </w:r>
            <w:r w:rsidRPr="007B3988">
              <w:rPr>
                <w:rStyle w:val="CharacterStyle2"/>
                <w:rFonts w:ascii="Times New Roman" w:hAnsi="Times New Roman" w:hint="eastAsia"/>
                <w:sz w:val="20"/>
                <w:szCs w:val="20"/>
              </w:rPr>
              <w:t>交换和资金清算、向中国证监会提交监管</w:t>
            </w:r>
            <w:r w:rsidRPr="00901386">
              <w:rPr>
                <w:rStyle w:val="CharacterStyle2"/>
                <w:rFonts w:ascii="Times New Roman" w:hAnsi="Times New Roman" w:hint="eastAsia"/>
                <w:sz w:val="20"/>
                <w:szCs w:val="20"/>
              </w:rPr>
              <w:t>报告</w:t>
            </w:r>
            <w:r w:rsidRPr="007B3988">
              <w:rPr>
                <w:rStyle w:val="CharacterStyle2"/>
                <w:rFonts w:ascii="Times New Roman" w:hAnsi="Times New Roman" w:hint="eastAsia"/>
                <w:sz w:val="20"/>
                <w:szCs w:val="20"/>
              </w:rPr>
              <w:t>、通信联络、为内地投资者提供客户服务、监控等全部或部分事项。</w:t>
            </w:r>
          </w:p>
          <w:p w:rsidR="007F1C9F" w:rsidRPr="007B3988" w:rsidRDefault="007F1C9F" w:rsidP="005F7DCC">
            <w:pPr>
              <w:pStyle w:val="ssPara1"/>
              <w:rPr>
                <w:rStyle w:val="CharacterStyle2"/>
                <w:rFonts w:ascii="Times New Roman" w:hAnsi="Times New Roman"/>
                <w:sz w:val="20"/>
                <w:szCs w:val="20"/>
              </w:rPr>
            </w:pPr>
            <w:r w:rsidRPr="007B3988">
              <w:rPr>
                <w:rStyle w:val="CharacterStyle2"/>
                <w:rFonts w:ascii="Times New Roman" w:hAnsi="Times New Roman" w:hint="eastAsia"/>
                <w:sz w:val="20"/>
                <w:szCs w:val="20"/>
              </w:rPr>
              <w:t>内地代理人基本信息如下：</w:t>
            </w:r>
          </w:p>
          <w:p w:rsidR="007F1C9F" w:rsidRPr="007B3988"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名称：博时基金管理有限公司</w:t>
            </w:r>
          </w:p>
          <w:p w:rsidR="007F1C9F" w:rsidRPr="007B3988"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住所：</w:t>
            </w:r>
            <w:r w:rsidR="00065766" w:rsidRPr="00065766">
              <w:rPr>
                <w:rFonts w:eastAsiaTheme="minorEastAsia" w:cs="Arial" w:hint="eastAsia"/>
                <w:snapToGrid w:val="0"/>
                <w:sz w:val="20"/>
                <w:szCs w:val="20"/>
              </w:rPr>
              <w:t>深圳市福田区莲花街道福新社区益田路</w:t>
            </w:r>
            <w:r w:rsidR="00065766" w:rsidRPr="00065766">
              <w:rPr>
                <w:rFonts w:eastAsiaTheme="minorEastAsia" w:cs="Arial" w:hint="eastAsia"/>
                <w:snapToGrid w:val="0"/>
                <w:sz w:val="20"/>
                <w:szCs w:val="20"/>
              </w:rPr>
              <w:t>5999</w:t>
            </w:r>
            <w:r w:rsidR="00065766" w:rsidRPr="00065766">
              <w:rPr>
                <w:rFonts w:eastAsiaTheme="minorEastAsia" w:cs="Arial" w:hint="eastAsia"/>
                <w:snapToGrid w:val="0"/>
                <w:sz w:val="20"/>
                <w:szCs w:val="20"/>
              </w:rPr>
              <w:t>号基金大厦</w:t>
            </w:r>
            <w:r w:rsidR="00065766" w:rsidRPr="00065766">
              <w:rPr>
                <w:rFonts w:eastAsiaTheme="minorEastAsia" w:cs="Arial" w:hint="eastAsia"/>
                <w:snapToGrid w:val="0"/>
                <w:sz w:val="20"/>
                <w:szCs w:val="20"/>
              </w:rPr>
              <w:t>21</w:t>
            </w:r>
            <w:r w:rsidR="00065766" w:rsidRPr="00065766">
              <w:rPr>
                <w:rFonts w:eastAsiaTheme="minorEastAsia" w:cs="Arial" w:hint="eastAsia"/>
                <w:snapToGrid w:val="0"/>
                <w:sz w:val="20"/>
                <w:szCs w:val="20"/>
              </w:rPr>
              <w:t>层</w:t>
            </w:r>
          </w:p>
          <w:p w:rsidR="002351C2"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办公地址：广东省</w:t>
            </w:r>
            <w:r w:rsidR="002351C2" w:rsidRPr="002351C2">
              <w:rPr>
                <w:rFonts w:eastAsiaTheme="minorEastAsia" w:cs="Arial" w:hint="eastAsia"/>
                <w:snapToGrid w:val="0"/>
                <w:sz w:val="20"/>
                <w:szCs w:val="20"/>
              </w:rPr>
              <w:t>深圳市福田区益田路</w:t>
            </w:r>
            <w:r w:rsidR="002351C2" w:rsidRPr="002351C2">
              <w:rPr>
                <w:rFonts w:eastAsiaTheme="minorEastAsia" w:cs="Arial" w:hint="eastAsia"/>
                <w:snapToGrid w:val="0"/>
                <w:sz w:val="20"/>
                <w:szCs w:val="20"/>
              </w:rPr>
              <w:t>5999</w:t>
            </w:r>
            <w:r w:rsidR="002351C2" w:rsidRPr="002351C2">
              <w:rPr>
                <w:rFonts w:eastAsiaTheme="minorEastAsia" w:cs="Arial" w:hint="eastAsia"/>
                <w:snapToGrid w:val="0"/>
                <w:sz w:val="20"/>
                <w:szCs w:val="20"/>
              </w:rPr>
              <w:t>号基金大厦</w:t>
            </w:r>
            <w:r w:rsidR="002351C2">
              <w:rPr>
                <w:rFonts w:eastAsiaTheme="minorEastAsia" w:cs="Arial" w:hint="eastAsia"/>
                <w:snapToGrid w:val="0"/>
                <w:sz w:val="20"/>
                <w:szCs w:val="20"/>
              </w:rPr>
              <w:t>21</w:t>
            </w:r>
            <w:r w:rsidR="002351C2" w:rsidRPr="002351C2">
              <w:rPr>
                <w:rFonts w:eastAsiaTheme="minorEastAsia" w:cs="Arial" w:hint="eastAsia"/>
                <w:snapToGrid w:val="0"/>
                <w:sz w:val="20"/>
                <w:szCs w:val="20"/>
              </w:rPr>
              <w:t>层办公室</w:t>
            </w:r>
          </w:p>
          <w:p w:rsidR="007F1C9F" w:rsidRPr="007B3988"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法定代表人：张光华</w:t>
            </w:r>
          </w:p>
          <w:p w:rsidR="007F1C9F" w:rsidRPr="007B3988"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联系人：韩明亮</w:t>
            </w:r>
          </w:p>
          <w:p w:rsidR="007F1C9F" w:rsidRPr="007B3988"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联系电话：</w:t>
            </w:r>
            <w:r w:rsidRPr="007B3988">
              <w:rPr>
                <w:rFonts w:eastAsiaTheme="minorEastAsia" w:cs="Arial"/>
                <w:snapToGrid w:val="0"/>
                <w:sz w:val="20"/>
                <w:szCs w:val="20"/>
              </w:rPr>
              <w:t>010-65187055</w:t>
            </w:r>
          </w:p>
          <w:p w:rsidR="007F1C9F" w:rsidRPr="007B3988"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联系邮件：</w:t>
            </w:r>
            <w:r w:rsidRPr="007B3988">
              <w:rPr>
                <w:rFonts w:eastAsiaTheme="minorEastAsia" w:cs="Arial"/>
                <w:snapToGrid w:val="0"/>
                <w:sz w:val="20"/>
                <w:szCs w:val="20"/>
              </w:rPr>
              <w:t>hanml@bosera.com</w:t>
            </w:r>
          </w:p>
          <w:p w:rsidR="007F1C9F" w:rsidRPr="007B3988"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传真：</w:t>
            </w:r>
            <w:r w:rsidRPr="007B3988">
              <w:rPr>
                <w:rFonts w:eastAsiaTheme="minorEastAsia" w:cs="Arial"/>
                <w:snapToGrid w:val="0"/>
                <w:sz w:val="20"/>
                <w:szCs w:val="20"/>
              </w:rPr>
              <w:t>010-65187032</w:t>
            </w:r>
          </w:p>
          <w:p w:rsidR="007F1C9F" w:rsidRPr="007B3988" w:rsidRDefault="007F1C9F" w:rsidP="005F7DCC">
            <w:pPr>
              <w:pStyle w:val="ssPara1"/>
              <w:rPr>
                <w:rStyle w:val="CharacterStyle2"/>
                <w:rFonts w:ascii="Arial" w:eastAsiaTheme="minorEastAsia" w:hAnsi="Arial" w:cs="Arial"/>
                <w:snapToGrid w:val="0"/>
                <w:sz w:val="20"/>
                <w:szCs w:val="20"/>
              </w:rPr>
            </w:pPr>
            <w:r w:rsidRPr="007B3988">
              <w:rPr>
                <w:rFonts w:eastAsiaTheme="minorEastAsia" w:cs="Arial" w:hint="eastAsia"/>
                <w:snapToGrid w:val="0"/>
                <w:sz w:val="20"/>
                <w:szCs w:val="20"/>
              </w:rPr>
              <w:t>网站：</w:t>
            </w:r>
            <w:r w:rsidRPr="007B3988">
              <w:rPr>
                <w:rFonts w:eastAsiaTheme="minorEastAsia" w:cs="Arial"/>
                <w:snapToGrid w:val="0"/>
                <w:sz w:val="20"/>
                <w:szCs w:val="20"/>
              </w:rPr>
              <w:t>http://www.bosera.com</w:t>
            </w:r>
          </w:p>
          <w:p w:rsidR="007F1C9F" w:rsidRPr="007B3988" w:rsidRDefault="007F1C9F" w:rsidP="005F7DCC">
            <w:pPr>
              <w:pStyle w:val="ssPara1"/>
              <w:rPr>
                <w:rStyle w:val="CharacterStyle2"/>
                <w:rFonts w:ascii="Times New Roman" w:hAnsi="Times New Roman"/>
                <w:b/>
                <w:sz w:val="20"/>
                <w:szCs w:val="20"/>
                <w:lang w:val="en-AU"/>
              </w:rPr>
            </w:pPr>
            <w:r w:rsidRPr="007B3988">
              <w:rPr>
                <w:rStyle w:val="CharacterStyle2"/>
                <w:rFonts w:ascii="Times New Roman" w:hAnsi="Times New Roman" w:hint="eastAsia"/>
                <w:b/>
                <w:sz w:val="20"/>
                <w:szCs w:val="20"/>
                <w:lang w:val="en-AU"/>
              </w:rPr>
              <w:t>本基金的内地销售及结算</w:t>
            </w:r>
          </w:p>
          <w:p w:rsidR="007F1C9F" w:rsidRPr="007B3988" w:rsidRDefault="007F1C9F" w:rsidP="005F7DCC">
            <w:pPr>
              <w:pStyle w:val="ssPara1"/>
              <w:rPr>
                <w:rStyle w:val="CharacterStyle2"/>
                <w:rFonts w:ascii="Times New Roman" w:hAnsi="Times New Roman"/>
                <w:i/>
                <w:sz w:val="20"/>
                <w:szCs w:val="20"/>
                <w:u w:val="single"/>
              </w:rPr>
            </w:pPr>
            <w:r w:rsidRPr="007B3988">
              <w:rPr>
                <w:rStyle w:val="CharacterStyle2"/>
                <w:rFonts w:ascii="Times New Roman" w:hAnsi="Times New Roman" w:hint="eastAsia"/>
                <w:i/>
                <w:sz w:val="20"/>
                <w:szCs w:val="20"/>
                <w:u w:val="single"/>
              </w:rPr>
              <w:t>本基金内地销售的场所</w:t>
            </w:r>
          </w:p>
          <w:p w:rsidR="007F1C9F" w:rsidRPr="007B3988" w:rsidRDefault="007F1C9F" w:rsidP="005F7DCC">
            <w:pPr>
              <w:pStyle w:val="ssPara1"/>
              <w:rPr>
                <w:rFonts w:eastAsiaTheme="minorEastAsia" w:cs="Arial"/>
                <w:snapToGrid w:val="0"/>
                <w:sz w:val="20"/>
                <w:szCs w:val="20"/>
              </w:rPr>
            </w:pPr>
            <w:r w:rsidRPr="007B3988">
              <w:rPr>
                <w:rFonts w:eastAsiaTheme="minorEastAsia" w:cs="Arial" w:hint="eastAsia"/>
                <w:snapToGrid w:val="0"/>
                <w:sz w:val="20"/>
                <w:szCs w:val="20"/>
              </w:rPr>
              <w:t>本基金将通过内地代理人及</w:t>
            </w:r>
            <w:r w:rsidRPr="007B3988">
              <w:rPr>
                <w:rFonts w:eastAsiaTheme="minorEastAsia" w:cs="Arial"/>
                <w:snapToGrid w:val="0"/>
                <w:sz w:val="20"/>
                <w:szCs w:val="20"/>
              </w:rPr>
              <w:t>/</w:t>
            </w:r>
            <w:r w:rsidRPr="007B3988">
              <w:rPr>
                <w:rFonts w:eastAsiaTheme="minorEastAsia" w:cs="Arial" w:hint="eastAsia"/>
                <w:snapToGrid w:val="0"/>
                <w:sz w:val="20"/>
                <w:szCs w:val="20"/>
              </w:rPr>
              <w:t>或通过内地代理人经基金管理人同意聘任的或基金管理人聘任的其他具有基金销售业务资格的销售机构</w:t>
            </w:r>
            <w:r w:rsidRPr="007B3988">
              <w:rPr>
                <w:rFonts w:eastAsiaTheme="minorEastAsia" w:cs="Arial"/>
                <w:snapToGrid w:val="0"/>
                <w:sz w:val="20"/>
                <w:szCs w:val="20"/>
              </w:rPr>
              <w:t>(</w:t>
            </w:r>
            <w:r w:rsidRPr="007B3988">
              <w:rPr>
                <w:rFonts w:eastAsiaTheme="minorEastAsia" w:cs="Arial" w:hint="eastAsia"/>
                <w:snapToGrid w:val="0"/>
                <w:sz w:val="20"/>
                <w:szCs w:val="20"/>
              </w:rPr>
              <w:t>以下</w:t>
            </w:r>
            <w:r w:rsidRPr="007B3988">
              <w:rPr>
                <w:rFonts w:asciiTheme="minorEastAsia" w:eastAsiaTheme="minorEastAsia" w:hAnsiTheme="minorEastAsia" w:cstheme="minorHAnsi" w:hint="eastAsia"/>
                <w:sz w:val="20"/>
                <w:szCs w:val="20"/>
              </w:rPr>
              <w:t>合称</w:t>
            </w:r>
            <w:r w:rsidRPr="007B3988">
              <w:rPr>
                <w:rFonts w:asciiTheme="minorEastAsia" w:eastAsiaTheme="minorEastAsia" w:hAnsiTheme="minorEastAsia" w:cs="Arial"/>
                <w:snapToGrid w:val="0"/>
                <w:sz w:val="20"/>
                <w:szCs w:val="20"/>
              </w:rPr>
              <w:t>“</w:t>
            </w:r>
            <w:r w:rsidRPr="007B3988">
              <w:rPr>
                <w:rFonts w:eastAsiaTheme="minorEastAsia" w:cs="Arial" w:hint="eastAsia"/>
                <w:snapToGrid w:val="0"/>
                <w:sz w:val="20"/>
                <w:szCs w:val="20"/>
              </w:rPr>
              <w:t>内地销售机构</w:t>
            </w:r>
            <w:r w:rsidRPr="007B3988">
              <w:rPr>
                <w:rFonts w:asciiTheme="minorEastAsia" w:eastAsiaTheme="minorEastAsia" w:hAnsiTheme="minorEastAsia" w:cs="Arial"/>
                <w:snapToGrid w:val="0"/>
                <w:sz w:val="20"/>
                <w:szCs w:val="20"/>
              </w:rPr>
              <w:t>”</w:t>
            </w:r>
            <w:r w:rsidRPr="007B3988">
              <w:rPr>
                <w:rFonts w:eastAsiaTheme="minorEastAsia" w:cs="Arial"/>
                <w:snapToGrid w:val="0"/>
                <w:sz w:val="20"/>
                <w:szCs w:val="20"/>
              </w:rPr>
              <w:t>)</w:t>
            </w:r>
            <w:r w:rsidRPr="007B3988">
              <w:rPr>
                <w:rFonts w:eastAsiaTheme="minorEastAsia" w:cs="Arial" w:hint="eastAsia"/>
                <w:snapToGrid w:val="0"/>
                <w:sz w:val="20"/>
                <w:szCs w:val="20"/>
              </w:rPr>
              <w:t>在内地公开销售。</w:t>
            </w:r>
          </w:p>
          <w:p w:rsidR="007F1C9F" w:rsidRPr="007B3988" w:rsidRDefault="007F1C9F" w:rsidP="005F7DCC">
            <w:pPr>
              <w:pStyle w:val="ssPara1"/>
              <w:rPr>
                <w:rFonts w:ascii="Times New Roman" w:hAnsi="Times New Roman"/>
                <w:i/>
                <w:sz w:val="20"/>
                <w:szCs w:val="20"/>
                <w:u w:val="single"/>
              </w:rPr>
            </w:pPr>
            <w:r w:rsidRPr="007B3988">
              <w:rPr>
                <w:rStyle w:val="CharacterStyle2"/>
                <w:rFonts w:ascii="Times New Roman" w:hAnsi="Times New Roman" w:hint="eastAsia"/>
                <w:i/>
                <w:sz w:val="20"/>
                <w:szCs w:val="20"/>
                <w:u w:val="single"/>
              </w:rPr>
              <w:t>本基金内地销售的对象</w:t>
            </w:r>
          </w:p>
          <w:p w:rsidR="007F1C9F" w:rsidRPr="007B3988" w:rsidRDefault="007F1C9F" w:rsidP="005F7DCC">
            <w:pPr>
              <w:pStyle w:val="ssPara1"/>
              <w:rPr>
                <w:rFonts w:cs="Arial"/>
                <w:snapToGrid w:val="0"/>
                <w:sz w:val="20"/>
                <w:szCs w:val="20"/>
                <w:lang w:val="en-US"/>
              </w:rPr>
            </w:pPr>
            <w:r w:rsidRPr="007B3988">
              <w:rPr>
                <w:rFonts w:cs="Arial" w:hint="eastAsia"/>
                <w:snapToGrid w:val="0"/>
                <w:sz w:val="20"/>
                <w:szCs w:val="20"/>
              </w:rPr>
              <w:t>本基金的内地销售对象为符合内地法律</w:t>
            </w:r>
            <w:r w:rsidRPr="007B3988">
              <w:rPr>
                <w:rFonts w:asciiTheme="minorEastAsia" w:eastAsiaTheme="minorEastAsia" w:hAnsiTheme="minorEastAsia" w:cs="Arial" w:hint="eastAsia"/>
                <w:snapToGrid w:val="0"/>
                <w:sz w:val="20"/>
                <w:szCs w:val="20"/>
              </w:rPr>
              <w:t>法规规定可以投资于基金的自然人、企业法人、事业法人、社会团体或其他组织，但招募说明书之补充</w:t>
            </w:r>
            <w:r w:rsidRPr="007B3988">
              <w:rPr>
                <w:rFonts w:asciiTheme="minorEastAsia" w:eastAsiaTheme="minorEastAsia" w:hAnsiTheme="minorEastAsia" w:cstheme="minorHAnsi" w:hint="eastAsia"/>
                <w:sz w:val="20"/>
                <w:szCs w:val="20"/>
              </w:rPr>
              <w:t>说明书</w:t>
            </w:r>
            <w:r w:rsidRPr="007B3988">
              <w:rPr>
                <w:rFonts w:asciiTheme="minorEastAsia" w:eastAsiaTheme="minorEastAsia" w:hAnsiTheme="minorEastAsia" w:cs="Arial" w:hint="eastAsia"/>
                <w:snapToGrid w:val="0"/>
                <w:sz w:val="20"/>
                <w:szCs w:val="20"/>
              </w:rPr>
              <w:t>的</w:t>
            </w:r>
            <w:r w:rsidRPr="007B3988">
              <w:rPr>
                <w:rFonts w:cs="Arial" w:hint="eastAsia"/>
                <w:snapToGrid w:val="0"/>
                <w:sz w:val="20"/>
                <w:szCs w:val="20"/>
              </w:rPr>
              <w:t>“香港互认基金的特别说明”章节中</w:t>
            </w:r>
            <w:r w:rsidRPr="007B3988">
              <w:rPr>
                <w:rFonts w:cs="Arial" w:hint="eastAsia"/>
                <w:snapToGrid w:val="0"/>
                <w:sz w:val="20"/>
                <w:szCs w:val="20"/>
                <w:lang w:val="en-US"/>
              </w:rPr>
              <w:t>“适用于</w:t>
            </w:r>
            <w:r w:rsidRPr="007B3988">
              <w:rPr>
                <w:rFonts w:cs="Arial"/>
                <w:snapToGrid w:val="0"/>
                <w:sz w:val="20"/>
                <w:szCs w:val="20"/>
                <w:lang w:val="en-US"/>
              </w:rPr>
              <w:t>内地投资者的交易及结算程序</w:t>
            </w:r>
            <w:r w:rsidRPr="007B3988">
              <w:rPr>
                <w:rFonts w:cs="Arial" w:hint="eastAsia"/>
                <w:snapToGrid w:val="0"/>
                <w:sz w:val="20"/>
                <w:szCs w:val="20"/>
                <w:lang w:val="en-US"/>
              </w:rPr>
              <w:t>”下</w:t>
            </w:r>
            <w:r w:rsidRPr="007B3988">
              <w:rPr>
                <w:rFonts w:cs="Arial" w:hint="eastAsia"/>
                <w:snapToGrid w:val="0"/>
                <w:sz w:val="20"/>
                <w:szCs w:val="20"/>
              </w:rPr>
              <w:t>“</w:t>
            </w:r>
            <w:r w:rsidRPr="007B3988">
              <w:rPr>
                <w:rFonts w:eastAsiaTheme="minorEastAsia" w:cs="Arial" w:hint="eastAsia"/>
                <w:snapToGrid w:val="0"/>
                <w:sz w:val="20"/>
                <w:szCs w:val="20"/>
              </w:rPr>
              <w:t>本基金内地销售的对象</w:t>
            </w:r>
            <w:r w:rsidRPr="007B3988">
              <w:rPr>
                <w:rFonts w:cs="Arial" w:hint="eastAsia"/>
                <w:snapToGrid w:val="0"/>
                <w:sz w:val="20"/>
                <w:szCs w:val="20"/>
              </w:rPr>
              <w:t>”部分规定的</w:t>
            </w:r>
            <w:r w:rsidRPr="007B3988">
              <w:rPr>
                <w:rFonts w:eastAsiaTheme="minorEastAsia" w:cs="Arial" w:hint="eastAsia"/>
                <w:snapToGrid w:val="0"/>
                <w:sz w:val="20"/>
                <w:szCs w:val="20"/>
              </w:rPr>
              <w:t>“受限制人士”</w:t>
            </w:r>
            <w:r w:rsidRPr="007B3988">
              <w:rPr>
                <w:rFonts w:cs="Arial" w:hint="eastAsia"/>
                <w:snapToGrid w:val="0"/>
                <w:sz w:val="20"/>
                <w:szCs w:val="20"/>
              </w:rPr>
              <w:t>除外。</w:t>
            </w:r>
          </w:p>
          <w:p w:rsidR="007F1C9F" w:rsidRPr="007B3988" w:rsidRDefault="007F1C9F" w:rsidP="005F7DCC">
            <w:pPr>
              <w:pStyle w:val="ssPara1"/>
              <w:rPr>
                <w:rFonts w:ascii="Times New Roman" w:hAnsi="Times New Roman"/>
                <w:i/>
                <w:sz w:val="20"/>
                <w:szCs w:val="20"/>
                <w:u w:val="single"/>
              </w:rPr>
            </w:pPr>
            <w:r w:rsidRPr="007B3988">
              <w:rPr>
                <w:rStyle w:val="CharacterStyle2"/>
                <w:rFonts w:ascii="Times New Roman" w:hAnsi="Times New Roman" w:hint="eastAsia"/>
                <w:i/>
                <w:sz w:val="20"/>
                <w:szCs w:val="20"/>
                <w:u w:val="single"/>
              </w:rPr>
              <w:t>本基金内地销售的交易日</w:t>
            </w:r>
          </w:p>
          <w:p w:rsidR="007F1C9F" w:rsidRPr="007B3988" w:rsidRDefault="007F1C9F" w:rsidP="005F7DCC">
            <w:pPr>
              <w:pStyle w:val="ssPara1"/>
              <w:rPr>
                <w:rFonts w:cs="Arial"/>
                <w:snapToGrid w:val="0"/>
                <w:sz w:val="20"/>
                <w:szCs w:val="20"/>
              </w:rPr>
            </w:pPr>
            <w:r w:rsidRPr="007B3988">
              <w:rPr>
                <w:rFonts w:cs="Arial" w:hint="eastAsia"/>
                <w:snapToGrid w:val="0"/>
                <w:sz w:val="20"/>
                <w:szCs w:val="20"/>
              </w:rPr>
              <w:t>本基金内地销售的交易日</w:t>
            </w:r>
            <w:r w:rsidRPr="007B3988">
              <w:rPr>
                <w:rFonts w:cs="Arial"/>
                <w:snapToGrid w:val="0"/>
                <w:sz w:val="20"/>
                <w:szCs w:val="20"/>
              </w:rPr>
              <w:t>(</w:t>
            </w:r>
            <w:r w:rsidRPr="007B3988">
              <w:rPr>
                <w:rFonts w:cs="Arial" w:hint="eastAsia"/>
                <w:snapToGrid w:val="0"/>
                <w:sz w:val="20"/>
                <w:szCs w:val="20"/>
              </w:rPr>
              <w:t>“交易日”</w:t>
            </w:r>
            <w:r w:rsidRPr="007B3988">
              <w:rPr>
                <w:rFonts w:cs="Arial"/>
                <w:snapToGrid w:val="0"/>
                <w:sz w:val="20"/>
                <w:szCs w:val="20"/>
              </w:rPr>
              <w:t>)</w:t>
            </w:r>
            <w:r w:rsidRPr="007B3988">
              <w:rPr>
                <w:rFonts w:cs="Arial" w:hint="eastAsia"/>
                <w:snapToGrid w:val="0"/>
                <w:sz w:val="20"/>
                <w:szCs w:val="20"/>
              </w:rPr>
              <w:t>是指内地销售机构接受办理内地投资者申购、赎回、转换等业务的日期，具体为上海证券交易所和深圳证券交易所</w:t>
            </w:r>
            <w:r w:rsidRPr="007B3988">
              <w:rPr>
                <w:rFonts w:cs="Arial"/>
                <w:snapToGrid w:val="0"/>
                <w:sz w:val="20"/>
                <w:szCs w:val="20"/>
              </w:rPr>
              <w:t>(</w:t>
            </w:r>
            <w:r w:rsidRPr="007B3988">
              <w:rPr>
                <w:rFonts w:cs="Arial" w:hint="eastAsia"/>
                <w:snapToGrid w:val="0"/>
                <w:sz w:val="20"/>
                <w:szCs w:val="20"/>
              </w:rPr>
              <w:t>合称“沪深交易所”</w:t>
            </w:r>
            <w:r w:rsidRPr="007B3988">
              <w:rPr>
                <w:rFonts w:cs="Arial"/>
                <w:snapToGrid w:val="0"/>
                <w:sz w:val="20"/>
                <w:szCs w:val="20"/>
              </w:rPr>
              <w:t>)</w:t>
            </w:r>
            <w:r w:rsidRPr="007B3988">
              <w:rPr>
                <w:rFonts w:cs="Arial" w:hint="eastAsia"/>
                <w:snapToGrid w:val="0"/>
                <w:sz w:val="20"/>
                <w:szCs w:val="20"/>
              </w:rPr>
              <w:t>同时开放交易的香港营业日。</w:t>
            </w:r>
          </w:p>
          <w:p w:rsidR="007F1C9F" w:rsidRPr="007B3988" w:rsidRDefault="007F1C9F" w:rsidP="005F7DCC">
            <w:pPr>
              <w:pStyle w:val="ssPara1"/>
              <w:adjustRightInd w:val="0"/>
              <w:snapToGrid w:val="0"/>
              <w:rPr>
                <w:rStyle w:val="CharacterStyle2"/>
                <w:rFonts w:ascii="Times New Roman" w:hAnsi="Times New Roman"/>
                <w:i/>
                <w:sz w:val="20"/>
                <w:szCs w:val="20"/>
                <w:u w:val="single"/>
              </w:rPr>
            </w:pPr>
            <w:r w:rsidRPr="007B3988">
              <w:rPr>
                <w:rStyle w:val="CharacterStyle2"/>
                <w:rFonts w:ascii="Times New Roman" w:hAnsi="Times New Roman" w:hint="eastAsia"/>
                <w:i/>
                <w:sz w:val="20"/>
                <w:szCs w:val="20"/>
                <w:u w:val="single"/>
              </w:rPr>
              <w:t>基金的申购、赎回与转换的规则</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rFonts w:eastAsia="宋体"/>
                <w:b/>
                <w:snapToGrid w:val="0"/>
              </w:rPr>
            </w:pPr>
            <w:r w:rsidRPr="007B3988">
              <w:rPr>
                <w:rFonts w:eastAsia="宋体" w:hint="eastAsia"/>
                <w:b/>
                <w:snapToGrid w:val="0"/>
              </w:rPr>
              <w:t>申购、赎回的交易时间</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宋体"/>
                <w:snapToGrid w:val="0"/>
              </w:rPr>
            </w:pPr>
            <w:r w:rsidRPr="007B3988">
              <w:rPr>
                <w:rFonts w:eastAsia="宋体" w:hint="eastAsia"/>
                <w:snapToGrid w:val="0"/>
              </w:rPr>
              <w:t>内地投资者可</w:t>
            </w:r>
            <w:r w:rsidRPr="007B3988">
              <w:rPr>
                <w:rFonts w:ascii="Arial" w:eastAsia="宋体" w:hAnsi="Arial" w:cs="Arial" w:hint="eastAsia"/>
                <w:snapToGrid w:val="0"/>
              </w:rPr>
              <w:t>在每个交易日的申请截止时间前向内地销售机构申请申购、赎回本基金。本基金的每个交易日的申请截止时间为</w:t>
            </w:r>
            <w:r w:rsidRPr="007B3988">
              <w:rPr>
                <w:rFonts w:ascii="Arial" w:eastAsia="宋体" w:hAnsi="Arial" w:cs="Arial"/>
                <w:snapToGrid w:val="0"/>
              </w:rPr>
              <w:t>15:00(</w:t>
            </w:r>
            <w:r w:rsidRPr="007B3988">
              <w:rPr>
                <w:rFonts w:ascii="Arial" w:eastAsia="宋体" w:hAnsi="Arial" w:cs="Arial" w:hint="eastAsia"/>
                <w:snapToGrid w:val="0"/>
              </w:rPr>
              <w:t>北京时间</w:t>
            </w:r>
            <w:r w:rsidRPr="007B3988">
              <w:rPr>
                <w:rFonts w:ascii="Arial" w:eastAsia="宋体" w:hAnsi="Arial" w:cs="Arial"/>
                <w:snapToGrid w:val="0"/>
              </w:rPr>
              <w:t>)</w:t>
            </w:r>
            <w:r w:rsidRPr="007B3988">
              <w:rPr>
                <w:rFonts w:ascii="Arial" w:eastAsia="宋体" w:hAnsi="Arial" w:cs="Arial" w:hint="eastAsia"/>
                <w:snapToGrid w:val="0"/>
              </w:rPr>
              <w:t>或者经基金管理人认可的内地代理人或内地销售机构所设的其他</w:t>
            </w:r>
            <w:r w:rsidRPr="007B3988">
              <w:rPr>
                <w:rFonts w:ascii="Arial" w:eastAsia="宋体" w:hAnsi="Arial" w:cs="Arial"/>
                <w:snapToGrid w:val="0"/>
              </w:rPr>
              <w:t>16:00(</w:t>
            </w:r>
            <w:r w:rsidRPr="007B3988">
              <w:rPr>
                <w:rFonts w:ascii="Arial" w:eastAsia="宋体" w:hAnsi="Arial" w:cs="Arial" w:hint="eastAsia"/>
                <w:snapToGrid w:val="0"/>
              </w:rPr>
              <w:t>香港时间</w:t>
            </w:r>
            <w:r w:rsidRPr="007B3988">
              <w:rPr>
                <w:rFonts w:ascii="Arial" w:eastAsia="宋体" w:hAnsi="Arial" w:cs="Arial"/>
                <w:snapToGrid w:val="0"/>
              </w:rPr>
              <w:t>)</w:t>
            </w:r>
            <w:r w:rsidRPr="007B3988">
              <w:rPr>
                <w:rFonts w:ascii="Arial" w:eastAsia="宋体" w:hAnsi="Arial" w:cs="Arial" w:hint="eastAsia"/>
                <w:snapToGrid w:val="0"/>
              </w:rPr>
              <w:t>之前的时间。在非交易日或交易日的申请截止时间后提交的申购、赎回申请将视为下一个交易日提出的申请。</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rFonts w:eastAsia="宋体"/>
                <w:b/>
                <w:snapToGrid w:val="0"/>
              </w:rPr>
            </w:pPr>
            <w:r w:rsidRPr="007B3988">
              <w:rPr>
                <w:rFonts w:eastAsia="宋体" w:hint="eastAsia"/>
                <w:b/>
                <w:snapToGrid w:val="0"/>
              </w:rPr>
              <w:t>申购价和赎回价</w:t>
            </w:r>
          </w:p>
          <w:p w:rsidR="007F1C9F" w:rsidRPr="007B3988" w:rsidRDefault="007F1C9F" w:rsidP="00F340F6">
            <w:pPr>
              <w:pStyle w:val="Style1"/>
              <w:tabs>
                <w:tab w:val="left" w:pos="426"/>
              </w:tabs>
              <w:topLinePunct/>
              <w:autoSpaceDE/>
              <w:autoSpaceDN/>
              <w:snapToGrid w:val="0"/>
              <w:spacing w:after="260" w:line="276" w:lineRule="auto"/>
              <w:ind w:left="426" w:right="91"/>
              <w:jc w:val="both"/>
              <w:rPr>
                <w:rFonts w:eastAsia="宋体"/>
                <w:snapToGrid w:val="0"/>
                <w:lang w:val="en-GB"/>
              </w:rPr>
            </w:pPr>
            <w:r w:rsidRPr="007B3988">
              <w:rPr>
                <w:rFonts w:eastAsia="宋体" w:hint="eastAsia"/>
                <w:snapToGrid w:val="0"/>
                <w:lang w:val="en-GB"/>
              </w:rPr>
              <w:t>本基金在内地销售的份额类别于发售首日将按以下价格发行：</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543"/>
            </w:tblGrid>
            <w:tr w:rsidR="007F1C9F" w:rsidRPr="007B3988" w:rsidTr="005F7DCC">
              <w:trPr>
                <w:trHeight w:val="350"/>
              </w:trPr>
              <w:tc>
                <w:tcPr>
                  <w:tcW w:w="3544" w:type="dxa"/>
                  <w:tcBorders>
                    <w:top w:val="single" w:sz="4" w:space="0" w:color="auto"/>
                    <w:left w:val="single" w:sz="4" w:space="0" w:color="auto"/>
                    <w:bottom w:val="single" w:sz="4" w:space="0" w:color="auto"/>
                    <w:right w:val="single" w:sz="4" w:space="0" w:color="auto"/>
                  </w:tcBorders>
                  <w:vAlign w:val="center"/>
                  <w:hideMark/>
                </w:tcPr>
                <w:p w:rsidR="007F1C9F" w:rsidRPr="007B3988" w:rsidRDefault="007F1C9F" w:rsidP="005F7DCC">
                  <w:pPr>
                    <w:tabs>
                      <w:tab w:val="left" w:pos="426"/>
                    </w:tabs>
                    <w:adjustRightInd w:val="0"/>
                    <w:snapToGrid w:val="0"/>
                    <w:spacing w:line="317" w:lineRule="auto"/>
                    <w:jc w:val="center"/>
                    <w:rPr>
                      <w:rFonts w:eastAsiaTheme="minorEastAsia" w:cs="Arial"/>
                      <w:b/>
                      <w:snapToGrid w:val="0"/>
                      <w:sz w:val="20"/>
                      <w:szCs w:val="20"/>
                    </w:rPr>
                  </w:pPr>
                  <w:r w:rsidRPr="007B3988">
                    <w:rPr>
                      <w:rFonts w:eastAsiaTheme="minorEastAsia" w:cs="Arial" w:hint="eastAsia"/>
                      <w:b/>
                      <w:snapToGrid w:val="0"/>
                      <w:sz w:val="20"/>
                      <w:szCs w:val="20"/>
                    </w:rPr>
                    <w:t>类别</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1C9F" w:rsidRPr="007B3988" w:rsidRDefault="007F1C9F" w:rsidP="005F7DCC">
                  <w:pPr>
                    <w:tabs>
                      <w:tab w:val="left" w:pos="426"/>
                    </w:tabs>
                    <w:adjustRightInd w:val="0"/>
                    <w:snapToGrid w:val="0"/>
                    <w:spacing w:line="317" w:lineRule="auto"/>
                    <w:jc w:val="center"/>
                    <w:rPr>
                      <w:rFonts w:eastAsiaTheme="minorEastAsia" w:cs="Arial"/>
                      <w:b/>
                      <w:snapToGrid w:val="0"/>
                      <w:sz w:val="20"/>
                      <w:szCs w:val="20"/>
                    </w:rPr>
                  </w:pPr>
                  <w:r w:rsidRPr="007B3988">
                    <w:rPr>
                      <w:rFonts w:eastAsiaTheme="minorEastAsia" w:cs="Arial" w:hint="eastAsia"/>
                      <w:b/>
                      <w:snapToGrid w:val="0"/>
                      <w:sz w:val="20"/>
                      <w:szCs w:val="20"/>
                    </w:rPr>
                    <w:t>每份额于发售首日的申购价</w:t>
                  </w:r>
                </w:p>
              </w:tc>
            </w:tr>
            <w:tr w:rsidR="007F1C9F" w:rsidRPr="007B3988" w:rsidTr="005F7DCC">
              <w:trPr>
                <w:trHeight w:val="227"/>
              </w:trPr>
              <w:tc>
                <w:tcPr>
                  <w:tcW w:w="3544" w:type="dxa"/>
                  <w:tcBorders>
                    <w:top w:val="single" w:sz="4" w:space="0" w:color="auto"/>
                    <w:left w:val="single" w:sz="4" w:space="0" w:color="auto"/>
                    <w:bottom w:val="single" w:sz="4" w:space="0" w:color="auto"/>
                    <w:right w:val="single" w:sz="4" w:space="0" w:color="auto"/>
                  </w:tcBorders>
                  <w:vAlign w:val="center"/>
                  <w:hideMark/>
                </w:tcPr>
                <w:p w:rsidR="007F1C9F" w:rsidRPr="007B3988" w:rsidRDefault="007F1C9F" w:rsidP="005F7DCC">
                  <w:pPr>
                    <w:tabs>
                      <w:tab w:val="left" w:pos="426"/>
                    </w:tabs>
                    <w:adjustRightInd w:val="0"/>
                    <w:snapToGrid w:val="0"/>
                    <w:spacing w:line="317" w:lineRule="auto"/>
                    <w:jc w:val="center"/>
                    <w:rPr>
                      <w:rFonts w:eastAsiaTheme="minorEastAsia" w:cs="Arial"/>
                      <w:snapToGrid w:val="0"/>
                      <w:sz w:val="20"/>
                      <w:szCs w:val="20"/>
                    </w:rPr>
                  </w:pPr>
                  <w:r w:rsidRPr="007B3988">
                    <w:rPr>
                      <w:rFonts w:eastAsiaTheme="minorEastAsia" w:cs="Arial"/>
                      <w:snapToGrid w:val="0"/>
                      <w:sz w:val="20"/>
                      <w:szCs w:val="20"/>
                    </w:rPr>
                    <w:lastRenderedPageBreak/>
                    <w:t>PRC</w:t>
                  </w:r>
                  <w:r w:rsidRPr="007B3988">
                    <w:rPr>
                      <w:rFonts w:eastAsiaTheme="minorEastAsia" w:cs="Arial" w:hint="eastAsia"/>
                      <w:snapToGrid w:val="0"/>
                      <w:sz w:val="20"/>
                      <w:szCs w:val="20"/>
                    </w:rPr>
                    <w:t>类别</w:t>
                  </w:r>
                  <w:r w:rsidRPr="007B3988">
                    <w:rPr>
                      <w:rFonts w:eastAsiaTheme="minorEastAsia" w:cs="Arial"/>
                      <w:snapToGrid w:val="0"/>
                      <w:sz w:val="20"/>
                      <w:szCs w:val="20"/>
                    </w:rPr>
                    <w:t>A</w:t>
                  </w:r>
                  <w:r w:rsidRPr="007B3988">
                    <w:rPr>
                      <w:rFonts w:eastAsiaTheme="minorEastAsia" w:cs="Arial" w:hint="eastAsia"/>
                      <w:snapToGrid w:val="0"/>
                      <w:sz w:val="20"/>
                      <w:szCs w:val="20"/>
                    </w:rPr>
                    <w:t>人民币</w:t>
                  </w:r>
                </w:p>
              </w:tc>
              <w:tc>
                <w:tcPr>
                  <w:tcW w:w="3543" w:type="dxa"/>
                  <w:tcBorders>
                    <w:top w:val="single" w:sz="4" w:space="0" w:color="auto"/>
                    <w:left w:val="single" w:sz="4" w:space="0" w:color="auto"/>
                    <w:bottom w:val="single" w:sz="4" w:space="0" w:color="auto"/>
                    <w:right w:val="single" w:sz="4" w:space="0" w:color="auto"/>
                  </w:tcBorders>
                  <w:vAlign w:val="center"/>
                  <w:hideMark/>
                </w:tcPr>
                <w:p w:rsidR="007F1C9F" w:rsidRPr="007B3988" w:rsidRDefault="007F1C9F" w:rsidP="005F7DCC">
                  <w:pPr>
                    <w:tabs>
                      <w:tab w:val="left" w:pos="426"/>
                    </w:tabs>
                    <w:adjustRightInd w:val="0"/>
                    <w:snapToGrid w:val="0"/>
                    <w:spacing w:line="317" w:lineRule="auto"/>
                    <w:jc w:val="center"/>
                    <w:rPr>
                      <w:rFonts w:eastAsiaTheme="minorEastAsia" w:cs="Arial"/>
                      <w:snapToGrid w:val="0"/>
                      <w:sz w:val="20"/>
                      <w:szCs w:val="20"/>
                    </w:rPr>
                  </w:pPr>
                  <w:r w:rsidRPr="007B3988">
                    <w:rPr>
                      <w:rFonts w:eastAsiaTheme="minorEastAsia" w:cs="Arial" w:hint="eastAsia"/>
                      <w:snapToGrid w:val="0"/>
                      <w:sz w:val="20"/>
                      <w:szCs w:val="20"/>
                    </w:rPr>
                    <w:t>人民币</w:t>
                  </w:r>
                  <w:r w:rsidRPr="007B3988">
                    <w:rPr>
                      <w:rFonts w:eastAsiaTheme="minorEastAsia" w:cs="Arial"/>
                      <w:snapToGrid w:val="0"/>
                      <w:sz w:val="20"/>
                      <w:szCs w:val="20"/>
                    </w:rPr>
                    <w:t>1</w:t>
                  </w:r>
                  <w:r w:rsidRPr="007B3988">
                    <w:rPr>
                      <w:rFonts w:eastAsiaTheme="minorEastAsia" w:cs="Arial" w:hint="eastAsia"/>
                      <w:snapToGrid w:val="0"/>
                      <w:sz w:val="20"/>
                      <w:szCs w:val="20"/>
                    </w:rPr>
                    <w:t>元</w:t>
                  </w:r>
                </w:p>
              </w:tc>
            </w:tr>
            <w:tr w:rsidR="007F1C9F" w:rsidRPr="007B3988" w:rsidTr="005F7DCC">
              <w:trPr>
                <w:trHeight w:val="227"/>
              </w:trPr>
              <w:tc>
                <w:tcPr>
                  <w:tcW w:w="3544" w:type="dxa"/>
                  <w:tcBorders>
                    <w:top w:val="single" w:sz="4" w:space="0" w:color="auto"/>
                    <w:left w:val="single" w:sz="4" w:space="0" w:color="auto"/>
                    <w:bottom w:val="single" w:sz="4" w:space="0" w:color="auto"/>
                    <w:right w:val="single" w:sz="4" w:space="0" w:color="auto"/>
                  </w:tcBorders>
                  <w:vAlign w:val="center"/>
                </w:tcPr>
                <w:p w:rsidR="007F1C9F" w:rsidRPr="007B3988" w:rsidRDefault="007F1C9F" w:rsidP="005F7DCC">
                  <w:pPr>
                    <w:tabs>
                      <w:tab w:val="left" w:pos="426"/>
                    </w:tabs>
                    <w:adjustRightInd w:val="0"/>
                    <w:snapToGrid w:val="0"/>
                    <w:spacing w:line="317" w:lineRule="auto"/>
                    <w:jc w:val="center"/>
                    <w:rPr>
                      <w:rFonts w:eastAsiaTheme="minorEastAsia" w:cs="Arial"/>
                      <w:snapToGrid w:val="0"/>
                      <w:sz w:val="20"/>
                      <w:szCs w:val="20"/>
                    </w:rPr>
                  </w:pPr>
                  <w:r w:rsidRPr="007B3988">
                    <w:rPr>
                      <w:rFonts w:eastAsiaTheme="minorEastAsia" w:cs="Arial"/>
                      <w:snapToGrid w:val="0"/>
                      <w:sz w:val="20"/>
                      <w:szCs w:val="20"/>
                    </w:rPr>
                    <w:t>PRC</w:t>
                  </w:r>
                  <w:r w:rsidRPr="007B3988">
                    <w:rPr>
                      <w:rFonts w:eastAsiaTheme="minorEastAsia" w:cs="Arial" w:hint="eastAsia"/>
                      <w:snapToGrid w:val="0"/>
                      <w:sz w:val="20"/>
                      <w:szCs w:val="20"/>
                    </w:rPr>
                    <w:t>类别</w:t>
                  </w:r>
                  <w:r w:rsidRPr="007B3988">
                    <w:rPr>
                      <w:rFonts w:eastAsiaTheme="minorEastAsia" w:cs="Arial"/>
                      <w:snapToGrid w:val="0"/>
                      <w:sz w:val="20"/>
                      <w:szCs w:val="20"/>
                    </w:rPr>
                    <w:t>I</w:t>
                  </w:r>
                  <w:r w:rsidRPr="007B3988">
                    <w:rPr>
                      <w:rFonts w:eastAsiaTheme="minorEastAsia" w:cs="Arial" w:hint="eastAsia"/>
                      <w:snapToGrid w:val="0"/>
                      <w:sz w:val="20"/>
                      <w:szCs w:val="20"/>
                    </w:rPr>
                    <w:t>人民币</w:t>
                  </w:r>
                </w:p>
              </w:tc>
              <w:tc>
                <w:tcPr>
                  <w:tcW w:w="3543" w:type="dxa"/>
                  <w:tcBorders>
                    <w:top w:val="single" w:sz="4" w:space="0" w:color="auto"/>
                    <w:left w:val="single" w:sz="4" w:space="0" w:color="auto"/>
                    <w:bottom w:val="single" w:sz="4" w:space="0" w:color="auto"/>
                    <w:right w:val="single" w:sz="4" w:space="0" w:color="auto"/>
                  </w:tcBorders>
                  <w:vAlign w:val="center"/>
                </w:tcPr>
                <w:p w:rsidR="007F1C9F" w:rsidRPr="007B3988" w:rsidRDefault="007F1C9F" w:rsidP="005F7DCC">
                  <w:pPr>
                    <w:tabs>
                      <w:tab w:val="left" w:pos="426"/>
                    </w:tabs>
                    <w:adjustRightInd w:val="0"/>
                    <w:snapToGrid w:val="0"/>
                    <w:spacing w:line="317" w:lineRule="auto"/>
                    <w:jc w:val="center"/>
                    <w:rPr>
                      <w:rFonts w:eastAsiaTheme="minorEastAsia" w:cs="Arial"/>
                      <w:snapToGrid w:val="0"/>
                      <w:sz w:val="20"/>
                      <w:szCs w:val="20"/>
                    </w:rPr>
                  </w:pPr>
                  <w:r w:rsidRPr="007B3988">
                    <w:rPr>
                      <w:rFonts w:eastAsiaTheme="minorEastAsia" w:cs="Arial" w:hint="eastAsia"/>
                      <w:snapToGrid w:val="0"/>
                      <w:sz w:val="20"/>
                      <w:szCs w:val="20"/>
                    </w:rPr>
                    <w:t>人民币</w:t>
                  </w:r>
                  <w:r w:rsidRPr="007B3988">
                    <w:rPr>
                      <w:rFonts w:eastAsiaTheme="minorEastAsia" w:cs="Arial"/>
                      <w:snapToGrid w:val="0"/>
                      <w:sz w:val="20"/>
                      <w:szCs w:val="20"/>
                    </w:rPr>
                    <w:t>1</w:t>
                  </w:r>
                  <w:r w:rsidRPr="007B3988">
                    <w:rPr>
                      <w:rFonts w:eastAsiaTheme="minorEastAsia" w:cs="Arial" w:hint="eastAsia"/>
                      <w:snapToGrid w:val="0"/>
                      <w:sz w:val="20"/>
                      <w:szCs w:val="20"/>
                    </w:rPr>
                    <w:t>元</w:t>
                  </w:r>
                </w:p>
              </w:tc>
            </w:tr>
            <w:tr w:rsidR="007F1C9F" w:rsidRPr="007B3988" w:rsidTr="005F7DCC">
              <w:trPr>
                <w:trHeight w:val="227"/>
              </w:trPr>
              <w:tc>
                <w:tcPr>
                  <w:tcW w:w="3544" w:type="dxa"/>
                  <w:tcBorders>
                    <w:top w:val="single" w:sz="4" w:space="0" w:color="auto"/>
                    <w:left w:val="single" w:sz="4" w:space="0" w:color="auto"/>
                    <w:bottom w:val="single" w:sz="4" w:space="0" w:color="auto"/>
                    <w:right w:val="single" w:sz="4" w:space="0" w:color="auto"/>
                  </w:tcBorders>
                  <w:vAlign w:val="center"/>
                </w:tcPr>
                <w:p w:rsidR="007F1C9F" w:rsidRPr="007B3988" w:rsidRDefault="007F1C9F" w:rsidP="005F7DCC">
                  <w:pPr>
                    <w:tabs>
                      <w:tab w:val="left" w:pos="426"/>
                    </w:tabs>
                    <w:adjustRightInd w:val="0"/>
                    <w:snapToGrid w:val="0"/>
                    <w:spacing w:line="317" w:lineRule="auto"/>
                    <w:jc w:val="center"/>
                    <w:rPr>
                      <w:rFonts w:eastAsiaTheme="minorEastAsia" w:cs="Arial"/>
                      <w:snapToGrid w:val="0"/>
                      <w:sz w:val="20"/>
                      <w:szCs w:val="20"/>
                    </w:rPr>
                  </w:pPr>
                  <w:r w:rsidRPr="007B3988">
                    <w:rPr>
                      <w:rFonts w:eastAsiaTheme="minorEastAsia" w:cs="Arial"/>
                      <w:snapToGrid w:val="0"/>
                      <w:sz w:val="20"/>
                      <w:szCs w:val="20"/>
                    </w:rPr>
                    <w:t>PRC</w:t>
                  </w:r>
                  <w:r w:rsidRPr="007B3988">
                    <w:rPr>
                      <w:rFonts w:eastAsiaTheme="minorEastAsia" w:cs="Arial" w:hint="eastAsia"/>
                      <w:snapToGrid w:val="0"/>
                      <w:sz w:val="20"/>
                      <w:szCs w:val="20"/>
                    </w:rPr>
                    <w:t>类别</w:t>
                  </w:r>
                  <w:r w:rsidRPr="007B3988">
                    <w:rPr>
                      <w:rFonts w:eastAsiaTheme="minorEastAsia" w:cs="Arial"/>
                      <w:snapToGrid w:val="0"/>
                      <w:sz w:val="20"/>
                      <w:szCs w:val="20"/>
                    </w:rPr>
                    <w:t>A</w:t>
                  </w:r>
                  <w:r w:rsidRPr="007B3988">
                    <w:rPr>
                      <w:rFonts w:eastAsiaTheme="minorEastAsia" w:cs="Arial" w:hint="eastAsia"/>
                      <w:snapToGrid w:val="0"/>
                      <w:sz w:val="20"/>
                      <w:szCs w:val="20"/>
                    </w:rPr>
                    <w:t>美元</w:t>
                  </w:r>
                </w:p>
              </w:tc>
              <w:tc>
                <w:tcPr>
                  <w:tcW w:w="3543" w:type="dxa"/>
                  <w:tcBorders>
                    <w:top w:val="single" w:sz="4" w:space="0" w:color="auto"/>
                    <w:left w:val="single" w:sz="4" w:space="0" w:color="auto"/>
                    <w:bottom w:val="single" w:sz="4" w:space="0" w:color="auto"/>
                    <w:right w:val="single" w:sz="4" w:space="0" w:color="auto"/>
                  </w:tcBorders>
                  <w:vAlign w:val="center"/>
                </w:tcPr>
                <w:p w:rsidR="007F1C9F" w:rsidRPr="007B3988" w:rsidRDefault="007F1C9F" w:rsidP="005F7DCC">
                  <w:pPr>
                    <w:tabs>
                      <w:tab w:val="left" w:pos="426"/>
                    </w:tabs>
                    <w:adjustRightInd w:val="0"/>
                    <w:snapToGrid w:val="0"/>
                    <w:spacing w:line="317" w:lineRule="auto"/>
                    <w:jc w:val="center"/>
                    <w:rPr>
                      <w:rFonts w:eastAsiaTheme="minorEastAsia" w:cs="Arial"/>
                      <w:snapToGrid w:val="0"/>
                      <w:sz w:val="20"/>
                      <w:szCs w:val="20"/>
                    </w:rPr>
                  </w:pPr>
                  <w:r w:rsidRPr="007B3988">
                    <w:rPr>
                      <w:rFonts w:eastAsiaTheme="minorEastAsia" w:cs="Arial"/>
                      <w:snapToGrid w:val="0"/>
                      <w:sz w:val="20"/>
                      <w:szCs w:val="20"/>
                    </w:rPr>
                    <w:t>1</w:t>
                  </w:r>
                  <w:r w:rsidRPr="007B3988">
                    <w:rPr>
                      <w:rFonts w:eastAsiaTheme="minorEastAsia" w:cs="Arial" w:hint="eastAsia"/>
                      <w:snapToGrid w:val="0"/>
                      <w:sz w:val="20"/>
                      <w:szCs w:val="20"/>
                    </w:rPr>
                    <w:t>美元</w:t>
                  </w:r>
                </w:p>
              </w:tc>
            </w:tr>
            <w:tr w:rsidR="007F1C9F" w:rsidRPr="007B3988" w:rsidTr="005F7DCC">
              <w:trPr>
                <w:trHeight w:val="227"/>
              </w:trPr>
              <w:tc>
                <w:tcPr>
                  <w:tcW w:w="3544" w:type="dxa"/>
                  <w:tcBorders>
                    <w:top w:val="single" w:sz="4" w:space="0" w:color="auto"/>
                    <w:left w:val="single" w:sz="4" w:space="0" w:color="auto"/>
                    <w:bottom w:val="single" w:sz="4" w:space="0" w:color="auto"/>
                    <w:right w:val="single" w:sz="4" w:space="0" w:color="auto"/>
                  </w:tcBorders>
                  <w:vAlign w:val="center"/>
                </w:tcPr>
                <w:p w:rsidR="007F1C9F" w:rsidRPr="007B3988" w:rsidRDefault="007F1C9F" w:rsidP="005F7DCC">
                  <w:pPr>
                    <w:tabs>
                      <w:tab w:val="left" w:pos="426"/>
                    </w:tabs>
                    <w:adjustRightInd w:val="0"/>
                    <w:snapToGrid w:val="0"/>
                    <w:spacing w:line="317" w:lineRule="auto"/>
                    <w:jc w:val="center"/>
                    <w:rPr>
                      <w:rFonts w:eastAsiaTheme="minorEastAsia" w:cs="Arial"/>
                      <w:snapToGrid w:val="0"/>
                      <w:sz w:val="20"/>
                      <w:szCs w:val="20"/>
                    </w:rPr>
                  </w:pPr>
                  <w:r w:rsidRPr="007B3988">
                    <w:rPr>
                      <w:rFonts w:eastAsiaTheme="minorEastAsia" w:cs="Arial"/>
                      <w:snapToGrid w:val="0"/>
                      <w:sz w:val="20"/>
                      <w:szCs w:val="20"/>
                    </w:rPr>
                    <w:t>PRC</w:t>
                  </w:r>
                  <w:r w:rsidRPr="007B3988">
                    <w:rPr>
                      <w:rFonts w:eastAsiaTheme="minorEastAsia" w:cs="Arial" w:hint="eastAsia"/>
                      <w:snapToGrid w:val="0"/>
                      <w:sz w:val="20"/>
                      <w:szCs w:val="20"/>
                    </w:rPr>
                    <w:t>类别</w:t>
                  </w:r>
                  <w:r w:rsidRPr="007B3988">
                    <w:rPr>
                      <w:rFonts w:eastAsiaTheme="minorEastAsia" w:cs="Arial"/>
                      <w:snapToGrid w:val="0"/>
                      <w:sz w:val="20"/>
                      <w:szCs w:val="20"/>
                    </w:rPr>
                    <w:t>I</w:t>
                  </w:r>
                  <w:r w:rsidRPr="007B3988">
                    <w:rPr>
                      <w:rFonts w:eastAsiaTheme="minorEastAsia" w:cs="Arial" w:hint="eastAsia"/>
                      <w:snapToGrid w:val="0"/>
                      <w:sz w:val="20"/>
                      <w:szCs w:val="20"/>
                    </w:rPr>
                    <w:t>美元</w:t>
                  </w:r>
                </w:p>
              </w:tc>
              <w:tc>
                <w:tcPr>
                  <w:tcW w:w="3543" w:type="dxa"/>
                  <w:tcBorders>
                    <w:top w:val="single" w:sz="4" w:space="0" w:color="auto"/>
                    <w:left w:val="single" w:sz="4" w:space="0" w:color="auto"/>
                    <w:bottom w:val="single" w:sz="4" w:space="0" w:color="auto"/>
                    <w:right w:val="single" w:sz="4" w:space="0" w:color="auto"/>
                  </w:tcBorders>
                  <w:vAlign w:val="center"/>
                </w:tcPr>
                <w:p w:rsidR="007F1C9F" w:rsidRPr="007B3988" w:rsidRDefault="007F1C9F" w:rsidP="005F7DCC">
                  <w:pPr>
                    <w:tabs>
                      <w:tab w:val="left" w:pos="426"/>
                    </w:tabs>
                    <w:adjustRightInd w:val="0"/>
                    <w:snapToGrid w:val="0"/>
                    <w:spacing w:line="317" w:lineRule="auto"/>
                    <w:jc w:val="center"/>
                    <w:rPr>
                      <w:rFonts w:eastAsiaTheme="minorEastAsia" w:cs="Arial"/>
                      <w:snapToGrid w:val="0"/>
                      <w:sz w:val="20"/>
                      <w:szCs w:val="20"/>
                    </w:rPr>
                  </w:pPr>
                  <w:r w:rsidRPr="007B3988">
                    <w:rPr>
                      <w:rFonts w:eastAsiaTheme="minorEastAsia" w:cs="Arial"/>
                      <w:snapToGrid w:val="0"/>
                      <w:sz w:val="20"/>
                      <w:szCs w:val="20"/>
                    </w:rPr>
                    <w:t>1</w:t>
                  </w:r>
                  <w:r w:rsidRPr="007B3988">
                    <w:rPr>
                      <w:rFonts w:eastAsiaTheme="minorEastAsia" w:cs="Arial" w:hint="eastAsia"/>
                      <w:snapToGrid w:val="0"/>
                      <w:sz w:val="20"/>
                      <w:szCs w:val="20"/>
                    </w:rPr>
                    <w:t>美元</w:t>
                  </w:r>
                </w:p>
              </w:tc>
            </w:tr>
          </w:tbl>
          <w:p w:rsidR="007F1C9F" w:rsidRPr="007B3988" w:rsidRDefault="007F1C9F" w:rsidP="005F7DCC">
            <w:pPr>
              <w:pStyle w:val="Style1"/>
              <w:tabs>
                <w:tab w:val="left" w:pos="426"/>
              </w:tabs>
              <w:topLinePunct/>
              <w:snapToGrid w:val="0"/>
              <w:spacing w:line="276" w:lineRule="auto"/>
              <w:ind w:left="426" w:right="91"/>
              <w:jc w:val="center"/>
              <w:rPr>
                <w:rFonts w:eastAsia="宋体"/>
                <w:snapToGrid w:val="0"/>
                <w:lang w:val="en-GB"/>
              </w:rPr>
            </w:pP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宋体"/>
                <w:snapToGrid w:val="0"/>
                <w:lang w:val="en-GB"/>
              </w:rPr>
            </w:pPr>
            <w:r w:rsidRPr="007B3988">
              <w:rPr>
                <w:rFonts w:eastAsia="宋体" w:hint="eastAsia"/>
                <w:snapToGrid w:val="0"/>
                <w:lang w:val="en-GB"/>
              </w:rPr>
              <w:t>发售首日后，本基金于每个交易日的每个类别的每份基金份额的申购价</w:t>
            </w:r>
            <w:r w:rsidRPr="007B3988">
              <w:rPr>
                <w:rFonts w:eastAsia="宋体"/>
                <w:snapToGrid w:val="0"/>
                <w:lang w:val="en-GB"/>
              </w:rPr>
              <w:t>(</w:t>
            </w:r>
            <w:r w:rsidRPr="007B3988">
              <w:rPr>
                <w:rFonts w:eastAsia="宋体" w:hint="eastAsia"/>
                <w:snapToGrid w:val="0"/>
                <w:lang w:val="en-GB"/>
              </w:rPr>
              <w:t>不包括任何申购费用</w:t>
            </w:r>
            <w:r w:rsidRPr="007B3988">
              <w:rPr>
                <w:rFonts w:eastAsia="宋体"/>
                <w:snapToGrid w:val="0"/>
                <w:lang w:val="en-GB"/>
              </w:rPr>
              <w:t>)</w:t>
            </w:r>
            <w:r w:rsidRPr="007B3988">
              <w:rPr>
                <w:rFonts w:eastAsia="宋体" w:hint="eastAsia"/>
                <w:snapToGrid w:val="0"/>
                <w:lang w:val="en-GB"/>
              </w:rPr>
              <w:t>和赎回价应为该类别份额在相关交易日估值点所确定的资产净值除以该类别当时已发</w:t>
            </w:r>
            <w:r w:rsidRPr="007B3988">
              <w:rPr>
                <w:rFonts w:ascii="Batang" w:hAnsi="Batang" w:cs="Batang" w:hint="eastAsia"/>
                <w:snapToGrid w:val="0"/>
                <w:lang w:val="en-GB"/>
              </w:rPr>
              <w:t>行</w:t>
            </w:r>
            <w:r w:rsidRPr="007B3988">
              <w:rPr>
                <w:rFonts w:ascii="宋体" w:eastAsia="宋体" w:hAnsi="宋体" w:cs="宋体" w:hint="eastAsia"/>
                <w:snapToGrid w:val="0"/>
                <w:lang w:val="en-GB"/>
              </w:rPr>
              <w:t>份额的数目计算而得的每份额价格。</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ascii="Arial" w:eastAsia="宋体" w:hAnsi="Arial" w:cs="Arial"/>
                <w:snapToGrid w:val="0"/>
                <w:lang w:val="en-GB"/>
              </w:rPr>
            </w:pPr>
            <w:r w:rsidRPr="007B3988">
              <w:rPr>
                <w:rFonts w:ascii="Arial" w:eastAsia="宋体" w:hAnsi="Arial" w:cs="Arial"/>
                <w:snapToGrid w:val="0"/>
                <w:lang w:val="en-GB"/>
              </w:rPr>
              <w:t>PRC</w:t>
            </w:r>
            <w:r w:rsidRPr="007B3988">
              <w:rPr>
                <w:rFonts w:ascii="Arial" w:eastAsia="宋体" w:hAnsi="Arial" w:cs="Arial" w:hint="eastAsia"/>
                <w:snapToGrid w:val="0"/>
                <w:lang w:val="en-GB"/>
              </w:rPr>
              <w:t>类别</w:t>
            </w:r>
            <w:r w:rsidRPr="007B3988">
              <w:rPr>
                <w:rFonts w:ascii="Arial" w:eastAsia="宋体" w:hAnsi="Arial" w:cs="Arial"/>
                <w:snapToGrid w:val="0"/>
                <w:lang w:val="en-GB"/>
              </w:rPr>
              <w:t>A</w:t>
            </w:r>
            <w:r w:rsidRPr="007B3988">
              <w:rPr>
                <w:rFonts w:ascii="Arial" w:eastAsia="宋体" w:hAnsi="Arial" w:cs="Arial" w:hint="eastAsia"/>
                <w:snapToGrid w:val="0"/>
                <w:lang w:val="en-GB"/>
              </w:rPr>
              <w:t>份额的价格将以四舍五入的方式调整至小数点后四位，</w:t>
            </w:r>
            <w:r w:rsidRPr="007B3988">
              <w:rPr>
                <w:rFonts w:ascii="Arial" w:eastAsia="宋体" w:hAnsi="Arial" w:cs="Arial"/>
                <w:snapToGrid w:val="0"/>
                <w:lang w:val="en-GB"/>
              </w:rPr>
              <w:t>PRC</w:t>
            </w:r>
            <w:r w:rsidRPr="007B3988">
              <w:rPr>
                <w:rFonts w:ascii="Arial" w:eastAsia="宋体" w:hAnsi="Arial" w:cs="Arial" w:hint="eastAsia"/>
                <w:snapToGrid w:val="0"/>
                <w:lang w:val="en-GB"/>
              </w:rPr>
              <w:t>类别</w:t>
            </w:r>
            <w:r w:rsidRPr="007B3988">
              <w:rPr>
                <w:rFonts w:ascii="Arial" w:eastAsia="宋体" w:hAnsi="Arial" w:cs="Arial"/>
                <w:snapToGrid w:val="0"/>
                <w:lang w:val="en-GB"/>
              </w:rPr>
              <w:t>I</w:t>
            </w:r>
            <w:r w:rsidRPr="007B3988">
              <w:rPr>
                <w:rFonts w:ascii="Arial" w:eastAsia="宋体" w:hAnsi="Arial" w:cs="Arial" w:hint="eastAsia"/>
                <w:snapToGrid w:val="0"/>
                <w:lang w:val="en-GB"/>
              </w:rPr>
              <w:t>份额计算所得的价格将以四舍五入的方式调整至小数点后四位。任何进位调整余额将拨归相关类别所有。</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ascii="Arial" w:eastAsia="宋体" w:hAnsi="Arial" w:cs="Arial"/>
                <w:snapToGrid w:val="0"/>
                <w:lang w:val="en-GB"/>
              </w:rPr>
            </w:pPr>
            <w:r w:rsidRPr="007B3988">
              <w:rPr>
                <w:rFonts w:eastAsia="宋体" w:hint="eastAsia"/>
                <w:snapToGrid w:val="0"/>
                <w:lang w:val="en-GB"/>
              </w:rPr>
              <w:t>当确定申购价时，基金管理人有</w:t>
            </w:r>
            <w:r w:rsidRPr="007B3988">
              <w:rPr>
                <w:rFonts w:ascii="Arial" w:eastAsia="宋体" w:hAnsi="Arial" w:cs="Arial" w:hint="eastAsia"/>
                <w:snapToGrid w:val="0"/>
                <w:lang w:val="en-GB"/>
              </w:rPr>
              <w:t>权在价格中计入其认为在投资等于申购款的数额及发行相关份额或向受托人汇款时很可能产生的非惯常交易费用或开支</w:t>
            </w:r>
            <w:r w:rsidRPr="007B3988">
              <w:rPr>
                <w:rFonts w:ascii="Arial" w:eastAsia="宋体" w:hAnsi="Arial" w:cs="Arial"/>
                <w:snapToGrid w:val="0"/>
                <w:lang w:val="en-GB"/>
              </w:rPr>
              <w:t>(</w:t>
            </w:r>
            <w:r w:rsidRPr="007B3988">
              <w:rPr>
                <w:rFonts w:ascii="Arial" w:eastAsia="宋体" w:hAnsi="Arial" w:cs="Arial" w:hint="eastAsia"/>
                <w:snapToGrid w:val="0"/>
                <w:lang w:val="en-GB"/>
              </w:rPr>
              <w:t>包括印花税、其他税项、经纪佣金、银行收费、过户费用及登记费用</w:t>
            </w:r>
            <w:r w:rsidRPr="007B3988">
              <w:rPr>
                <w:rFonts w:ascii="Arial" w:eastAsia="宋体" w:hAnsi="Arial" w:cs="Arial"/>
                <w:snapToGrid w:val="0"/>
                <w:lang w:val="en-GB"/>
              </w:rPr>
              <w:t>)</w:t>
            </w:r>
            <w:r w:rsidRPr="007B3988">
              <w:rPr>
                <w:rFonts w:ascii="Arial" w:eastAsia="宋体" w:hAnsi="Arial" w:cs="Arial" w:hint="eastAsia"/>
                <w:snapToGrid w:val="0"/>
                <w:lang w:val="en-GB"/>
              </w:rPr>
              <w:t>的适当拨备款。任何此类额外款项将被支付予受托人，并将成为相关类别资产的一部分。</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宋体"/>
                <w:snapToGrid w:val="0"/>
                <w:lang w:val="en-GB"/>
              </w:rPr>
            </w:pPr>
            <w:r w:rsidRPr="007B3988">
              <w:rPr>
                <w:rFonts w:eastAsia="宋体" w:hint="eastAsia"/>
                <w:snapToGrid w:val="0"/>
                <w:lang w:val="en-GB"/>
              </w:rPr>
              <w:t>当确定赎回价时，基金管理人有权扣减其认为代表本基金可能产生的非惯常交易费用或开支</w:t>
            </w:r>
            <w:r w:rsidRPr="007B3988">
              <w:rPr>
                <w:rFonts w:eastAsia="宋体" w:hint="eastAsia"/>
                <w:snapToGrid w:val="0"/>
                <w:lang w:val="en-GB"/>
              </w:rPr>
              <w:t>(</w:t>
            </w:r>
            <w:r w:rsidRPr="007B3988">
              <w:rPr>
                <w:rFonts w:eastAsia="宋体" w:hint="eastAsia"/>
                <w:snapToGrid w:val="0"/>
                <w:lang w:val="en-GB"/>
              </w:rPr>
              <w:t>包括印花税、其他税项、经纪佣金、银行收费、过户费用及登记费用</w:t>
            </w:r>
            <w:r w:rsidRPr="007B3988">
              <w:rPr>
                <w:rFonts w:eastAsia="宋体" w:hint="eastAsia"/>
                <w:snapToGrid w:val="0"/>
                <w:lang w:val="en-GB"/>
              </w:rPr>
              <w:t>)</w:t>
            </w:r>
            <w:r w:rsidRPr="007B3988">
              <w:rPr>
                <w:rFonts w:eastAsia="宋体" w:hint="eastAsia"/>
                <w:snapToGrid w:val="0"/>
                <w:lang w:val="en-GB"/>
              </w:rPr>
              <w:t>的适当拨备款。任何上述扣减款项将拨归本基金所有并成为本基金资产的一部分。</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rFonts w:eastAsia="宋体"/>
                <w:b/>
                <w:snapToGrid w:val="0"/>
              </w:rPr>
            </w:pPr>
            <w:r w:rsidRPr="007B3988">
              <w:rPr>
                <w:rFonts w:eastAsia="宋体" w:hint="eastAsia"/>
                <w:b/>
                <w:snapToGrid w:val="0"/>
              </w:rPr>
              <w:t>申购份额最小单位</w:t>
            </w:r>
          </w:p>
          <w:p w:rsidR="003A23F9" w:rsidRPr="007B3988" w:rsidRDefault="007F1C9F" w:rsidP="003A23F9">
            <w:pPr>
              <w:pStyle w:val="Style1"/>
              <w:tabs>
                <w:tab w:val="left" w:pos="426"/>
              </w:tabs>
              <w:topLinePunct/>
              <w:autoSpaceDE/>
              <w:autoSpaceDN/>
              <w:snapToGrid w:val="0"/>
              <w:spacing w:after="260" w:line="276" w:lineRule="auto"/>
              <w:ind w:left="426" w:right="91"/>
              <w:jc w:val="both"/>
              <w:rPr>
                <w:b/>
                <w:snapToGrid w:val="0"/>
              </w:rPr>
            </w:pPr>
            <w:r w:rsidRPr="007B3988">
              <w:rPr>
                <w:rFonts w:eastAsia="宋体" w:hint="eastAsia"/>
                <w:snapToGrid w:val="0"/>
                <w:lang w:val="en-GB"/>
              </w:rPr>
              <w:t>内地投资者申购本基金的申购份额的零碎份额保留至</w:t>
            </w:r>
            <w:r w:rsidR="009269E5" w:rsidRPr="007B3988">
              <w:rPr>
                <w:rFonts w:eastAsia="宋体" w:hint="eastAsia"/>
                <w:snapToGrid w:val="0"/>
                <w:lang w:val="en-GB"/>
              </w:rPr>
              <w:t>小数点后两位，具体计算方法以</w:t>
            </w:r>
            <w:r w:rsidR="009E7125" w:rsidRPr="007B3988">
              <w:rPr>
                <w:rFonts w:eastAsia="宋体" w:hint="eastAsia"/>
                <w:snapToGrid w:val="0"/>
                <w:lang w:val="en-GB"/>
              </w:rPr>
              <w:t>中国证券登记结算有限责任公司</w:t>
            </w:r>
            <w:r w:rsidR="009E7125" w:rsidRPr="007B3988">
              <w:rPr>
                <w:rFonts w:eastAsia="宋体"/>
                <w:snapToGrid w:val="0"/>
                <w:lang w:val="en-GB"/>
              </w:rPr>
              <w:t>(</w:t>
            </w:r>
            <w:r w:rsidR="009E7125" w:rsidRPr="007B3988">
              <w:rPr>
                <w:rFonts w:eastAsia="宋体" w:hint="eastAsia"/>
                <w:snapToGrid w:val="0"/>
                <w:lang w:val="en-GB"/>
              </w:rPr>
              <w:t>以下简称“</w:t>
            </w:r>
            <w:r w:rsidR="003B77CF" w:rsidRPr="007B3988">
              <w:rPr>
                <w:rFonts w:eastAsia="宋体" w:hint="eastAsia"/>
                <w:snapToGrid w:val="0"/>
                <w:lang w:val="en-GB"/>
              </w:rPr>
              <w:t>中国结算</w:t>
            </w:r>
            <w:r w:rsidR="009E7125" w:rsidRPr="007B3988">
              <w:rPr>
                <w:rFonts w:eastAsia="宋体" w:hint="eastAsia"/>
                <w:snapToGrid w:val="0"/>
                <w:lang w:val="en-GB"/>
              </w:rPr>
              <w:t>”</w:t>
            </w:r>
            <w:r w:rsidR="009E7125" w:rsidRPr="007B3988">
              <w:rPr>
                <w:rFonts w:eastAsia="宋体"/>
                <w:snapToGrid w:val="0"/>
                <w:lang w:val="en-GB"/>
              </w:rPr>
              <w:t>)</w:t>
            </w:r>
            <w:r w:rsidR="003B77CF" w:rsidRPr="007B3988">
              <w:rPr>
                <w:rFonts w:eastAsia="宋体" w:hint="eastAsia"/>
                <w:snapToGrid w:val="0"/>
                <w:lang w:val="en-GB"/>
              </w:rPr>
              <w:t>的</w:t>
            </w:r>
            <w:r w:rsidR="009269E5" w:rsidRPr="007B3988">
              <w:rPr>
                <w:rFonts w:eastAsia="宋体" w:hint="eastAsia"/>
                <w:snapToGrid w:val="0"/>
                <w:lang w:val="en-GB"/>
              </w:rPr>
              <w:t>业务规则为准</w:t>
            </w:r>
            <w:r w:rsidRPr="007B3988">
              <w:rPr>
                <w:rFonts w:eastAsia="宋体" w:hint="eastAsia"/>
                <w:snapToGrid w:val="0"/>
                <w:lang w:val="en-GB"/>
              </w:rPr>
              <w:t>，代表更小零碎份额的申请款项应为本基金的利益由本基金保留。</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b/>
                <w:snapToGrid w:val="0"/>
              </w:rPr>
            </w:pPr>
            <w:r w:rsidRPr="007B3988">
              <w:rPr>
                <w:rFonts w:eastAsia="宋体" w:hint="eastAsia"/>
                <w:b/>
                <w:snapToGrid w:val="0"/>
              </w:rPr>
              <w:t>申购、赎回申请的确认及款项支付</w:t>
            </w:r>
            <w:r w:rsidRPr="007B3988">
              <w:rPr>
                <w:rFonts w:eastAsia="宋体"/>
                <w:b/>
                <w:snapToGrid w:val="0"/>
              </w:rPr>
              <w:t xml:space="preserve"> </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ascii="Arial" w:eastAsiaTheme="minorEastAsia" w:hAnsi="Arial" w:cs="Arial"/>
                <w:snapToGrid w:val="0"/>
              </w:rPr>
            </w:pPr>
            <w:r w:rsidRPr="007B3988">
              <w:rPr>
                <w:rFonts w:ascii="Arial" w:eastAsiaTheme="minorEastAsia" w:hAnsi="Arial" w:cs="Arial" w:hint="eastAsia"/>
                <w:snapToGrid w:val="0"/>
              </w:rPr>
              <w:t>本基金申购和赎回遵</w:t>
            </w:r>
            <w:r w:rsidRPr="007B3988">
              <w:rPr>
                <w:rFonts w:asciiTheme="minorEastAsia" w:eastAsiaTheme="minorEastAsia" w:hAnsiTheme="minorEastAsia" w:cs="Arial" w:hint="eastAsia"/>
                <w:snapToGrid w:val="0"/>
              </w:rPr>
              <w:t>循</w:t>
            </w:r>
            <w:r w:rsidRPr="007B3988">
              <w:rPr>
                <w:rFonts w:asciiTheme="minorEastAsia" w:eastAsiaTheme="minorEastAsia" w:hAnsiTheme="minorEastAsia" w:cs="Arial"/>
                <w:snapToGrid w:val="0"/>
              </w:rPr>
              <w:t>“</w:t>
            </w:r>
            <w:r w:rsidRPr="007B3988">
              <w:rPr>
                <w:rFonts w:asciiTheme="minorEastAsia" w:eastAsiaTheme="minorEastAsia" w:hAnsiTheme="minorEastAsia" w:cs="Arial" w:hint="eastAsia"/>
                <w:snapToGrid w:val="0"/>
              </w:rPr>
              <w:t>金额申购、份额赎回</w:t>
            </w:r>
            <w:r w:rsidRPr="007B3988">
              <w:rPr>
                <w:rFonts w:asciiTheme="minorEastAsia" w:eastAsiaTheme="minorEastAsia" w:hAnsiTheme="minorEastAsia" w:cs="Arial"/>
                <w:snapToGrid w:val="0"/>
              </w:rPr>
              <w:t>”</w:t>
            </w:r>
            <w:r w:rsidRPr="007B3988">
              <w:rPr>
                <w:rFonts w:asciiTheme="minorEastAsia" w:eastAsiaTheme="minorEastAsia" w:hAnsiTheme="minorEastAsia" w:cs="Arial" w:hint="eastAsia"/>
                <w:snapToGrid w:val="0"/>
              </w:rPr>
              <w:t>的</w:t>
            </w:r>
            <w:r w:rsidRPr="007B3988">
              <w:rPr>
                <w:rFonts w:ascii="Arial" w:eastAsiaTheme="minorEastAsia" w:hAnsi="Arial" w:cs="Arial" w:hint="eastAsia"/>
                <w:snapToGrid w:val="0"/>
              </w:rPr>
              <w:t>原则。本基金将以交易日的交易时间结束前内地销售机构受理有效申购和赎回申请的当天作为申购或赎回申请日</w:t>
            </w:r>
            <w:r w:rsidRPr="007B3988">
              <w:rPr>
                <w:rFonts w:ascii="Arial" w:eastAsiaTheme="minorEastAsia" w:hAnsi="Arial" w:cs="Arial"/>
                <w:snapToGrid w:val="0"/>
              </w:rPr>
              <w:t>(T</w:t>
            </w:r>
            <w:r w:rsidRPr="007B3988">
              <w:rPr>
                <w:rFonts w:ascii="Arial" w:eastAsiaTheme="minorEastAsia" w:hAnsi="Arial" w:cs="Arial" w:hint="eastAsia"/>
                <w:snapToGrid w:val="0"/>
              </w:rPr>
              <w:t>日</w:t>
            </w:r>
            <w:r w:rsidRPr="007B3988">
              <w:rPr>
                <w:rFonts w:ascii="Arial" w:eastAsiaTheme="minorEastAsia" w:hAnsi="Arial" w:cs="Arial"/>
                <w:snapToGrid w:val="0"/>
              </w:rPr>
              <w:t>)</w:t>
            </w:r>
            <w:r w:rsidRPr="007B3988">
              <w:rPr>
                <w:rFonts w:ascii="Arial" w:eastAsiaTheme="minorEastAsia" w:hAnsi="Arial" w:cs="Arial" w:hint="eastAsia"/>
                <w:snapToGrid w:val="0"/>
              </w:rPr>
              <w:t>，在正常情况下，本基金的内地登记结算机构</w:t>
            </w:r>
            <w:r w:rsidRPr="007B3988">
              <w:rPr>
                <w:rFonts w:ascii="Arial" w:eastAsiaTheme="minorEastAsia" w:hAnsi="Arial" w:cs="Arial"/>
                <w:snapToGrid w:val="0"/>
              </w:rPr>
              <w:t>(</w:t>
            </w:r>
            <w:r w:rsidRPr="007B3988">
              <w:rPr>
                <w:rFonts w:ascii="Arial" w:eastAsiaTheme="minorEastAsia" w:hAnsi="Arial" w:cs="Arial" w:hint="eastAsia"/>
                <w:snapToGrid w:val="0"/>
              </w:rPr>
              <w:t>即中国结算或内地代理人不时委托的并经基金管理人确认的内地其他登记结算机构</w:t>
            </w:r>
            <w:r w:rsidRPr="007B3988">
              <w:rPr>
                <w:rFonts w:ascii="Arial" w:eastAsiaTheme="minorEastAsia" w:hAnsi="Arial" w:cs="Arial"/>
                <w:snapToGrid w:val="0"/>
              </w:rPr>
              <w:t>)</w:t>
            </w:r>
            <w:r w:rsidRPr="007B3988">
              <w:rPr>
                <w:rFonts w:ascii="Arial" w:eastAsiaTheme="minorEastAsia" w:hAnsi="Arial" w:cs="Arial" w:hint="eastAsia"/>
                <w:snapToGrid w:val="0"/>
              </w:rPr>
              <w:t>在</w:t>
            </w:r>
            <w:r w:rsidRPr="007B3988">
              <w:rPr>
                <w:rFonts w:ascii="Arial" w:eastAsiaTheme="minorEastAsia" w:hAnsi="Arial" w:cs="Arial"/>
                <w:snapToGrid w:val="0"/>
              </w:rPr>
              <w:t>T+2</w:t>
            </w:r>
            <w:r w:rsidRPr="007B3988">
              <w:rPr>
                <w:rFonts w:ascii="Arial" w:eastAsiaTheme="minorEastAsia" w:hAnsi="Arial" w:cs="Arial" w:hint="eastAsia"/>
                <w:snapToGrid w:val="0"/>
              </w:rPr>
              <w:t>日内对该交易的有效性进行确认，内地投资者可于</w:t>
            </w:r>
            <w:r w:rsidRPr="007B3988">
              <w:rPr>
                <w:rFonts w:ascii="Arial" w:eastAsiaTheme="minorEastAsia" w:hAnsi="Arial" w:cs="Arial"/>
                <w:snapToGrid w:val="0"/>
              </w:rPr>
              <w:t>T+3</w:t>
            </w:r>
            <w:r w:rsidRPr="007B3988">
              <w:rPr>
                <w:rFonts w:ascii="Arial" w:eastAsiaTheme="minorEastAsia" w:hAnsi="Arial" w:cs="Arial" w:hint="eastAsia"/>
                <w:snapToGrid w:val="0"/>
              </w:rPr>
              <w:t>日</w:t>
            </w:r>
            <w:r w:rsidRPr="007B3988">
              <w:rPr>
                <w:rFonts w:ascii="Arial" w:eastAsiaTheme="minorEastAsia" w:hAnsi="Arial" w:cs="Arial"/>
                <w:snapToGrid w:val="0"/>
              </w:rPr>
              <w:t>(</w:t>
            </w:r>
            <w:r w:rsidRPr="007B3988">
              <w:rPr>
                <w:rFonts w:ascii="Arial" w:eastAsiaTheme="minorEastAsia" w:hAnsi="Arial" w:cs="Arial" w:hint="eastAsia"/>
                <w:snapToGrid w:val="0"/>
              </w:rPr>
              <w:t>包括该日</w:t>
            </w:r>
            <w:r w:rsidRPr="007B3988">
              <w:rPr>
                <w:rFonts w:ascii="Arial" w:eastAsiaTheme="minorEastAsia" w:hAnsi="Arial" w:cs="Arial"/>
                <w:snapToGrid w:val="0"/>
              </w:rPr>
              <w:t>)</w:t>
            </w:r>
            <w:r w:rsidRPr="007B3988">
              <w:rPr>
                <w:rFonts w:ascii="Arial" w:eastAsiaTheme="minorEastAsia" w:hAnsi="Arial" w:cs="Arial" w:hint="eastAsia"/>
                <w:snapToGrid w:val="0"/>
              </w:rPr>
              <w:t>以销售机构规定的方式查询申请的确认情况。</w:t>
            </w:r>
            <w:r w:rsidRPr="007B3988">
              <w:rPr>
                <w:rFonts w:ascii="Arial" w:eastAsiaTheme="minorEastAsia" w:hAnsi="Arial" w:cs="Arial"/>
                <w:snapToGrid w:val="0"/>
              </w:rPr>
              <w:t>T+n</w:t>
            </w:r>
            <w:r w:rsidRPr="007B3988">
              <w:rPr>
                <w:rFonts w:ascii="Arial" w:eastAsiaTheme="minorEastAsia" w:hAnsi="Arial" w:cs="Arial" w:hint="eastAsia"/>
                <w:snapToGrid w:val="0"/>
              </w:rPr>
              <w:t>日中</w:t>
            </w:r>
            <w:r w:rsidRPr="007B3988">
              <w:rPr>
                <w:rFonts w:ascii="Arial" w:eastAsiaTheme="minorEastAsia" w:hAnsi="Arial" w:cs="Arial"/>
                <w:snapToGrid w:val="0"/>
              </w:rPr>
              <w:t>n</w:t>
            </w:r>
            <w:r w:rsidRPr="007B3988">
              <w:rPr>
                <w:rFonts w:ascii="Arial" w:eastAsiaTheme="minorEastAsia" w:hAnsi="Arial" w:cs="Arial" w:hint="eastAsia"/>
                <w:snapToGrid w:val="0"/>
              </w:rPr>
              <w:t>为交易日。</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ascii="Arial" w:eastAsiaTheme="minorEastAsia" w:hAnsi="Arial" w:cs="Arial"/>
                <w:snapToGrid w:val="0"/>
              </w:rPr>
            </w:pPr>
            <w:r w:rsidRPr="007B3988">
              <w:rPr>
                <w:rFonts w:ascii="Arial" w:eastAsiaTheme="minorEastAsia" w:hAnsi="Arial" w:cs="Arial" w:hint="eastAsia"/>
                <w:snapToGrid w:val="0"/>
              </w:rPr>
              <w:t>在赎回申请的有效性经确认后，在正常情况下，赎回款项通常于</w:t>
            </w:r>
            <w:r w:rsidRPr="007B3988">
              <w:rPr>
                <w:rFonts w:ascii="Arial" w:eastAsiaTheme="minorEastAsia" w:hAnsi="Arial" w:cs="Arial"/>
                <w:snapToGrid w:val="0"/>
              </w:rPr>
              <w:t>T+5</w:t>
            </w:r>
            <w:r w:rsidRPr="007B3988">
              <w:rPr>
                <w:rFonts w:ascii="Arial" w:eastAsiaTheme="minorEastAsia" w:hAnsi="Arial" w:cs="Arial" w:hint="eastAsia"/>
                <w:snapToGrid w:val="0"/>
              </w:rPr>
              <w:t>日内</w:t>
            </w:r>
            <w:r w:rsidRPr="007B3988">
              <w:rPr>
                <w:rFonts w:ascii="Arial" w:eastAsiaTheme="minorEastAsia" w:hAnsi="Arial" w:cs="Arial"/>
                <w:snapToGrid w:val="0"/>
              </w:rPr>
              <w:t>(</w:t>
            </w:r>
            <w:r w:rsidRPr="007B3988">
              <w:rPr>
                <w:rFonts w:ascii="Arial" w:eastAsiaTheme="minorEastAsia" w:hAnsi="Arial" w:cs="Arial" w:hint="eastAsia"/>
                <w:snapToGrid w:val="0"/>
              </w:rPr>
              <w:t>或最长不超过一个日历月</w:t>
            </w:r>
            <w:r w:rsidRPr="007B3988">
              <w:rPr>
                <w:rFonts w:ascii="Arial" w:eastAsiaTheme="minorEastAsia" w:hAnsi="Arial" w:cs="Arial"/>
                <w:snapToGrid w:val="0"/>
              </w:rPr>
              <w:t>)</w:t>
            </w:r>
            <w:r w:rsidRPr="007B3988">
              <w:rPr>
                <w:rFonts w:ascii="Arial" w:eastAsiaTheme="minorEastAsia" w:hAnsi="Arial" w:cs="Arial" w:hint="eastAsia"/>
                <w:snapToGrid w:val="0"/>
              </w:rPr>
              <w:t>由受托人将资金划至本基金在内地的募集资金专用账户，赎回款项将于通常情况下</w:t>
            </w:r>
            <w:r w:rsidRPr="007B3988">
              <w:rPr>
                <w:rFonts w:ascii="Arial" w:eastAsiaTheme="minorEastAsia" w:hAnsi="Arial" w:cs="Arial"/>
                <w:snapToGrid w:val="0"/>
              </w:rPr>
              <w:t>T+9</w:t>
            </w:r>
            <w:r w:rsidRPr="007B3988">
              <w:rPr>
                <w:rFonts w:ascii="Arial" w:eastAsiaTheme="minorEastAsia" w:hAnsi="Arial" w:cs="Arial" w:hint="eastAsia"/>
                <w:snapToGrid w:val="0"/>
              </w:rPr>
              <w:t>日内支付回到内地投资者的银行结算账户。上述因付款引起的任何银行费用将由内地投资者承担。</w:t>
            </w:r>
            <w:r w:rsidRPr="007B3988">
              <w:rPr>
                <w:rFonts w:ascii="Arial" w:eastAsiaTheme="minorEastAsia" w:hAnsi="Arial" w:cs="Arial"/>
                <w:snapToGrid w:val="0"/>
              </w:rPr>
              <w:t>T+n</w:t>
            </w:r>
            <w:r w:rsidRPr="007B3988">
              <w:rPr>
                <w:rFonts w:ascii="Arial" w:eastAsiaTheme="minorEastAsia" w:hAnsi="Arial" w:cs="Arial" w:hint="eastAsia"/>
                <w:snapToGrid w:val="0"/>
              </w:rPr>
              <w:t>日中</w:t>
            </w:r>
            <w:r w:rsidRPr="007B3988">
              <w:rPr>
                <w:rFonts w:ascii="Arial" w:eastAsiaTheme="minorEastAsia" w:hAnsi="Arial" w:cs="Arial"/>
                <w:snapToGrid w:val="0"/>
              </w:rPr>
              <w:t>n</w:t>
            </w:r>
            <w:r w:rsidRPr="007B3988">
              <w:rPr>
                <w:rFonts w:ascii="Arial" w:eastAsiaTheme="minorEastAsia" w:hAnsi="Arial" w:cs="Arial" w:hint="eastAsia"/>
                <w:snapToGrid w:val="0"/>
              </w:rPr>
              <w:t>为交易日。</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ascii="Arial" w:eastAsiaTheme="minorEastAsia" w:hAnsi="Arial" w:cs="Arial"/>
                <w:snapToGrid w:val="0"/>
              </w:rPr>
            </w:pPr>
            <w:r w:rsidRPr="007B3988">
              <w:rPr>
                <w:rFonts w:ascii="Arial" w:eastAsiaTheme="minorEastAsia" w:hAnsi="Arial" w:cs="Arial" w:hint="eastAsia"/>
                <w:snapToGrid w:val="0"/>
              </w:rPr>
              <w:t>内地投资者应向内地销售机构查询有关支付申购款项及赎回款项的详情。</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ascii="Arial" w:eastAsiaTheme="minorEastAsia" w:hAnsi="Arial" w:cs="Arial"/>
                <w:snapToGrid w:val="0"/>
              </w:rPr>
            </w:pPr>
            <w:r w:rsidRPr="007B3988">
              <w:rPr>
                <w:rFonts w:ascii="Arial" w:eastAsiaTheme="minorEastAsia" w:hAnsi="Arial" w:cs="Arial" w:hint="eastAsia"/>
                <w:snapToGrid w:val="0"/>
              </w:rPr>
              <w:t>申购款和赎回款的支付方式应采用银行转账及内地销售机构认可的方式。除此之外，基金说明书所规定的其他支付方式不适用于内地投资者。值得注意的是，除非内地销售机构认可，本基金在内地的申购、赎回不接受以实物方式支付对价或以支票方式支付款项。</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rFonts w:eastAsia="宋体"/>
                <w:b/>
                <w:snapToGrid w:val="0"/>
              </w:rPr>
            </w:pPr>
            <w:r w:rsidRPr="007B3988">
              <w:rPr>
                <w:rFonts w:eastAsia="宋体" w:hint="eastAsia"/>
                <w:b/>
                <w:snapToGrid w:val="0"/>
              </w:rPr>
              <w:t>暂停申购</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ascii="Arial" w:eastAsiaTheme="minorEastAsia" w:hAnsi="Arial" w:cs="Arial"/>
                <w:snapToGrid w:val="0"/>
              </w:rPr>
            </w:pPr>
            <w:r w:rsidRPr="007B3988">
              <w:rPr>
                <w:rFonts w:ascii="Arial" w:eastAsiaTheme="minorEastAsia" w:hAnsi="Arial" w:cs="Arial" w:hint="eastAsia"/>
                <w:snapToGrid w:val="0"/>
              </w:rPr>
              <w:t>发生下列任一情况时，基金管理人可暂停接受内地投资者的申购申请：</w:t>
            </w:r>
          </w:p>
          <w:p w:rsidR="007F1C9F" w:rsidRPr="007B3988" w:rsidRDefault="007F1C9F" w:rsidP="005F7DCC">
            <w:pPr>
              <w:pStyle w:val="Style1"/>
              <w:numPr>
                <w:ilvl w:val="0"/>
                <w:numId w:val="36"/>
              </w:numPr>
              <w:tabs>
                <w:tab w:val="left" w:pos="426"/>
              </w:tabs>
              <w:topLinePunct/>
              <w:autoSpaceDE/>
              <w:autoSpaceDN/>
              <w:snapToGrid w:val="0"/>
              <w:spacing w:after="260" w:line="276" w:lineRule="auto"/>
              <w:ind w:right="91"/>
              <w:jc w:val="both"/>
              <w:rPr>
                <w:rFonts w:ascii="Arial" w:eastAsiaTheme="minorEastAsia" w:hAnsi="Arial" w:cs="Arial"/>
                <w:snapToGrid w:val="0"/>
              </w:rPr>
            </w:pPr>
            <w:r w:rsidRPr="007B3988">
              <w:rPr>
                <w:rFonts w:ascii="Arial" w:eastAsiaTheme="minorEastAsia" w:hAnsi="Arial" w:cs="Arial" w:hint="eastAsia"/>
                <w:snapToGrid w:val="0"/>
              </w:rPr>
              <w:t>本基金发生基金说明书“估值”章节中“暂停计算资产净值”部分所规定的情形；</w:t>
            </w:r>
          </w:p>
          <w:p w:rsidR="007F1C9F" w:rsidRPr="007B3988" w:rsidRDefault="007F1C9F" w:rsidP="005F7DCC">
            <w:pPr>
              <w:pStyle w:val="Style1"/>
              <w:numPr>
                <w:ilvl w:val="0"/>
                <w:numId w:val="36"/>
              </w:numPr>
              <w:tabs>
                <w:tab w:val="left" w:pos="426"/>
              </w:tabs>
              <w:topLinePunct/>
              <w:autoSpaceDE/>
              <w:autoSpaceDN/>
              <w:snapToGrid w:val="0"/>
              <w:spacing w:after="260" w:line="276" w:lineRule="auto"/>
              <w:ind w:right="91"/>
              <w:jc w:val="both"/>
              <w:rPr>
                <w:rFonts w:ascii="Arial" w:eastAsiaTheme="minorEastAsia" w:hAnsi="Arial" w:cs="Arial"/>
                <w:snapToGrid w:val="0"/>
              </w:rPr>
            </w:pPr>
            <w:r w:rsidRPr="007B3988">
              <w:rPr>
                <w:rFonts w:ascii="Arial" w:eastAsiaTheme="minorEastAsia" w:hAnsi="Arial" w:cs="Arial" w:hint="eastAsia"/>
                <w:snapToGrid w:val="0"/>
              </w:rPr>
              <w:lastRenderedPageBreak/>
              <w:t>由于沪深交易所交易日与香港营业日有差异，基金管理人在妥善考虑本基金的投资和结算安排，以及现有基金投资者利益的情况下，可能会通过公告方式，暂停接受内地投资者的申购申请；</w:t>
            </w:r>
          </w:p>
          <w:p w:rsidR="007F1C9F" w:rsidRPr="007B3988" w:rsidRDefault="007F1C9F" w:rsidP="005F7DCC">
            <w:pPr>
              <w:pStyle w:val="Style1"/>
              <w:numPr>
                <w:ilvl w:val="0"/>
                <w:numId w:val="36"/>
              </w:numPr>
              <w:tabs>
                <w:tab w:val="left" w:pos="426"/>
              </w:tabs>
              <w:topLinePunct/>
              <w:autoSpaceDE/>
              <w:autoSpaceDN/>
              <w:snapToGrid w:val="0"/>
              <w:spacing w:after="260" w:line="276" w:lineRule="auto"/>
              <w:ind w:right="91"/>
              <w:jc w:val="both"/>
              <w:rPr>
                <w:rFonts w:ascii="Arial" w:eastAsiaTheme="minorEastAsia" w:hAnsi="Arial" w:cs="Arial"/>
                <w:snapToGrid w:val="0"/>
              </w:rPr>
            </w:pPr>
            <w:r w:rsidRPr="007B3988">
              <w:rPr>
                <w:rFonts w:ascii="Arial" w:eastAsiaTheme="minorEastAsia" w:hAnsi="Arial" w:cs="Arial" w:hint="eastAsia"/>
                <w:snapToGrid w:val="0"/>
              </w:rPr>
              <w:t>本基金出现基金资产规模低于</w:t>
            </w:r>
            <w:r w:rsidRPr="007B3988">
              <w:rPr>
                <w:rFonts w:ascii="Arial" w:eastAsiaTheme="minorEastAsia" w:hAnsi="Arial" w:cs="Arial"/>
                <w:snapToGrid w:val="0"/>
              </w:rPr>
              <w:t>2</w:t>
            </w:r>
            <w:r w:rsidRPr="007B3988">
              <w:rPr>
                <w:rFonts w:ascii="Arial" w:eastAsiaTheme="minorEastAsia" w:hAnsi="Arial" w:cs="Arial" w:hint="eastAsia"/>
                <w:snapToGrid w:val="0"/>
              </w:rPr>
              <w:t>亿元人民币或等值货币，或在内地的销售规模占基金总资产的比例达到或超过</w:t>
            </w:r>
            <w:r w:rsidRPr="007B3988">
              <w:rPr>
                <w:rFonts w:ascii="Arial" w:eastAsiaTheme="minorEastAsia" w:hAnsi="Arial" w:cs="Arial"/>
                <w:snapToGrid w:val="0"/>
              </w:rPr>
              <w:t>50%</w:t>
            </w:r>
            <w:r w:rsidRPr="007B3988">
              <w:rPr>
                <w:rFonts w:ascii="Arial" w:eastAsiaTheme="minorEastAsia" w:hAnsi="Arial" w:cs="Arial" w:hint="eastAsia"/>
                <w:snapToGrid w:val="0"/>
              </w:rPr>
              <w:t>等导致本基金不符合《香港互认基金管理暂行规定》规定的注册条件的情形时，本基金将暂停内地的销售，直至本基金重新符合香港互认基金的条件；</w:t>
            </w:r>
          </w:p>
          <w:p w:rsidR="007F1C9F" w:rsidRPr="007B3988" w:rsidRDefault="007F1C9F" w:rsidP="005F7DCC">
            <w:pPr>
              <w:pStyle w:val="Style1"/>
              <w:numPr>
                <w:ilvl w:val="0"/>
                <w:numId w:val="36"/>
              </w:numPr>
              <w:tabs>
                <w:tab w:val="left" w:pos="426"/>
              </w:tabs>
              <w:topLinePunct/>
              <w:autoSpaceDE/>
              <w:autoSpaceDN/>
              <w:snapToGrid w:val="0"/>
              <w:spacing w:after="260" w:line="276" w:lineRule="auto"/>
              <w:ind w:right="91"/>
              <w:jc w:val="both"/>
              <w:rPr>
                <w:rFonts w:ascii="Arial" w:eastAsiaTheme="minorEastAsia" w:hAnsi="Arial" w:cs="Arial"/>
                <w:snapToGrid w:val="0"/>
              </w:rPr>
            </w:pPr>
            <w:r w:rsidRPr="007B3988">
              <w:rPr>
                <w:rFonts w:ascii="Arial" w:eastAsiaTheme="minorEastAsia" w:hAnsi="Arial" w:cs="Arial" w:hint="eastAsia"/>
                <w:snapToGrid w:val="0"/>
              </w:rPr>
              <w:t>当本基金在内地的销售规模达到</w:t>
            </w:r>
            <w:r w:rsidRPr="007B3988">
              <w:rPr>
                <w:rFonts w:ascii="Arial" w:eastAsiaTheme="minorEastAsia" w:hAnsi="Arial" w:cs="Arial"/>
                <w:snapToGrid w:val="0"/>
              </w:rPr>
              <w:t>48%</w:t>
            </w:r>
            <w:r w:rsidRPr="007B3988">
              <w:rPr>
                <w:rFonts w:ascii="Arial" w:eastAsiaTheme="minorEastAsia" w:hAnsi="Arial" w:cs="Arial" w:hint="eastAsia"/>
                <w:snapToGrid w:val="0"/>
              </w:rPr>
              <w:t>时，本基金即停止接受内地投资者的申购申请；</w:t>
            </w:r>
            <w:r w:rsidRPr="007B3988">
              <w:rPr>
                <w:rFonts w:ascii="Arial" w:eastAsiaTheme="minorEastAsia" w:hAnsi="Arial" w:cs="Arial"/>
                <w:snapToGrid w:val="0"/>
              </w:rPr>
              <w:t xml:space="preserve"> </w:t>
            </w:r>
          </w:p>
          <w:p w:rsidR="007F1C9F" w:rsidRPr="007B3988" w:rsidRDefault="007F1C9F" w:rsidP="005F7DCC">
            <w:pPr>
              <w:pStyle w:val="Style1"/>
              <w:numPr>
                <w:ilvl w:val="0"/>
                <w:numId w:val="36"/>
              </w:numPr>
              <w:tabs>
                <w:tab w:val="left" w:pos="426"/>
              </w:tabs>
              <w:topLinePunct/>
              <w:autoSpaceDE/>
              <w:autoSpaceDN/>
              <w:snapToGrid w:val="0"/>
              <w:spacing w:after="260" w:line="276" w:lineRule="auto"/>
              <w:ind w:right="91"/>
              <w:jc w:val="both"/>
              <w:rPr>
                <w:rFonts w:ascii="Arial" w:eastAsiaTheme="minorEastAsia" w:hAnsi="Arial" w:cs="Arial"/>
                <w:snapToGrid w:val="0"/>
              </w:rPr>
            </w:pPr>
            <w:r w:rsidRPr="007B3988">
              <w:rPr>
                <w:rFonts w:ascii="Arial" w:eastAsiaTheme="minorEastAsia" w:hAnsi="Arial" w:cs="Arial" w:hint="eastAsia"/>
                <w:snapToGrid w:val="0"/>
              </w:rPr>
              <w:t>本基金及其他在内地销售的香港互认基金将受到全面的额度限制。若在内地销售的全部香港互认基金的销售额度达到中国证监会和</w:t>
            </w:r>
            <w:r w:rsidRPr="007B3988">
              <w:rPr>
                <w:rFonts w:ascii="Arial" w:eastAsiaTheme="minorEastAsia" w:hAnsi="Arial" w:cs="Arial"/>
                <w:snapToGrid w:val="0"/>
              </w:rPr>
              <w:t>/</w:t>
            </w:r>
            <w:r w:rsidRPr="007B3988">
              <w:rPr>
                <w:rFonts w:ascii="Arial" w:eastAsiaTheme="minorEastAsia" w:hAnsi="Arial" w:cs="Arial" w:hint="eastAsia"/>
                <w:snapToGrid w:val="0"/>
              </w:rPr>
              <w:t>或香港证监会和</w:t>
            </w:r>
            <w:r w:rsidRPr="007B3988">
              <w:rPr>
                <w:rFonts w:ascii="Arial" w:eastAsiaTheme="minorEastAsia" w:hAnsi="Arial" w:cs="Arial"/>
                <w:snapToGrid w:val="0"/>
              </w:rPr>
              <w:t>/</w:t>
            </w:r>
            <w:r w:rsidRPr="007B3988">
              <w:rPr>
                <w:rFonts w:ascii="Arial" w:eastAsiaTheme="minorEastAsia" w:hAnsi="Arial" w:cs="Arial" w:hint="eastAsia"/>
                <w:snapToGrid w:val="0"/>
              </w:rPr>
              <w:t>或</w:t>
            </w:r>
            <w:bookmarkStart w:id="0" w:name="OLE_LINK12"/>
            <w:bookmarkStart w:id="1" w:name="OLE_LINK13"/>
            <w:r w:rsidRPr="007B3988">
              <w:rPr>
                <w:rFonts w:ascii="Arial" w:eastAsiaTheme="minorEastAsia" w:hAnsi="Arial" w:cs="Arial" w:hint="eastAsia"/>
                <w:snapToGrid w:val="0"/>
              </w:rPr>
              <w:t>国家外汇管理局</w:t>
            </w:r>
            <w:bookmarkEnd w:id="0"/>
            <w:bookmarkEnd w:id="1"/>
            <w:r w:rsidRPr="007B3988">
              <w:rPr>
                <w:rFonts w:ascii="Arial" w:eastAsiaTheme="minorEastAsia" w:hAnsi="Arial" w:cs="Arial" w:hint="eastAsia"/>
                <w:snapToGrid w:val="0"/>
              </w:rPr>
              <w:t>规定的额度或者不时调整的额度，本基金将公告暂停接受内地投资者的申购申请。</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rFonts w:eastAsia="宋体"/>
                <w:b/>
                <w:snapToGrid w:val="0"/>
              </w:rPr>
            </w:pPr>
            <w:r w:rsidRPr="007B3988">
              <w:rPr>
                <w:rFonts w:eastAsia="宋体" w:hint="eastAsia"/>
                <w:b/>
                <w:snapToGrid w:val="0"/>
              </w:rPr>
              <w:t>暂停赎回</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宋体"/>
                <w:snapToGrid w:val="0"/>
              </w:rPr>
            </w:pPr>
            <w:r w:rsidRPr="007B3988">
              <w:rPr>
                <w:rFonts w:eastAsia="宋体" w:hint="eastAsia"/>
                <w:snapToGrid w:val="0"/>
              </w:rPr>
              <w:t>本基金发生基金说明书“估值”章节所规定的“暂停计算资产净值”的情形的，基金管理人可暂停接受内地投资者的赎回申请。</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rFonts w:eastAsia="宋体"/>
                <w:b/>
                <w:snapToGrid w:val="0"/>
              </w:rPr>
            </w:pPr>
            <w:r w:rsidRPr="007B3988">
              <w:rPr>
                <w:rFonts w:eastAsia="宋体" w:hint="eastAsia"/>
                <w:b/>
                <w:snapToGrid w:val="0"/>
              </w:rPr>
              <w:t>巨额赎回</w:t>
            </w:r>
          </w:p>
          <w:p w:rsidR="007F1C9F" w:rsidRPr="007B3988" w:rsidRDefault="007F1C9F" w:rsidP="00E82315">
            <w:pPr>
              <w:pStyle w:val="Style1"/>
              <w:tabs>
                <w:tab w:val="left" w:pos="426"/>
              </w:tabs>
              <w:topLinePunct/>
              <w:autoSpaceDE/>
              <w:autoSpaceDN/>
              <w:snapToGrid w:val="0"/>
              <w:spacing w:after="260" w:line="276" w:lineRule="auto"/>
              <w:ind w:left="426" w:right="91"/>
              <w:jc w:val="both"/>
              <w:rPr>
                <w:rFonts w:eastAsia="宋体"/>
                <w:snapToGrid w:val="0"/>
              </w:rPr>
            </w:pPr>
            <w:r w:rsidRPr="007B3988">
              <w:rPr>
                <w:rFonts w:eastAsia="宋体" w:hint="eastAsia"/>
                <w:snapToGrid w:val="0"/>
              </w:rPr>
              <w:t>为保障基金份额持有人的利益，基金管理人有权把任何交易日可供赎回的本基金份额数目</w:t>
            </w:r>
            <w:r w:rsidRPr="007B3988">
              <w:rPr>
                <w:rFonts w:eastAsia="宋体" w:hint="eastAsia"/>
                <w:snapToGrid w:val="0"/>
              </w:rPr>
              <w:t>(</w:t>
            </w:r>
            <w:r w:rsidRPr="007B3988">
              <w:rPr>
                <w:rFonts w:eastAsia="宋体" w:hint="eastAsia"/>
                <w:snapToGrid w:val="0"/>
              </w:rPr>
              <w:t>无论赎回方式是出售给基金管理人还是由受托人注销</w:t>
            </w:r>
            <w:r w:rsidRPr="007B3988">
              <w:rPr>
                <w:rFonts w:eastAsia="宋体" w:hint="eastAsia"/>
                <w:snapToGrid w:val="0"/>
              </w:rPr>
              <w:t>)</w:t>
            </w:r>
            <w:r w:rsidRPr="007B3988">
              <w:rPr>
                <w:rFonts w:eastAsia="宋体" w:hint="eastAsia"/>
                <w:snapToGrid w:val="0"/>
              </w:rPr>
              <w:t>限制在本基金已发行份额总数的</w:t>
            </w:r>
            <w:r w:rsidRPr="007B3988">
              <w:rPr>
                <w:rFonts w:eastAsia="宋体" w:hint="eastAsia"/>
                <w:snapToGrid w:val="0"/>
              </w:rPr>
              <w:t>10%</w:t>
            </w:r>
            <w:r w:rsidRPr="007B3988">
              <w:rPr>
                <w:rFonts w:eastAsia="宋体" w:hint="eastAsia"/>
                <w:snapToGrid w:val="0"/>
              </w:rPr>
              <w:t>以内。在此情况下，该项限制将按比例实施，使得所有拟在相关交易日赎回本基金份额的基金份额持有人，均会以相同的比例赎回份额。在内地相关法律法规允许及内地登记结算机构认为可行的情况下，尚未赎回</w:t>
            </w:r>
            <w:r w:rsidRPr="007B3988">
              <w:rPr>
                <w:rFonts w:eastAsia="宋体" w:hint="eastAsia"/>
                <w:snapToGrid w:val="0"/>
              </w:rPr>
              <w:t>(</w:t>
            </w:r>
            <w:r w:rsidRPr="007B3988">
              <w:rPr>
                <w:rFonts w:eastAsia="宋体" w:hint="eastAsia"/>
                <w:snapToGrid w:val="0"/>
              </w:rPr>
              <w:t>但本应已赎回</w:t>
            </w:r>
            <w:r w:rsidRPr="007B3988">
              <w:rPr>
                <w:rFonts w:eastAsia="宋体" w:hint="eastAsia"/>
                <w:snapToGrid w:val="0"/>
              </w:rPr>
              <w:t>)</w:t>
            </w:r>
            <w:r w:rsidRPr="007B3988">
              <w:rPr>
                <w:rFonts w:eastAsia="宋体" w:hint="eastAsia"/>
                <w:snapToGrid w:val="0"/>
              </w:rPr>
              <w:t>的份额将顺延至下一交易日赎回</w:t>
            </w:r>
            <w:r w:rsidRPr="007B3988">
              <w:rPr>
                <w:rFonts w:eastAsia="宋体" w:hint="eastAsia"/>
                <w:snapToGrid w:val="0"/>
              </w:rPr>
              <w:t>(</w:t>
            </w:r>
            <w:r w:rsidRPr="007B3988">
              <w:rPr>
                <w:rFonts w:eastAsia="宋体" w:hint="eastAsia"/>
                <w:snapToGrid w:val="0"/>
              </w:rPr>
              <w:t>根据该交易日的赎回价</w:t>
            </w:r>
            <w:r w:rsidRPr="007B3988">
              <w:rPr>
                <w:rFonts w:eastAsia="宋体" w:hint="eastAsia"/>
                <w:snapToGrid w:val="0"/>
              </w:rPr>
              <w:t>)</w:t>
            </w:r>
            <w:r w:rsidRPr="007B3988">
              <w:rPr>
                <w:rFonts w:eastAsia="宋体" w:hint="eastAsia"/>
                <w:snapToGrid w:val="0"/>
              </w:rPr>
              <w:t>，但须受到相同限制</w:t>
            </w:r>
            <w:r w:rsidRPr="007B3988">
              <w:rPr>
                <w:rFonts w:eastAsia="宋体" w:hint="eastAsia"/>
                <w:snapToGrid w:val="0"/>
              </w:rPr>
              <w:t>(</w:t>
            </w:r>
            <w:r w:rsidRPr="007B3988">
              <w:rPr>
                <w:rFonts w:eastAsia="宋体" w:hint="eastAsia"/>
                <w:snapToGrid w:val="0"/>
              </w:rPr>
              <w:t>即如果被顺延的申请超出已发行基金份额的</w:t>
            </w:r>
            <w:r w:rsidRPr="007B3988">
              <w:rPr>
                <w:rFonts w:eastAsia="宋体" w:hint="eastAsia"/>
                <w:snapToGrid w:val="0"/>
              </w:rPr>
              <w:t>10%</w:t>
            </w:r>
            <w:r w:rsidRPr="007B3988">
              <w:rPr>
                <w:rFonts w:eastAsia="宋体" w:hint="eastAsia"/>
                <w:snapToGrid w:val="0"/>
              </w:rPr>
              <w:t>，则须作进一步顺延处理</w:t>
            </w:r>
            <w:r w:rsidRPr="007B3988">
              <w:rPr>
                <w:rFonts w:eastAsia="宋体" w:hint="eastAsia"/>
                <w:snapToGrid w:val="0"/>
              </w:rPr>
              <w:t>)</w:t>
            </w:r>
            <w:r w:rsidRPr="007B3988">
              <w:rPr>
                <w:rFonts w:eastAsia="宋体" w:hint="eastAsia"/>
                <w:snapToGrid w:val="0"/>
              </w:rPr>
              <w:t>，而在处理时应优先于该随后交易日收到的随后赎回申请。倘若赎回申请须按此方式顺延处理，基金管理人将实时通知有关基金份额持有人。尽管有前述安排，目前内地登记结算机构及内地代理人的技术条件仅能支持在触发前述赎回限制情形时，内地投资者的赎回申请将被全部确认，基金管理人可在本基金基金说明书、信托契约允许的情况下延期支付内地投资者的赎回款项，但是延期支付的时间不超过赎回申请日起的一个月。</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rFonts w:eastAsia="宋体"/>
                <w:b/>
                <w:snapToGrid w:val="0"/>
              </w:rPr>
            </w:pPr>
            <w:r w:rsidRPr="007B3988">
              <w:rPr>
                <w:rFonts w:eastAsia="宋体" w:hint="eastAsia"/>
                <w:b/>
                <w:snapToGrid w:val="0"/>
              </w:rPr>
              <w:t>份额转换</w:t>
            </w:r>
          </w:p>
          <w:p w:rsidR="00ED3310" w:rsidRPr="007B3988" w:rsidRDefault="007F1C9F" w:rsidP="00ED3310">
            <w:pPr>
              <w:pStyle w:val="Style1"/>
              <w:tabs>
                <w:tab w:val="left" w:pos="426"/>
              </w:tabs>
              <w:topLinePunct/>
              <w:snapToGrid w:val="0"/>
              <w:spacing w:after="260" w:line="276" w:lineRule="auto"/>
              <w:ind w:left="426" w:right="91"/>
              <w:rPr>
                <w:rFonts w:eastAsia="宋体"/>
                <w:snapToGrid w:val="0"/>
              </w:rPr>
            </w:pPr>
            <w:r w:rsidRPr="007B3988">
              <w:rPr>
                <w:rFonts w:eastAsia="宋体" w:hint="eastAsia"/>
                <w:snapToGrid w:val="0"/>
              </w:rPr>
              <w:t>本基金在内地的销售，暂不开通基金份额的转换。</w:t>
            </w:r>
          </w:p>
          <w:p w:rsidR="002019F9" w:rsidRPr="007B3988" w:rsidRDefault="007F1C9F" w:rsidP="00ED3310">
            <w:pPr>
              <w:pStyle w:val="Style1"/>
              <w:tabs>
                <w:tab w:val="left" w:pos="426"/>
              </w:tabs>
              <w:topLinePunct/>
              <w:snapToGrid w:val="0"/>
              <w:spacing w:after="260" w:line="276" w:lineRule="auto"/>
              <w:ind w:left="426" w:right="91"/>
              <w:rPr>
                <w:rFonts w:eastAsia="宋体"/>
                <w:snapToGrid w:val="0"/>
              </w:rPr>
            </w:pPr>
            <w:r w:rsidRPr="007B3988">
              <w:rPr>
                <w:rFonts w:eastAsia="宋体" w:hint="eastAsia"/>
                <w:snapToGrid w:val="0"/>
              </w:rPr>
              <w:t>本基金开通内地销售的基金类别之间转换业务的，届时将由基金管理人或内地代理人公告。</w:t>
            </w:r>
          </w:p>
          <w:p w:rsidR="007F1C9F" w:rsidRPr="007B3988" w:rsidRDefault="007F1C9F" w:rsidP="005F7DCC">
            <w:pPr>
              <w:pStyle w:val="Style1"/>
              <w:numPr>
                <w:ilvl w:val="0"/>
                <w:numId w:val="31"/>
              </w:numPr>
              <w:tabs>
                <w:tab w:val="left" w:pos="426"/>
              </w:tabs>
              <w:topLinePunct/>
              <w:autoSpaceDE/>
              <w:autoSpaceDN/>
              <w:snapToGrid w:val="0"/>
              <w:spacing w:after="260" w:line="276" w:lineRule="auto"/>
              <w:ind w:left="426" w:right="91" w:hanging="426"/>
              <w:jc w:val="both"/>
              <w:rPr>
                <w:rFonts w:eastAsia="宋体"/>
                <w:b/>
                <w:snapToGrid w:val="0"/>
              </w:rPr>
            </w:pPr>
            <w:r w:rsidRPr="007B3988">
              <w:rPr>
                <w:rFonts w:eastAsia="宋体" w:hint="eastAsia"/>
                <w:b/>
                <w:snapToGrid w:val="0"/>
              </w:rPr>
              <w:t>其他规则</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宋体"/>
                <w:b/>
                <w:snapToGrid w:val="0"/>
              </w:rPr>
            </w:pPr>
            <w:r w:rsidRPr="007B3988">
              <w:rPr>
                <w:rFonts w:eastAsia="宋体" w:hint="eastAsia"/>
                <w:snapToGrid w:val="0"/>
              </w:rPr>
              <w:t>本基金的申购、赎回、转换的具体规则请参见招募说明书</w:t>
            </w:r>
            <w:r w:rsidRPr="007B3988">
              <w:rPr>
                <w:rFonts w:eastAsia="宋体"/>
                <w:snapToGrid w:val="0"/>
              </w:rPr>
              <w:t>之</w:t>
            </w:r>
            <w:r w:rsidRPr="007B3988">
              <w:rPr>
                <w:rFonts w:eastAsia="宋体" w:hint="eastAsia"/>
                <w:snapToGrid w:val="0"/>
              </w:rPr>
              <w:t>基金说明书“份额的认</w:t>
            </w:r>
            <w:r w:rsidRPr="007B3988">
              <w:rPr>
                <w:rFonts w:eastAsia="宋体"/>
                <w:snapToGrid w:val="0"/>
              </w:rPr>
              <w:t>/</w:t>
            </w:r>
            <w:r w:rsidRPr="007B3988">
              <w:rPr>
                <w:rFonts w:eastAsia="宋体" w:hint="eastAsia"/>
                <w:snapToGrid w:val="0"/>
              </w:rPr>
              <w:t>申购”、“份额的赎回”及“转换”章节。</w:t>
            </w:r>
          </w:p>
          <w:p w:rsidR="007F1C9F" w:rsidRPr="007B3988" w:rsidRDefault="007F1C9F" w:rsidP="005F7DCC">
            <w:pPr>
              <w:pStyle w:val="ssPara1"/>
              <w:adjustRightInd w:val="0"/>
              <w:snapToGrid w:val="0"/>
              <w:rPr>
                <w:rStyle w:val="CharacterStyle2"/>
                <w:rFonts w:ascii="Times New Roman" w:eastAsia="Batang" w:hAnsi="Times New Roman"/>
                <w:i/>
                <w:sz w:val="20"/>
                <w:szCs w:val="20"/>
                <w:u w:val="single"/>
                <w:lang w:val="en-US"/>
              </w:rPr>
            </w:pPr>
            <w:r w:rsidRPr="007B3988">
              <w:rPr>
                <w:rStyle w:val="CharacterStyle2"/>
                <w:rFonts w:ascii="Times New Roman" w:hAnsi="Times New Roman" w:hint="eastAsia"/>
                <w:i/>
                <w:sz w:val="20"/>
                <w:szCs w:val="20"/>
                <w:u w:val="single"/>
              </w:rPr>
              <w:t>销售数据交换</w:t>
            </w:r>
          </w:p>
          <w:p w:rsidR="007F1C9F" w:rsidRPr="007B3988" w:rsidRDefault="007F1C9F" w:rsidP="005F7DCC">
            <w:pPr>
              <w:pStyle w:val="ssPara1"/>
              <w:rPr>
                <w:rFonts w:cs="Arial"/>
                <w:snapToGrid w:val="0"/>
                <w:sz w:val="20"/>
                <w:szCs w:val="20"/>
              </w:rPr>
            </w:pPr>
            <w:r w:rsidRPr="007B3988">
              <w:rPr>
                <w:rFonts w:cs="Arial" w:hint="eastAsia"/>
                <w:snapToGrid w:val="0"/>
                <w:sz w:val="20"/>
                <w:szCs w:val="20"/>
              </w:rPr>
              <w:t>内地代理人作为基金管理人委托的本基金在内地公开销售事务的代理人，根据基金管理人的委托，代为办理内地销售安排、与内地销售机构及基金管理人</w:t>
            </w:r>
            <w:r w:rsidRPr="007B3988">
              <w:rPr>
                <w:rFonts w:cs="Arial"/>
                <w:snapToGrid w:val="0"/>
                <w:sz w:val="20"/>
                <w:szCs w:val="20"/>
              </w:rPr>
              <w:t>(</w:t>
            </w:r>
            <w:r w:rsidRPr="007B3988">
              <w:rPr>
                <w:rFonts w:cs="Arial" w:hint="eastAsia"/>
                <w:snapToGrid w:val="0"/>
                <w:sz w:val="20"/>
                <w:szCs w:val="20"/>
              </w:rPr>
              <w:t>或其指定的行政管理人</w:t>
            </w:r>
            <w:r w:rsidRPr="007B3988">
              <w:rPr>
                <w:rFonts w:cs="Arial"/>
                <w:snapToGrid w:val="0"/>
                <w:sz w:val="20"/>
                <w:szCs w:val="20"/>
              </w:rPr>
              <w:t>)</w:t>
            </w:r>
            <w:r w:rsidRPr="007B3988">
              <w:rPr>
                <w:rFonts w:cs="Arial" w:hint="eastAsia"/>
                <w:snapToGrid w:val="0"/>
                <w:sz w:val="20"/>
                <w:szCs w:val="20"/>
              </w:rPr>
              <w:t>的数据交换和清算事项。内地代理人委托中国结算办理与内地销售机构、基金管理人</w:t>
            </w:r>
            <w:r w:rsidRPr="007B3988">
              <w:rPr>
                <w:rFonts w:cs="Arial"/>
                <w:snapToGrid w:val="0"/>
                <w:sz w:val="20"/>
                <w:szCs w:val="20"/>
              </w:rPr>
              <w:t>(</w:t>
            </w:r>
            <w:r w:rsidRPr="007B3988">
              <w:rPr>
                <w:rFonts w:cs="Arial" w:hint="eastAsia"/>
                <w:snapToGrid w:val="0"/>
                <w:sz w:val="20"/>
                <w:szCs w:val="20"/>
              </w:rPr>
              <w:t>或其指定的行政管理人</w:t>
            </w:r>
            <w:r w:rsidRPr="007B3988">
              <w:rPr>
                <w:rFonts w:cs="Arial"/>
                <w:snapToGrid w:val="0"/>
                <w:sz w:val="20"/>
                <w:szCs w:val="20"/>
              </w:rPr>
              <w:t>)</w:t>
            </w:r>
            <w:r w:rsidRPr="007B3988">
              <w:rPr>
                <w:rFonts w:cs="Arial" w:hint="eastAsia"/>
                <w:snapToGrid w:val="0"/>
                <w:sz w:val="20"/>
                <w:szCs w:val="20"/>
              </w:rPr>
              <w:t>的基金销售数据传输。</w:t>
            </w:r>
          </w:p>
          <w:p w:rsidR="007F1C9F" w:rsidRPr="007B3988" w:rsidRDefault="007F1C9F" w:rsidP="005F7DCC">
            <w:pPr>
              <w:pStyle w:val="ssPara1"/>
              <w:adjustRightInd w:val="0"/>
              <w:snapToGrid w:val="0"/>
              <w:rPr>
                <w:rStyle w:val="CharacterStyle2"/>
                <w:rFonts w:ascii="Times New Roman" w:hAnsi="Times New Roman"/>
                <w:i/>
                <w:sz w:val="20"/>
                <w:szCs w:val="20"/>
                <w:u w:val="single"/>
              </w:rPr>
            </w:pPr>
            <w:r w:rsidRPr="007B3988">
              <w:rPr>
                <w:rStyle w:val="CharacterStyle2"/>
                <w:rFonts w:ascii="Times New Roman" w:hAnsi="Times New Roman" w:hint="eastAsia"/>
                <w:i/>
                <w:sz w:val="20"/>
                <w:szCs w:val="20"/>
                <w:u w:val="single"/>
              </w:rPr>
              <w:t>销售资金交收</w:t>
            </w:r>
          </w:p>
          <w:p w:rsidR="007F1C9F" w:rsidRPr="007B3988" w:rsidRDefault="007F1C9F" w:rsidP="005F7DCC">
            <w:pPr>
              <w:pStyle w:val="ssPara1"/>
              <w:rPr>
                <w:rFonts w:cs="Arial"/>
                <w:snapToGrid w:val="0"/>
                <w:sz w:val="20"/>
                <w:szCs w:val="20"/>
              </w:rPr>
            </w:pPr>
            <w:r w:rsidRPr="007B3988">
              <w:rPr>
                <w:rFonts w:cs="Arial" w:hint="eastAsia"/>
                <w:snapToGrid w:val="0"/>
                <w:sz w:val="20"/>
                <w:szCs w:val="20"/>
              </w:rPr>
              <w:t>基金管理人委托内地代理人以基金管理人名义在中国境内具有证券投资基金销售资格的商业银行为本基金开立内地募集资金专用账户</w:t>
            </w:r>
            <w:r w:rsidRPr="007B3988">
              <w:rPr>
                <w:rFonts w:cs="Arial"/>
                <w:snapToGrid w:val="0"/>
                <w:sz w:val="20"/>
                <w:szCs w:val="20"/>
              </w:rPr>
              <w:t>(</w:t>
            </w:r>
            <w:r w:rsidRPr="007B3988">
              <w:rPr>
                <w:rFonts w:cs="Arial" w:hint="eastAsia"/>
                <w:snapToGrid w:val="0"/>
                <w:sz w:val="20"/>
                <w:szCs w:val="20"/>
              </w:rPr>
              <w:t>含人民币账户和外汇账户</w:t>
            </w:r>
            <w:r w:rsidRPr="007B3988">
              <w:rPr>
                <w:rFonts w:cs="Arial"/>
                <w:snapToGrid w:val="0"/>
                <w:sz w:val="20"/>
                <w:szCs w:val="20"/>
              </w:rPr>
              <w:t>)</w:t>
            </w:r>
            <w:r w:rsidRPr="007B3988">
              <w:rPr>
                <w:rFonts w:cs="Arial" w:hint="eastAsia"/>
                <w:snapToGrid w:val="0"/>
                <w:sz w:val="20"/>
                <w:szCs w:val="20"/>
              </w:rPr>
              <w:t>。内地代理人在中国境内的商业银行开立香港基金代销账</w:t>
            </w:r>
            <w:r w:rsidRPr="007B3988">
              <w:rPr>
                <w:rFonts w:cs="Arial" w:hint="eastAsia"/>
                <w:snapToGrid w:val="0"/>
                <w:sz w:val="20"/>
                <w:szCs w:val="20"/>
              </w:rPr>
              <w:lastRenderedPageBreak/>
              <w:t>户。本基金的销售资金划转流程如下</w:t>
            </w:r>
            <w:r w:rsidRPr="007B3988">
              <w:rPr>
                <w:rFonts w:cs="Arial"/>
                <w:snapToGrid w:val="0"/>
                <w:sz w:val="20"/>
                <w:szCs w:val="20"/>
              </w:rPr>
              <w:t>:</w:t>
            </w:r>
          </w:p>
          <w:p w:rsidR="007F1C9F" w:rsidRPr="007B3988" w:rsidRDefault="007F1C9F" w:rsidP="005F7DCC">
            <w:pPr>
              <w:pStyle w:val="Style1"/>
              <w:numPr>
                <w:ilvl w:val="0"/>
                <w:numId w:val="42"/>
              </w:numPr>
              <w:tabs>
                <w:tab w:val="left" w:pos="426"/>
              </w:tabs>
              <w:topLinePunct/>
              <w:autoSpaceDE/>
              <w:autoSpaceDN/>
              <w:snapToGrid w:val="0"/>
              <w:spacing w:after="260" w:line="276" w:lineRule="auto"/>
              <w:ind w:left="426" w:right="91" w:hanging="426"/>
              <w:jc w:val="both"/>
              <w:rPr>
                <w:b/>
                <w:snapToGrid w:val="0"/>
              </w:rPr>
            </w:pPr>
            <w:r w:rsidRPr="007B3988">
              <w:rPr>
                <w:rFonts w:eastAsia="宋体" w:hint="eastAsia"/>
                <w:b/>
                <w:snapToGrid w:val="0"/>
              </w:rPr>
              <w:t>申购资金交收</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snapToGrid w:val="0"/>
              </w:rPr>
              <w:t>T</w:t>
            </w:r>
            <w:r w:rsidRPr="007B3988">
              <w:rPr>
                <w:rFonts w:ascii="Arial" w:eastAsiaTheme="minorEastAsia" w:hAnsi="Arial" w:cs="Arial" w:hint="eastAsia"/>
                <w:snapToGrid w:val="0"/>
              </w:rPr>
              <w:t>日</w:t>
            </w:r>
            <w:r w:rsidRPr="007B3988">
              <w:rPr>
                <w:rFonts w:ascii="Arial" w:eastAsiaTheme="minorEastAsia" w:hAnsi="Arial" w:cs="Arial"/>
                <w:snapToGrid w:val="0"/>
              </w:rPr>
              <w:t>(</w:t>
            </w:r>
            <w:r w:rsidRPr="007B3988">
              <w:rPr>
                <w:rFonts w:ascii="Arial" w:eastAsiaTheme="minorEastAsia" w:hAnsi="Arial" w:cs="Arial" w:hint="eastAsia"/>
                <w:snapToGrid w:val="0"/>
              </w:rPr>
              <w:t>申请日</w:t>
            </w:r>
            <w:r w:rsidRPr="007B3988">
              <w:rPr>
                <w:rFonts w:ascii="Arial" w:eastAsiaTheme="minorEastAsia" w:hAnsi="Arial" w:cs="Arial"/>
                <w:snapToGrid w:val="0"/>
              </w:rPr>
              <w:t>)15:00</w:t>
            </w:r>
            <w:r w:rsidRPr="007B3988">
              <w:rPr>
                <w:rFonts w:ascii="Arial" w:eastAsiaTheme="minorEastAsia" w:hAnsi="Arial" w:cs="Arial" w:hint="eastAsia"/>
                <w:snapToGrid w:val="0"/>
              </w:rPr>
              <w:t>前，内地投资者提交申购申请时，向内地销售机构支付全额申购资金。</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hint="eastAsia"/>
                <w:snapToGrid w:val="0"/>
              </w:rPr>
              <w:t>预计</w:t>
            </w:r>
            <w:r w:rsidRPr="007B3988">
              <w:rPr>
                <w:rFonts w:ascii="Arial" w:eastAsiaTheme="minorEastAsia" w:hAnsi="Arial" w:cs="Arial"/>
                <w:snapToGrid w:val="0"/>
              </w:rPr>
              <w:t>T+3</w:t>
            </w:r>
            <w:r w:rsidRPr="007B3988">
              <w:rPr>
                <w:rFonts w:ascii="Arial" w:eastAsiaTheme="minorEastAsia" w:hAnsi="Arial" w:cs="Arial" w:hint="eastAsia"/>
                <w:snapToGrid w:val="0"/>
              </w:rPr>
              <w:t>日，内地销售机构将经基金管理人确认申请有效的申购资金在扣除相关手续费后划入内地代理人在内地开立的香港基金代销账户。</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hint="eastAsia"/>
                <w:snapToGrid w:val="0"/>
              </w:rPr>
              <w:t>预计</w:t>
            </w:r>
            <w:r w:rsidRPr="007B3988">
              <w:rPr>
                <w:rFonts w:ascii="Arial" w:eastAsiaTheme="minorEastAsia" w:hAnsi="Arial" w:cs="Arial"/>
                <w:snapToGrid w:val="0"/>
              </w:rPr>
              <w:t>T+3</w:t>
            </w:r>
            <w:r w:rsidRPr="007B3988">
              <w:rPr>
                <w:rFonts w:ascii="Arial" w:eastAsiaTheme="minorEastAsia" w:hAnsi="Arial" w:cs="Arial" w:hint="eastAsia"/>
                <w:snapToGrid w:val="0"/>
              </w:rPr>
              <w:t>日，内地代理人将申购资金从香港基金代销账户划往内地代理人以基金管理人的名义为本基金在内地开立的募集资金专用账户。</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hint="eastAsia"/>
                <w:snapToGrid w:val="0"/>
              </w:rPr>
              <w:t>预计</w:t>
            </w:r>
            <w:r w:rsidRPr="007B3988">
              <w:rPr>
                <w:rFonts w:ascii="Arial" w:eastAsiaTheme="minorEastAsia" w:hAnsi="Arial" w:cs="Arial"/>
                <w:snapToGrid w:val="0"/>
              </w:rPr>
              <w:t>T+4</w:t>
            </w:r>
            <w:r w:rsidRPr="007B3988">
              <w:rPr>
                <w:rFonts w:ascii="Arial" w:eastAsiaTheme="minorEastAsia" w:hAnsi="Arial" w:cs="Arial" w:hint="eastAsia"/>
                <w:snapToGrid w:val="0"/>
              </w:rPr>
              <w:t>日，内地代理人将申购资金从募集资金专用账户通过相关商业银行跨境汇款划转至本基金在香港的香港结算账户，完成申购资金交收。</w:t>
            </w:r>
          </w:p>
          <w:p w:rsidR="007F1C9F" w:rsidRPr="007B3988" w:rsidRDefault="007F1C9F" w:rsidP="005F7DCC">
            <w:pPr>
              <w:pStyle w:val="Style1"/>
              <w:numPr>
                <w:ilvl w:val="0"/>
                <w:numId w:val="42"/>
              </w:numPr>
              <w:tabs>
                <w:tab w:val="left" w:pos="426"/>
              </w:tabs>
              <w:topLinePunct/>
              <w:autoSpaceDE/>
              <w:autoSpaceDN/>
              <w:snapToGrid w:val="0"/>
              <w:spacing w:after="260" w:line="276" w:lineRule="auto"/>
              <w:ind w:left="426" w:right="91" w:hanging="426"/>
              <w:jc w:val="both"/>
              <w:rPr>
                <w:rFonts w:eastAsiaTheme="minorEastAsia" w:cs="Arial"/>
                <w:b/>
                <w:snapToGrid w:val="0"/>
              </w:rPr>
            </w:pPr>
            <w:r w:rsidRPr="007B3988">
              <w:rPr>
                <w:rFonts w:ascii="Arial" w:eastAsiaTheme="minorEastAsia" w:hAnsi="Arial" w:cs="Arial" w:hint="eastAsia"/>
                <w:b/>
                <w:snapToGrid w:val="0"/>
              </w:rPr>
              <w:t>赎回资金交收</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snapToGrid w:val="0"/>
              </w:rPr>
              <w:t>T</w:t>
            </w:r>
            <w:r w:rsidRPr="007B3988">
              <w:rPr>
                <w:rFonts w:ascii="Arial" w:eastAsiaTheme="minorEastAsia" w:hAnsi="Arial" w:cs="Arial" w:hint="eastAsia"/>
                <w:snapToGrid w:val="0"/>
              </w:rPr>
              <w:t>日</w:t>
            </w:r>
            <w:r w:rsidRPr="007B3988">
              <w:rPr>
                <w:rFonts w:ascii="Arial" w:eastAsiaTheme="minorEastAsia" w:hAnsi="Arial" w:cs="Arial"/>
                <w:snapToGrid w:val="0"/>
              </w:rPr>
              <w:t>(</w:t>
            </w:r>
            <w:r w:rsidRPr="007B3988">
              <w:rPr>
                <w:rFonts w:ascii="Arial" w:eastAsiaTheme="minorEastAsia" w:hAnsi="Arial" w:cs="Arial" w:hint="eastAsia"/>
                <w:snapToGrid w:val="0"/>
              </w:rPr>
              <w:t>申请日</w:t>
            </w:r>
            <w:r w:rsidRPr="007B3988">
              <w:rPr>
                <w:rFonts w:ascii="Arial" w:eastAsiaTheme="minorEastAsia" w:hAnsi="Arial" w:cs="Arial"/>
                <w:snapToGrid w:val="0"/>
              </w:rPr>
              <w:t>)15:00</w:t>
            </w:r>
            <w:r w:rsidRPr="007B3988">
              <w:rPr>
                <w:rFonts w:ascii="Arial" w:eastAsiaTheme="minorEastAsia" w:hAnsi="Arial" w:cs="Arial" w:hint="eastAsia"/>
                <w:snapToGrid w:val="0"/>
              </w:rPr>
              <w:t>前，内地投资者向内地销售机构提交赎回申请。</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hint="eastAsia"/>
                <w:snapToGrid w:val="0"/>
              </w:rPr>
              <w:t>预计</w:t>
            </w:r>
            <w:r w:rsidRPr="007B3988">
              <w:rPr>
                <w:rFonts w:ascii="Arial" w:eastAsiaTheme="minorEastAsia" w:hAnsi="Arial" w:cs="Arial"/>
                <w:snapToGrid w:val="0"/>
              </w:rPr>
              <w:t>T+5</w:t>
            </w:r>
            <w:r w:rsidRPr="007B3988">
              <w:rPr>
                <w:rFonts w:ascii="Arial" w:eastAsiaTheme="minorEastAsia" w:hAnsi="Arial" w:cs="Arial" w:hint="eastAsia"/>
                <w:snapToGrid w:val="0"/>
              </w:rPr>
              <w:t>日，基金管理人将确认申请有效的赎回资金从本基金在香港的香港结算账户通过跨境汇款划往内地代理人以基金管理人的名义为本基金在内地开立的募集资金专用账户。</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hint="eastAsia"/>
                <w:snapToGrid w:val="0"/>
              </w:rPr>
              <w:t>预计</w:t>
            </w:r>
            <w:r w:rsidRPr="007B3988">
              <w:rPr>
                <w:rFonts w:ascii="Arial" w:eastAsiaTheme="minorEastAsia" w:hAnsi="Arial" w:cs="Arial"/>
                <w:snapToGrid w:val="0"/>
              </w:rPr>
              <w:t>T+6</w:t>
            </w:r>
            <w:r w:rsidRPr="007B3988">
              <w:rPr>
                <w:rFonts w:ascii="Arial" w:eastAsiaTheme="minorEastAsia" w:hAnsi="Arial" w:cs="Arial" w:hint="eastAsia"/>
                <w:snapToGrid w:val="0"/>
              </w:rPr>
              <w:t>日，内地代理人将赎回资金由募集资金专用账户划入内地代理人在内地开立的香港基金代销账户。</w:t>
            </w:r>
          </w:p>
          <w:p w:rsidR="007F1C9F" w:rsidRPr="007B3988"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hint="eastAsia"/>
                <w:snapToGrid w:val="0"/>
              </w:rPr>
              <w:t>预计</w:t>
            </w:r>
            <w:r w:rsidRPr="007B3988">
              <w:rPr>
                <w:rFonts w:ascii="Arial" w:eastAsiaTheme="minorEastAsia" w:hAnsi="Arial" w:cs="Arial"/>
                <w:snapToGrid w:val="0"/>
              </w:rPr>
              <w:t>T+7</w:t>
            </w:r>
            <w:r w:rsidRPr="007B3988">
              <w:rPr>
                <w:rFonts w:ascii="Arial" w:eastAsiaTheme="minorEastAsia" w:hAnsi="Arial" w:cs="Arial" w:hint="eastAsia"/>
                <w:snapToGrid w:val="0"/>
              </w:rPr>
              <w:t>日前，内地代理人将赎回资金在扣除相关手续费后从香港基金代销账户划入内地销售机构的账户，完成赎回资金交收。</w:t>
            </w:r>
          </w:p>
          <w:p w:rsidR="007F1C9F" w:rsidRPr="007B3988" w:rsidDel="002E3B46" w:rsidRDefault="007F1C9F" w:rsidP="005F7DCC">
            <w:pPr>
              <w:pStyle w:val="Style1"/>
              <w:tabs>
                <w:tab w:val="left" w:pos="426"/>
              </w:tabs>
              <w:topLinePunct/>
              <w:autoSpaceDE/>
              <w:autoSpaceDN/>
              <w:snapToGrid w:val="0"/>
              <w:spacing w:after="260" w:line="276" w:lineRule="auto"/>
              <w:ind w:left="426" w:right="91"/>
              <w:jc w:val="both"/>
              <w:rPr>
                <w:rFonts w:eastAsiaTheme="minorEastAsia" w:cs="Arial"/>
                <w:snapToGrid w:val="0"/>
              </w:rPr>
            </w:pPr>
            <w:r w:rsidRPr="007B3988">
              <w:rPr>
                <w:rFonts w:ascii="Arial" w:eastAsiaTheme="minorEastAsia" w:hAnsi="Arial" w:cs="Arial" w:hint="eastAsia"/>
                <w:snapToGrid w:val="0"/>
              </w:rPr>
              <w:t>预计</w:t>
            </w:r>
            <w:r w:rsidRPr="007B3988">
              <w:rPr>
                <w:rFonts w:ascii="Arial" w:eastAsiaTheme="minorEastAsia" w:hAnsi="Arial" w:cs="Arial"/>
                <w:snapToGrid w:val="0"/>
              </w:rPr>
              <w:t>T+9</w:t>
            </w:r>
            <w:r w:rsidRPr="007B3988">
              <w:rPr>
                <w:rFonts w:ascii="Arial" w:eastAsiaTheme="minorEastAsia" w:hAnsi="Arial" w:cs="Arial" w:hint="eastAsia"/>
                <w:snapToGrid w:val="0"/>
              </w:rPr>
              <w:t>日前，内地销售机构将赎回资金划往内地投资者的银行结算账户。</w:t>
            </w:r>
          </w:p>
        </w:tc>
      </w:tr>
      <w:tr w:rsidR="007F1C9F" w:rsidRPr="007B3988" w:rsidTr="00F340F6">
        <w:trPr>
          <w:trHeight w:val="699"/>
        </w:trPr>
        <w:tc>
          <w:tcPr>
            <w:tcW w:w="9829" w:type="dxa"/>
            <w:gridSpan w:val="2"/>
            <w:tcBorders>
              <w:top w:val="single" w:sz="4" w:space="0" w:color="auto"/>
              <w:left w:val="single" w:sz="4" w:space="0" w:color="auto"/>
              <w:bottom w:val="single" w:sz="4" w:space="0" w:color="auto"/>
              <w:right w:val="single" w:sz="4" w:space="0" w:color="auto"/>
            </w:tcBorders>
          </w:tcPr>
          <w:p w:rsidR="007F1C9F" w:rsidRPr="007B3988" w:rsidRDefault="007F1C9F" w:rsidP="005F7DCC">
            <w:pPr>
              <w:pStyle w:val="ssPara1"/>
              <w:adjustRightInd w:val="0"/>
              <w:snapToGrid w:val="0"/>
              <w:spacing w:before="60"/>
              <w:rPr>
                <w:rFonts w:eastAsia="PMingLiU" w:cs="Arial"/>
                <w:b/>
                <w:bCs/>
                <w:sz w:val="20"/>
                <w:szCs w:val="20"/>
              </w:rPr>
            </w:pPr>
            <w:r w:rsidRPr="007B3988">
              <w:rPr>
                <w:rFonts w:cs="Arial" w:hint="eastAsia"/>
                <w:b/>
                <w:bCs/>
                <w:sz w:val="28"/>
                <w:szCs w:val="28"/>
              </w:rPr>
              <w:lastRenderedPageBreak/>
              <w:t>本基金有哪些主要风险</w:t>
            </w:r>
            <w:r w:rsidRPr="007B3988">
              <w:rPr>
                <w:rFonts w:cs="Arial"/>
                <w:b/>
                <w:bCs/>
                <w:sz w:val="28"/>
                <w:szCs w:val="28"/>
              </w:rPr>
              <w:t>?</w:t>
            </w:r>
            <w:r w:rsidRPr="007B3988">
              <w:rPr>
                <w:rFonts w:eastAsia="PMingLiU" w:cs="Arial"/>
              </w:rPr>
              <w:cr/>
            </w:r>
            <w:r w:rsidRPr="007B3988">
              <w:rPr>
                <w:rFonts w:cs="Arial" w:hint="eastAsia"/>
                <w:b/>
                <w:bCs/>
                <w:sz w:val="20"/>
                <w:szCs w:val="20"/>
              </w:rPr>
              <w:t>投资有风险。请参阅招募说明书，以了解相关风险因素的详情。</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ind w:hanging="357"/>
              <w:contextualSpacing w:val="0"/>
              <w:rPr>
                <w:rFonts w:eastAsia="PMingLiU"/>
                <w:sz w:val="20"/>
                <w:szCs w:val="20"/>
                <w:lang w:val="en-US"/>
              </w:rPr>
            </w:pPr>
            <w:r w:rsidRPr="007B3988">
              <w:rPr>
                <w:rFonts w:cs="Arial" w:hint="eastAsia"/>
                <w:b/>
                <w:bCs/>
                <w:sz w:val="20"/>
                <w:szCs w:val="20"/>
              </w:rPr>
              <w:t>投资及集中风险</w:t>
            </w:r>
          </w:p>
          <w:p w:rsidR="00AC1560" w:rsidRPr="00AC1560" w:rsidRDefault="00AC1560" w:rsidP="00AC1560">
            <w:pPr>
              <w:pStyle w:val="af"/>
              <w:keepNext/>
              <w:keepLines/>
              <w:numPr>
                <w:ilvl w:val="0"/>
                <w:numId w:val="28"/>
              </w:numPr>
              <w:tabs>
                <w:tab w:val="left" w:pos="330"/>
              </w:tabs>
              <w:autoSpaceDE w:val="0"/>
              <w:autoSpaceDN w:val="0"/>
              <w:adjustRightInd w:val="0"/>
              <w:snapToGrid w:val="0"/>
              <w:spacing w:after="260"/>
              <w:contextualSpacing w:val="0"/>
              <w:rPr>
                <w:sz w:val="20"/>
                <w:szCs w:val="20"/>
              </w:rPr>
            </w:pPr>
            <w:r w:rsidRPr="00AC1560">
              <w:rPr>
                <w:rFonts w:hint="eastAsia"/>
                <w:sz w:val="20"/>
                <w:szCs w:val="20"/>
              </w:rPr>
              <w:t>由于以下任何主要风险因素，</w:t>
            </w:r>
            <w:r>
              <w:rPr>
                <w:rFonts w:hint="eastAsia"/>
                <w:sz w:val="20"/>
                <w:szCs w:val="20"/>
              </w:rPr>
              <w:t>本</w:t>
            </w:r>
            <w:r w:rsidRPr="00AC1560">
              <w:rPr>
                <w:rFonts w:hint="eastAsia"/>
                <w:sz w:val="20"/>
                <w:szCs w:val="20"/>
              </w:rPr>
              <w:t>基金的投资组合的价值可能下降，因此</w:t>
            </w:r>
            <w:r w:rsidR="00D40982">
              <w:rPr>
                <w:rFonts w:hint="eastAsia"/>
                <w:sz w:val="20"/>
                <w:szCs w:val="20"/>
              </w:rPr>
              <w:t>，投资者</w:t>
            </w:r>
            <w:r w:rsidRPr="00AC1560">
              <w:rPr>
                <w:rFonts w:hint="eastAsia"/>
                <w:sz w:val="20"/>
                <w:szCs w:val="20"/>
              </w:rPr>
              <w:t>在</w:t>
            </w:r>
            <w:r w:rsidR="00D40982">
              <w:rPr>
                <w:rFonts w:hint="eastAsia"/>
                <w:sz w:val="20"/>
                <w:szCs w:val="20"/>
              </w:rPr>
              <w:t>本</w:t>
            </w:r>
            <w:r w:rsidRPr="00AC1560">
              <w:rPr>
                <w:rFonts w:hint="eastAsia"/>
                <w:sz w:val="20"/>
                <w:szCs w:val="20"/>
              </w:rPr>
              <w:t>基金中的投资可能遭受损失。不能保证</w:t>
            </w:r>
            <w:r w:rsidR="00C414C4">
              <w:rPr>
                <w:rFonts w:hint="eastAsia"/>
                <w:sz w:val="20"/>
                <w:szCs w:val="20"/>
              </w:rPr>
              <w:t>偿还</w:t>
            </w:r>
            <w:r w:rsidRPr="00AC1560">
              <w:rPr>
                <w:rFonts w:hint="eastAsia"/>
                <w:sz w:val="20"/>
                <w:szCs w:val="20"/>
              </w:rPr>
              <w:t>本金。</w:t>
            </w:r>
            <w:r w:rsidRPr="00AC1560">
              <w:rPr>
                <w:rFonts w:hint="eastAsia"/>
                <w:sz w:val="20"/>
                <w:szCs w:val="20"/>
              </w:rPr>
              <w:t xml:space="preserve"> </w:t>
            </w:r>
          </w:p>
          <w:p w:rsidR="00AC1560" w:rsidRPr="00AC1560" w:rsidRDefault="00A131BA" w:rsidP="00AC1560">
            <w:pPr>
              <w:pStyle w:val="af"/>
              <w:keepNext/>
              <w:keepLines/>
              <w:numPr>
                <w:ilvl w:val="0"/>
                <w:numId w:val="28"/>
              </w:numPr>
              <w:tabs>
                <w:tab w:val="left" w:pos="330"/>
              </w:tabs>
              <w:autoSpaceDE w:val="0"/>
              <w:autoSpaceDN w:val="0"/>
              <w:adjustRightInd w:val="0"/>
              <w:snapToGrid w:val="0"/>
              <w:spacing w:after="260"/>
              <w:contextualSpacing w:val="0"/>
              <w:rPr>
                <w:sz w:val="20"/>
                <w:szCs w:val="20"/>
              </w:rPr>
            </w:pPr>
            <w:r>
              <w:rPr>
                <w:rFonts w:hint="eastAsia"/>
                <w:sz w:val="20"/>
                <w:szCs w:val="20"/>
              </w:rPr>
              <w:t>本</w:t>
            </w:r>
            <w:r w:rsidR="00AC1560" w:rsidRPr="00AC1560">
              <w:rPr>
                <w:rFonts w:hint="eastAsia"/>
                <w:sz w:val="20"/>
                <w:szCs w:val="20"/>
              </w:rPr>
              <w:t>基金投资集中于新兴市场。</w:t>
            </w:r>
            <w:r>
              <w:rPr>
                <w:rFonts w:hint="eastAsia"/>
                <w:sz w:val="20"/>
                <w:szCs w:val="20"/>
              </w:rPr>
              <w:t>与</w:t>
            </w:r>
            <w:r w:rsidR="00AC1560" w:rsidRPr="00AC1560">
              <w:rPr>
                <w:rFonts w:hint="eastAsia"/>
                <w:sz w:val="20"/>
                <w:szCs w:val="20"/>
              </w:rPr>
              <w:t>拥有更多元化投资组合的基金</w:t>
            </w:r>
            <w:r>
              <w:rPr>
                <w:rFonts w:hint="eastAsia"/>
                <w:sz w:val="20"/>
                <w:szCs w:val="20"/>
              </w:rPr>
              <w:t>相比，本基金的波动性可能</w:t>
            </w:r>
            <w:r w:rsidR="00AC1560" w:rsidRPr="00AC1560">
              <w:rPr>
                <w:rFonts w:hint="eastAsia"/>
                <w:sz w:val="20"/>
                <w:szCs w:val="20"/>
              </w:rPr>
              <w:t>为高。</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ind w:hanging="357"/>
              <w:contextualSpacing w:val="0"/>
              <w:rPr>
                <w:rFonts w:eastAsia="PMingLiU" w:cs="Arial"/>
                <w:b/>
                <w:bCs/>
                <w:sz w:val="20"/>
                <w:szCs w:val="20"/>
                <w:lang w:eastAsia="zh-TW"/>
              </w:rPr>
            </w:pPr>
            <w:r w:rsidRPr="007B3988">
              <w:rPr>
                <w:rFonts w:cs="Arial" w:hint="eastAsia"/>
                <w:b/>
                <w:bCs/>
                <w:sz w:val="20"/>
                <w:szCs w:val="20"/>
              </w:rPr>
              <w:t>新兴市场风险</w:t>
            </w:r>
          </w:p>
          <w:p w:rsidR="007F1C9F" w:rsidRPr="007B3988" w:rsidRDefault="007F1C9F" w:rsidP="005F7DCC">
            <w:pPr>
              <w:pStyle w:val="af"/>
              <w:keepNext/>
              <w:keepLines/>
              <w:numPr>
                <w:ilvl w:val="0"/>
                <w:numId w:val="28"/>
              </w:numPr>
              <w:tabs>
                <w:tab w:val="left" w:pos="330"/>
              </w:tabs>
              <w:autoSpaceDE w:val="0"/>
              <w:autoSpaceDN w:val="0"/>
              <w:adjustRightInd w:val="0"/>
              <w:snapToGrid w:val="0"/>
              <w:spacing w:after="260"/>
              <w:contextualSpacing w:val="0"/>
              <w:rPr>
                <w:rFonts w:eastAsia="PMingLiU"/>
                <w:sz w:val="20"/>
                <w:szCs w:val="20"/>
              </w:rPr>
            </w:pPr>
            <w:r w:rsidRPr="007B3988">
              <w:rPr>
                <w:rFonts w:hint="eastAsia"/>
                <w:sz w:val="20"/>
                <w:szCs w:val="20"/>
              </w:rPr>
              <w:t>本基金将投资于新兴市场，所承受的风险</w:t>
            </w:r>
            <w:r w:rsidRPr="007B3988">
              <w:rPr>
                <w:sz w:val="20"/>
                <w:szCs w:val="20"/>
                <w:lang w:val="en-US"/>
              </w:rPr>
              <w:t>(</w:t>
            </w:r>
            <w:r w:rsidRPr="007B3988">
              <w:rPr>
                <w:rFonts w:hint="eastAsia"/>
                <w:sz w:val="20"/>
                <w:szCs w:val="20"/>
              </w:rPr>
              <w:t>例如流动性风险、货币风险、政治风险、监管风险及经济风险</w:t>
            </w:r>
            <w:r w:rsidRPr="007B3988">
              <w:rPr>
                <w:rFonts w:eastAsiaTheme="minorEastAsia" w:cs="Arial"/>
                <w:snapToGrid w:val="0"/>
                <w:sz w:val="20"/>
                <w:szCs w:val="20"/>
              </w:rPr>
              <w:t>)</w:t>
            </w:r>
            <w:r w:rsidRPr="007B3988">
              <w:rPr>
                <w:rFonts w:hint="eastAsia"/>
                <w:sz w:val="20"/>
                <w:szCs w:val="20"/>
              </w:rPr>
              <w:t>及波动均高于相较</w:t>
            </w:r>
            <w:r w:rsidRPr="007B3988">
              <w:rPr>
                <w:sz w:val="20"/>
                <w:szCs w:val="20"/>
              </w:rPr>
              <w:t>发达</w:t>
            </w:r>
            <w:r w:rsidRPr="007B3988">
              <w:rPr>
                <w:rFonts w:hint="eastAsia"/>
                <w:sz w:val="20"/>
                <w:szCs w:val="20"/>
              </w:rPr>
              <w:t>市场。部分新兴市场证券可能须缴付经纪佣金或政府征收的股票转让税，这可能会增加投资成本，并于出售证券时减少变现收益或增加亏损。</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rPr>
                <w:rFonts w:eastAsia="PMingLiU" w:cs="Arial"/>
                <w:b/>
                <w:bCs/>
                <w:sz w:val="20"/>
                <w:szCs w:val="20"/>
                <w:lang w:eastAsia="zh-TW"/>
              </w:rPr>
            </w:pPr>
            <w:r w:rsidRPr="007B3988">
              <w:rPr>
                <w:rFonts w:cs="Arial" w:hint="eastAsia"/>
                <w:b/>
                <w:bCs/>
                <w:sz w:val="20"/>
                <w:szCs w:val="20"/>
              </w:rPr>
              <w:t>债务工具涉及的风险</w:t>
            </w:r>
          </w:p>
          <w:p w:rsidR="007F1C9F" w:rsidRPr="007B3988" w:rsidRDefault="007F1C9F" w:rsidP="005F7DCC">
            <w:pPr>
              <w:pStyle w:val="ssPara1"/>
              <w:adjustRightInd w:val="0"/>
              <w:snapToGrid w:val="0"/>
              <w:ind w:left="330"/>
              <w:rPr>
                <w:rFonts w:eastAsia="PMingLiU" w:cs="Arial"/>
                <w:bCs/>
                <w:i/>
                <w:sz w:val="20"/>
                <w:szCs w:val="20"/>
                <w:lang w:eastAsia="zh-TW"/>
              </w:rPr>
            </w:pPr>
            <w:r w:rsidRPr="007B3988">
              <w:rPr>
                <w:rFonts w:cs="Arial" w:hint="eastAsia"/>
                <w:bCs/>
                <w:i/>
                <w:sz w:val="20"/>
                <w:szCs w:val="20"/>
              </w:rPr>
              <w:t>利率风险</w:t>
            </w:r>
          </w:p>
          <w:p w:rsidR="007F1C9F" w:rsidRPr="007B3988" w:rsidRDefault="007F1C9F" w:rsidP="005F7DCC">
            <w:pPr>
              <w:pStyle w:val="ssPara1"/>
              <w:numPr>
                <w:ilvl w:val="1"/>
                <w:numId w:val="9"/>
              </w:numPr>
              <w:tabs>
                <w:tab w:val="clear" w:pos="1477"/>
              </w:tabs>
              <w:adjustRightInd w:val="0"/>
              <w:snapToGrid w:val="0"/>
              <w:ind w:left="720"/>
              <w:rPr>
                <w:rFonts w:eastAsia="PMingLiU" w:cs="Arial"/>
                <w:sz w:val="20"/>
                <w:szCs w:val="20"/>
              </w:rPr>
            </w:pPr>
            <w:r w:rsidRPr="007B3988">
              <w:rPr>
                <w:rFonts w:cs="Arial" w:hint="eastAsia"/>
                <w:sz w:val="20"/>
                <w:szCs w:val="20"/>
              </w:rPr>
              <w:t>一般来说，债务工具的价值会</w:t>
            </w:r>
            <w:r w:rsidRPr="007B3988">
              <w:rPr>
                <w:rFonts w:cs="Arial"/>
                <w:sz w:val="20"/>
                <w:szCs w:val="20"/>
              </w:rPr>
              <w:t>随</w:t>
            </w:r>
            <w:r w:rsidRPr="007B3988">
              <w:rPr>
                <w:rFonts w:cs="Arial" w:hint="eastAsia"/>
                <w:sz w:val="20"/>
                <w:szCs w:val="20"/>
              </w:rPr>
              <w:t>利率变化而</w:t>
            </w:r>
            <w:r w:rsidRPr="007B3988">
              <w:rPr>
                <w:rFonts w:cs="Arial"/>
                <w:sz w:val="20"/>
                <w:szCs w:val="20"/>
              </w:rPr>
              <w:t>反向变动</w:t>
            </w:r>
            <w:r w:rsidRPr="007B3988">
              <w:rPr>
                <w:rFonts w:cs="Arial" w:hint="eastAsia"/>
                <w:sz w:val="20"/>
                <w:szCs w:val="20"/>
              </w:rPr>
              <w:t>。利率的任何上升或全球宏观经济政策的变动</w:t>
            </w:r>
            <w:r w:rsidRPr="007B3988">
              <w:rPr>
                <w:rFonts w:cs="Arial" w:hint="eastAsia"/>
                <w:sz w:val="20"/>
                <w:szCs w:val="20"/>
              </w:rPr>
              <w:t>(</w:t>
            </w:r>
            <w:r w:rsidRPr="007B3988">
              <w:rPr>
                <w:rFonts w:cs="Arial" w:hint="eastAsia"/>
                <w:sz w:val="20"/>
                <w:szCs w:val="20"/>
              </w:rPr>
              <w:t>包括货币政策及财政政策</w:t>
            </w:r>
            <w:r w:rsidRPr="007B3988">
              <w:rPr>
                <w:rFonts w:eastAsiaTheme="minorEastAsia" w:cs="Arial"/>
                <w:snapToGrid w:val="0"/>
                <w:sz w:val="20"/>
                <w:szCs w:val="20"/>
              </w:rPr>
              <w:t>)</w:t>
            </w:r>
            <w:r w:rsidRPr="007B3988">
              <w:rPr>
                <w:rFonts w:cs="Arial" w:hint="eastAsia"/>
                <w:sz w:val="20"/>
                <w:szCs w:val="20"/>
              </w:rPr>
              <w:t>都可能对本基金的投资组合的价值产生不利影响。</w:t>
            </w:r>
          </w:p>
          <w:p w:rsidR="007F1C9F" w:rsidRPr="007B3988" w:rsidRDefault="00BF037D" w:rsidP="005F7DCC">
            <w:pPr>
              <w:pStyle w:val="ssPara1"/>
              <w:adjustRightInd w:val="0"/>
              <w:snapToGrid w:val="0"/>
              <w:ind w:left="330"/>
              <w:rPr>
                <w:rFonts w:eastAsia="PMingLiU"/>
                <w:i/>
                <w:sz w:val="20"/>
                <w:szCs w:val="20"/>
              </w:rPr>
            </w:pPr>
            <w:r>
              <w:rPr>
                <w:rFonts w:hint="eastAsia"/>
                <w:i/>
                <w:sz w:val="20"/>
                <w:szCs w:val="20"/>
              </w:rPr>
              <w:lastRenderedPageBreak/>
              <w:t>信用</w:t>
            </w:r>
            <w:r w:rsidR="007F1C9F" w:rsidRPr="007B3988">
              <w:rPr>
                <w:rFonts w:hint="eastAsia"/>
                <w:i/>
                <w:sz w:val="20"/>
                <w:szCs w:val="20"/>
              </w:rPr>
              <w:t>风险及</w:t>
            </w:r>
            <w:r>
              <w:rPr>
                <w:rFonts w:hint="eastAsia"/>
                <w:i/>
                <w:sz w:val="20"/>
                <w:szCs w:val="20"/>
              </w:rPr>
              <w:t>信用</w:t>
            </w:r>
            <w:r w:rsidR="007F1C9F" w:rsidRPr="007B3988">
              <w:rPr>
                <w:rFonts w:hint="eastAsia"/>
                <w:i/>
                <w:sz w:val="20"/>
                <w:szCs w:val="20"/>
              </w:rPr>
              <w:t>评级下调风险</w:t>
            </w:r>
          </w:p>
          <w:p w:rsidR="00FD4363" w:rsidRPr="00113E0C" w:rsidRDefault="00D57B39" w:rsidP="00113E0C">
            <w:pPr>
              <w:pStyle w:val="ssPara1"/>
              <w:numPr>
                <w:ilvl w:val="1"/>
                <w:numId w:val="9"/>
              </w:numPr>
              <w:tabs>
                <w:tab w:val="clear" w:pos="1477"/>
              </w:tabs>
              <w:adjustRightInd w:val="0"/>
              <w:snapToGrid w:val="0"/>
              <w:ind w:left="720"/>
              <w:rPr>
                <w:rFonts w:cs="Arial"/>
                <w:sz w:val="20"/>
                <w:szCs w:val="20"/>
              </w:rPr>
            </w:pPr>
            <w:r w:rsidRPr="00113E0C">
              <w:rPr>
                <w:rFonts w:cs="Arial" w:hint="eastAsia"/>
                <w:sz w:val="20"/>
                <w:szCs w:val="20"/>
              </w:rPr>
              <w:t>本</w:t>
            </w:r>
            <w:r w:rsidR="00FD4363" w:rsidRPr="00113E0C">
              <w:rPr>
                <w:rFonts w:cs="Arial" w:hint="eastAsia"/>
                <w:sz w:val="20"/>
                <w:szCs w:val="20"/>
              </w:rPr>
              <w:t>基金承受</w:t>
            </w:r>
            <w:r w:rsidRPr="00113E0C">
              <w:rPr>
                <w:rFonts w:cs="Arial" w:hint="eastAsia"/>
                <w:sz w:val="20"/>
                <w:szCs w:val="20"/>
              </w:rPr>
              <w:t>本</w:t>
            </w:r>
            <w:r w:rsidR="00FD4363" w:rsidRPr="00113E0C">
              <w:rPr>
                <w:rFonts w:cs="Arial" w:hint="eastAsia"/>
                <w:sz w:val="20"/>
                <w:szCs w:val="20"/>
              </w:rPr>
              <w:t>基金可能投资的债务证券发行人的信用／违约风险。</w:t>
            </w:r>
          </w:p>
          <w:p w:rsidR="00FD4363" w:rsidRPr="00113E0C" w:rsidRDefault="00FD4363" w:rsidP="00113E0C">
            <w:pPr>
              <w:pStyle w:val="ssPara1"/>
              <w:numPr>
                <w:ilvl w:val="1"/>
                <w:numId w:val="9"/>
              </w:numPr>
              <w:tabs>
                <w:tab w:val="clear" w:pos="1477"/>
              </w:tabs>
              <w:adjustRightInd w:val="0"/>
              <w:snapToGrid w:val="0"/>
              <w:ind w:left="720"/>
              <w:rPr>
                <w:rFonts w:cs="Arial"/>
                <w:sz w:val="20"/>
                <w:szCs w:val="20"/>
              </w:rPr>
            </w:pPr>
            <w:r w:rsidRPr="00113E0C">
              <w:rPr>
                <w:rFonts w:cs="Arial" w:hint="eastAsia"/>
                <w:sz w:val="20"/>
                <w:szCs w:val="20"/>
              </w:rPr>
              <w:t>债务工具或其发行人的信用等级随后可能会降低。倘</w:t>
            </w:r>
            <w:r w:rsidR="00C8514D" w:rsidRPr="00113E0C">
              <w:rPr>
                <w:rFonts w:cs="Arial" w:hint="eastAsia"/>
                <w:sz w:val="20"/>
                <w:szCs w:val="20"/>
              </w:rPr>
              <w:t>若</w:t>
            </w:r>
            <w:r w:rsidRPr="00113E0C">
              <w:rPr>
                <w:rFonts w:cs="Arial" w:hint="eastAsia"/>
                <w:sz w:val="20"/>
                <w:szCs w:val="20"/>
              </w:rPr>
              <w:t>出现该评级下调，则</w:t>
            </w:r>
            <w:r w:rsidR="00D57B39" w:rsidRPr="00113E0C">
              <w:rPr>
                <w:rFonts w:cs="Arial" w:hint="eastAsia"/>
                <w:sz w:val="20"/>
                <w:szCs w:val="20"/>
              </w:rPr>
              <w:t>本</w:t>
            </w:r>
            <w:r w:rsidRPr="00113E0C">
              <w:rPr>
                <w:rFonts w:cs="Arial" w:hint="eastAsia"/>
                <w:sz w:val="20"/>
                <w:szCs w:val="20"/>
              </w:rPr>
              <w:t>基金的价值可能受到不利影响。</w:t>
            </w:r>
            <w:r w:rsidR="00BF037D" w:rsidRPr="00113E0C">
              <w:rPr>
                <w:rFonts w:cs="Arial" w:hint="eastAsia"/>
                <w:sz w:val="20"/>
                <w:szCs w:val="20"/>
              </w:rPr>
              <w:t>基金管理人</w:t>
            </w:r>
            <w:r w:rsidRPr="00113E0C">
              <w:rPr>
                <w:rFonts w:cs="Arial" w:hint="eastAsia"/>
                <w:sz w:val="20"/>
                <w:szCs w:val="20"/>
              </w:rPr>
              <w:t>可能会</w:t>
            </w:r>
            <w:r w:rsidR="005D36F7" w:rsidRPr="00113E0C">
              <w:rPr>
                <w:rFonts w:cs="Arial" w:hint="eastAsia"/>
                <w:sz w:val="20"/>
                <w:szCs w:val="20"/>
              </w:rPr>
              <w:t>、也</w:t>
            </w:r>
            <w:r w:rsidRPr="00113E0C">
              <w:rPr>
                <w:rFonts w:cs="Arial" w:hint="eastAsia"/>
                <w:sz w:val="20"/>
                <w:szCs w:val="20"/>
              </w:rPr>
              <w:t>可能不会</w:t>
            </w:r>
            <w:r w:rsidR="001F0EC8">
              <w:rPr>
                <w:rFonts w:cs="Arial" w:hint="eastAsia"/>
                <w:sz w:val="20"/>
                <w:szCs w:val="20"/>
              </w:rPr>
              <w:t>处置</w:t>
            </w:r>
            <w:r w:rsidR="00015D86" w:rsidRPr="00113E0C">
              <w:rPr>
                <w:rFonts w:cs="Arial" w:hint="eastAsia"/>
                <w:sz w:val="20"/>
                <w:szCs w:val="20"/>
              </w:rPr>
              <w:t>评级降低</w:t>
            </w:r>
            <w:r w:rsidRPr="00113E0C">
              <w:rPr>
                <w:rFonts w:cs="Arial" w:hint="eastAsia"/>
                <w:sz w:val="20"/>
                <w:szCs w:val="20"/>
              </w:rPr>
              <w:t>的债务工具。</w:t>
            </w:r>
          </w:p>
          <w:p w:rsidR="007F1C9F" w:rsidRPr="007B3988" w:rsidRDefault="007F1C9F" w:rsidP="005F7DCC">
            <w:pPr>
              <w:pStyle w:val="ssPara1"/>
              <w:adjustRightInd w:val="0"/>
              <w:snapToGrid w:val="0"/>
              <w:ind w:left="330"/>
              <w:rPr>
                <w:rFonts w:eastAsia="PMingLiU"/>
                <w:i/>
                <w:sz w:val="20"/>
                <w:szCs w:val="20"/>
              </w:rPr>
            </w:pPr>
            <w:r w:rsidRPr="007B3988">
              <w:rPr>
                <w:rFonts w:hint="eastAsia"/>
                <w:i/>
                <w:sz w:val="20"/>
                <w:szCs w:val="20"/>
              </w:rPr>
              <w:t>估值风险</w:t>
            </w:r>
          </w:p>
          <w:p w:rsidR="007F1C9F" w:rsidRPr="007B3988" w:rsidRDefault="007F1C9F" w:rsidP="005F7DCC">
            <w:pPr>
              <w:pStyle w:val="ssPara1"/>
              <w:numPr>
                <w:ilvl w:val="1"/>
                <w:numId w:val="9"/>
              </w:numPr>
              <w:tabs>
                <w:tab w:val="clear" w:pos="1477"/>
                <w:tab w:val="num" w:pos="660"/>
              </w:tabs>
              <w:adjustRightInd w:val="0"/>
              <w:snapToGrid w:val="0"/>
              <w:ind w:left="660" w:hanging="330"/>
              <w:rPr>
                <w:rFonts w:eastAsia="PMingLiU"/>
                <w:sz w:val="20"/>
                <w:szCs w:val="20"/>
              </w:rPr>
            </w:pPr>
            <w:r w:rsidRPr="007B3988">
              <w:rPr>
                <w:rFonts w:hint="eastAsia"/>
                <w:sz w:val="20"/>
                <w:szCs w:val="20"/>
              </w:rPr>
              <w:t>对本基金所作投资的估值可能涉及不确定性并涉及判断性决定，而且独立定价资料未必随时可得。倘若相关估值被证实为不准确，本基金的资产净值可能需要予以调整并受到不利影响。</w:t>
            </w:r>
          </w:p>
          <w:p w:rsidR="007F1C9F" w:rsidRPr="007B3988" w:rsidRDefault="007F1C9F" w:rsidP="005F7DCC">
            <w:pPr>
              <w:pStyle w:val="ssPara1"/>
              <w:adjustRightInd w:val="0"/>
              <w:snapToGrid w:val="0"/>
              <w:ind w:left="330"/>
              <w:rPr>
                <w:rFonts w:eastAsia="PMingLiU"/>
                <w:sz w:val="20"/>
                <w:szCs w:val="20"/>
              </w:rPr>
            </w:pPr>
            <w:r w:rsidRPr="007B3988">
              <w:rPr>
                <w:rFonts w:hint="eastAsia"/>
                <w:i/>
                <w:iCs/>
                <w:sz w:val="20"/>
                <w:szCs w:val="20"/>
              </w:rPr>
              <w:t>投资于无评级或较低评级债券的风险</w:t>
            </w:r>
          </w:p>
          <w:p w:rsidR="007F1C9F" w:rsidRPr="007B3988" w:rsidRDefault="007F1C9F" w:rsidP="00FD0197">
            <w:pPr>
              <w:pStyle w:val="ssPara1"/>
              <w:numPr>
                <w:ilvl w:val="1"/>
                <w:numId w:val="9"/>
              </w:numPr>
              <w:tabs>
                <w:tab w:val="clear" w:pos="1477"/>
                <w:tab w:val="num" w:pos="660"/>
              </w:tabs>
              <w:adjustRightInd w:val="0"/>
              <w:snapToGrid w:val="0"/>
              <w:ind w:left="660" w:hanging="330"/>
              <w:rPr>
                <w:sz w:val="20"/>
                <w:szCs w:val="20"/>
              </w:rPr>
            </w:pPr>
            <w:r w:rsidRPr="007B3988">
              <w:rPr>
                <w:rFonts w:hint="eastAsia"/>
                <w:sz w:val="20"/>
                <w:szCs w:val="20"/>
              </w:rPr>
              <w:t>本基金可能投资于无评级及较低评级证券。有关证券一般承受着较高的</w:t>
            </w:r>
            <w:r w:rsidR="00BF037D">
              <w:rPr>
                <w:rFonts w:hint="eastAsia"/>
                <w:sz w:val="20"/>
                <w:szCs w:val="20"/>
              </w:rPr>
              <w:t>信用</w:t>
            </w:r>
            <w:r w:rsidRPr="007B3988">
              <w:rPr>
                <w:rFonts w:hint="eastAsia"/>
                <w:sz w:val="20"/>
                <w:szCs w:val="20"/>
              </w:rPr>
              <w:t>风险和较低的流动性，这可能导致较大幅度的价值波动。这些工具的价值也可能更加难以确定，因此本基金的资产净值可能更为波动。</w:t>
            </w:r>
          </w:p>
          <w:p w:rsidR="007F1C9F" w:rsidRPr="007B3988" w:rsidRDefault="007F1C9F" w:rsidP="005F7DCC">
            <w:pPr>
              <w:pStyle w:val="ssPara1"/>
              <w:adjustRightInd w:val="0"/>
              <w:snapToGrid w:val="0"/>
              <w:ind w:left="330"/>
              <w:rPr>
                <w:rFonts w:eastAsia="PMingLiU"/>
                <w:sz w:val="20"/>
                <w:szCs w:val="20"/>
              </w:rPr>
            </w:pPr>
            <w:r w:rsidRPr="007B3988">
              <w:rPr>
                <w:rFonts w:hint="eastAsia"/>
                <w:i/>
                <w:iCs/>
                <w:sz w:val="20"/>
                <w:szCs w:val="20"/>
              </w:rPr>
              <w:t>主权债务风险</w:t>
            </w:r>
          </w:p>
          <w:p w:rsidR="007F1C9F" w:rsidRPr="007B3988" w:rsidRDefault="007F1C9F" w:rsidP="005F7DCC">
            <w:pPr>
              <w:pStyle w:val="ssPara1"/>
              <w:numPr>
                <w:ilvl w:val="1"/>
                <w:numId w:val="9"/>
              </w:numPr>
              <w:tabs>
                <w:tab w:val="clear" w:pos="1477"/>
                <w:tab w:val="num" w:pos="660"/>
                <w:tab w:val="num" w:pos="770"/>
              </w:tabs>
              <w:adjustRightInd w:val="0"/>
              <w:snapToGrid w:val="0"/>
              <w:ind w:left="660" w:hanging="330"/>
              <w:rPr>
                <w:rFonts w:eastAsia="PMingLiU" w:cs="Arial"/>
                <w:sz w:val="20"/>
                <w:szCs w:val="20"/>
              </w:rPr>
            </w:pPr>
            <w:r w:rsidRPr="007B3988">
              <w:rPr>
                <w:rFonts w:cs="Arial" w:hint="eastAsia"/>
                <w:sz w:val="20"/>
                <w:szCs w:val="20"/>
              </w:rPr>
              <w:t>本基金</w:t>
            </w:r>
            <w:r w:rsidRPr="007B3988">
              <w:rPr>
                <w:rFonts w:cs="Arial"/>
                <w:sz w:val="20"/>
                <w:szCs w:val="20"/>
              </w:rPr>
              <w:t>于</w:t>
            </w:r>
            <w:r w:rsidRPr="007B3988">
              <w:rPr>
                <w:rFonts w:cs="Arial" w:hint="eastAsia"/>
                <w:sz w:val="20"/>
                <w:szCs w:val="20"/>
              </w:rPr>
              <w:t>由政府发行或担保的证券的</w:t>
            </w:r>
            <w:r w:rsidRPr="007B3988">
              <w:rPr>
                <w:rFonts w:cs="Arial"/>
                <w:sz w:val="20"/>
                <w:szCs w:val="20"/>
              </w:rPr>
              <w:t>投资</w:t>
            </w:r>
            <w:r w:rsidRPr="007B3988">
              <w:rPr>
                <w:rFonts w:cs="Arial" w:hint="eastAsia"/>
                <w:sz w:val="20"/>
                <w:szCs w:val="20"/>
              </w:rPr>
              <w:t>可能面临政治、社会及经济风险。在不利环境下，主权债务发行人可能无法或不愿意在到期日偿付本金及</w:t>
            </w:r>
            <w:r w:rsidRPr="007B3988">
              <w:rPr>
                <w:rFonts w:cs="Arial"/>
                <w:sz w:val="20"/>
                <w:szCs w:val="20"/>
                <w:lang w:val="en-US"/>
              </w:rPr>
              <w:t>/</w:t>
            </w:r>
            <w:r w:rsidRPr="007B3988">
              <w:rPr>
                <w:rFonts w:cs="Arial" w:hint="eastAsia"/>
                <w:sz w:val="20"/>
                <w:szCs w:val="20"/>
              </w:rPr>
              <w:t>或利</w:t>
            </w:r>
            <w:r w:rsidRPr="007B3988">
              <w:rPr>
                <w:rFonts w:cs="Arial"/>
                <w:sz w:val="20"/>
                <w:szCs w:val="20"/>
              </w:rPr>
              <w:t>息</w:t>
            </w:r>
            <w:r w:rsidRPr="007B3988">
              <w:rPr>
                <w:rFonts w:cs="Arial" w:hint="eastAsia"/>
                <w:sz w:val="20"/>
                <w:szCs w:val="20"/>
              </w:rPr>
              <w:t>，或可能要求本基金参与有关债务重组。本基金可能因主权债务发行人违约而蒙受重大损失。</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rPr>
                <w:rFonts w:eastAsia="PMingLiU"/>
                <w:b/>
                <w:bCs/>
                <w:sz w:val="20"/>
                <w:szCs w:val="20"/>
              </w:rPr>
            </w:pPr>
            <w:r w:rsidRPr="007B3988">
              <w:rPr>
                <w:rFonts w:hint="eastAsia"/>
                <w:b/>
                <w:bCs/>
                <w:sz w:val="20"/>
                <w:szCs w:val="20"/>
              </w:rPr>
              <w:t>衍生工具风险</w:t>
            </w:r>
          </w:p>
          <w:p w:rsidR="007F1C9F" w:rsidRPr="00FD4363" w:rsidRDefault="00FD4363" w:rsidP="00FD4363">
            <w:pPr>
              <w:pStyle w:val="ssPara1"/>
              <w:numPr>
                <w:ilvl w:val="1"/>
                <w:numId w:val="9"/>
              </w:numPr>
              <w:tabs>
                <w:tab w:val="clear" w:pos="1477"/>
                <w:tab w:val="left" w:pos="330"/>
                <w:tab w:val="num" w:pos="660"/>
                <w:tab w:val="num" w:pos="770"/>
              </w:tabs>
              <w:adjustRightInd w:val="0"/>
              <w:snapToGrid w:val="0"/>
              <w:ind w:left="660" w:hanging="330"/>
              <w:rPr>
                <w:rFonts w:cs="Arial"/>
                <w:sz w:val="20"/>
                <w:szCs w:val="20"/>
              </w:rPr>
            </w:pPr>
            <w:r w:rsidRPr="00FD4363">
              <w:rPr>
                <w:rFonts w:cs="Arial" w:hint="eastAsia"/>
                <w:sz w:val="20"/>
                <w:szCs w:val="20"/>
              </w:rPr>
              <w:t>与衍生工具相关的风险包括交易对手／</w:t>
            </w:r>
            <w:r w:rsidR="00BF037D">
              <w:rPr>
                <w:rFonts w:cs="Arial" w:hint="eastAsia"/>
                <w:sz w:val="20"/>
                <w:szCs w:val="20"/>
              </w:rPr>
              <w:t>信用</w:t>
            </w:r>
            <w:r w:rsidRPr="00FD4363">
              <w:rPr>
                <w:rFonts w:cs="Arial" w:hint="eastAsia"/>
                <w:sz w:val="20"/>
                <w:szCs w:val="20"/>
              </w:rPr>
              <w:t>风险，流动性风险，估值风险，波动性风险和场外交易风险。金融衍生工具的杠杆要素／组成部分可能导致</w:t>
            </w:r>
            <w:r w:rsidR="00AB6DAA" w:rsidRPr="00FD4363">
              <w:rPr>
                <w:rFonts w:cs="Arial" w:hint="eastAsia"/>
                <w:sz w:val="20"/>
                <w:szCs w:val="20"/>
              </w:rPr>
              <w:t>明显大于</w:t>
            </w:r>
            <w:r w:rsidR="00113E0C">
              <w:rPr>
                <w:rFonts w:cs="Arial" w:hint="eastAsia"/>
                <w:sz w:val="20"/>
                <w:szCs w:val="20"/>
              </w:rPr>
              <w:t>本</w:t>
            </w:r>
            <w:r w:rsidR="00AB6DAA" w:rsidRPr="00FD4363">
              <w:rPr>
                <w:rFonts w:cs="Arial" w:hint="eastAsia"/>
                <w:sz w:val="20"/>
                <w:szCs w:val="20"/>
              </w:rPr>
              <w:t>基金在金融衍生工具中所投资的金额</w:t>
            </w:r>
            <w:r w:rsidR="00FF003E">
              <w:rPr>
                <w:rFonts w:cs="Arial" w:hint="eastAsia"/>
                <w:sz w:val="20"/>
                <w:szCs w:val="20"/>
              </w:rPr>
              <w:t>的</w:t>
            </w:r>
            <w:r w:rsidRPr="00FD4363">
              <w:rPr>
                <w:rFonts w:cs="Arial" w:hint="eastAsia"/>
                <w:sz w:val="20"/>
                <w:szCs w:val="20"/>
              </w:rPr>
              <w:t>损失。</w:t>
            </w:r>
            <w:r w:rsidR="00A2146B">
              <w:rPr>
                <w:rFonts w:cs="Arial" w:hint="eastAsia"/>
                <w:sz w:val="20"/>
                <w:szCs w:val="20"/>
              </w:rPr>
              <w:t>通过</w:t>
            </w:r>
            <w:r w:rsidRPr="00FD4363">
              <w:rPr>
                <w:rFonts w:cs="Arial" w:hint="eastAsia"/>
                <w:sz w:val="20"/>
                <w:szCs w:val="20"/>
              </w:rPr>
              <w:t>金融衍生工具可能会导致</w:t>
            </w:r>
            <w:r w:rsidR="000F0ACB">
              <w:rPr>
                <w:rFonts w:cs="Arial"/>
                <w:sz w:val="20"/>
                <w:szCs w:val="20"/>
              </w:rPr>
              <w:t>本</w:t>
            </w:r>
            <w:r w:rsidRPr="00FD4363">
              <w:rPr>
                <w:rFonts w:cs="Arial" w:hint="eastAsia"/>
                <w:sz w:val="20"/>
                <w:szCs w:val="20"/>
              </w:rPr>
              <w:t>基金承担蒙受重大损失的高风险。</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rPr>
                <w:rFonts w:eastAsia="PMingLiU" w:cstheme="minorHAnsi"/>
                <w:sz w:val="20"/>
                <w:szCs w:val="20"/>
              </w:rPr>
            </w:pPr>
            <w:r w:rsidRPr="007B3988">
              <w:rPr>
                <w:rFonts w:hint="eastAsia"/>
                <w:b/>
                <w:bCs/>
                <w:sz w:val="20"/>
                <w:szCs w:val="20"/>
              </w:rPr>
              <w:t>流动性风险</w:t>
            </w:r>
          </w:p>
          <w:p w:rsidR="00FD4363" w:rsidRPr="00FD4363" w:rsidRDefault="00FD4363" w:rsidP="00FD4363">
            <w:pPr>
              <w:pStyle w:val="ssPara1"/>
              <w:numPr>
                <w:ilvl w:val="0"/>
                <w:numId w:val="12"/>
              </w:numPr>
              <w:tabs>
                <w:tab w:val="clear" w:pos="397"/>
                <w:tab w:val="left" w:pos="660"/>
              </w:tabs>
              <w:adjustRightInd w:val="0"/>
              <w:snapToGrid w:val="0"/>
              <w:ind w:left="660" w:hanging="330"/>
              <w:rPr>
                <w:rFonts w:cs="Arial"/>
                <w:sz w:val="20"/>
                <w:szCs w:val="20"/>
                <w:lang w:val="en-US"/>
              </w:rPr>
            </w:pPr>
            <w:r w:rsidRPr="00FD4363">
              <w:rPr>
                <w:rFonts w:cs="Arial" w:hint="eastAsia"/>
                <w:sz w:val="20"/>
                <w:szCs w:val="20"/>
                <w:lang w:val="en-US"/>
              </w:rPr>
              <w:t>与较发达的市场相比，新兴市场的债务证券可能会面临更高的波动性和更低的流动性。在此类市场上交易的证券价格可能会波动。此类证券的价格买卖差价可能很大，</w:t>
            </w:r>
            <w:r w:rsidR="00D57B39">
              <w:rPr>
                <w:rFonts w:cs="Arial" w:hint="eastAsia"/>
                <w:sz w:val="20"/>
                <w:szCs w:val="20"/>
                <w:lang w:val="en-US"/>
              </w:rPr>
              <w:t>本</w:t>
            </w:r>
            <w:r w:rsidRPr="00FD4363">
              <w:rPr>
                <w:rFonts w:cs="Arial" w:hint="eastAsia"/>
                <w:sz w:val="20"/>
                <w:szCs w:val="20"/>
                <w:lang w:val="en-US"/>
              </w:rPr>
              <w:t>基金可能会产生大量交易成本。</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ind w:hanging="357"/>
              <w:contextualSpacing w:val="0"/>
              <w:rPr>
                <w:b/>
                <w:bCs/>
                <w:sz w:val="20"/>
                <w:szCs w:val="20"/>
              </w:rPr>
            </w:pPr>
            <w:r w:rsidRPr="007B3988">
              <w:rPr>
                <w:rFonts w:hint="eastAsia"/>
                <w:b/>
                <w:bCs/>
                <w:sz w:val="20"/>
                <w:szCs w:val="20"/>
              </w:rPr>
              <w:t>外币风险</w:t>
            </w:r>
          </w:p>
          <w:p w:rsidR="007F1C9F" w:rsidRPr="007B3988" w:rsidRDefault="007F1C9F" w:rsidP="005F7DCC">
            <w:pPr>
              <w:keepNext/>
              <w:keepLines/>
              <w:numPr>
                <w:ilvl w:val="0"/>
                <w:numId w:val="14"/>
              </w:numPr>
              <w:autoSpaceDE w:val="0"/>
              <w:autoSpaceDN w:val="0"/>
              <w:adjustRightInd w:val="0"/>
              <w:snapToGrid w:val="0"/>
              <w:spacing w:after="260"/>
              <w:rPr>
                <w:rFonts w:eastAsia="PMingLiU" w:cs="Arial"/>
                <w:sz w:val="20"/>
                <w:szCs w:val="20"/>
              </w:rPr>
            </w:pPr>
            <w:r w:rsidRPr="007B3988">
              <w:rPr>
                <w:rFonts w:cs="Arial" w:hint="eastAsia"/>
                <w:sz w:val="20"/>
                <w:szCs w:val="20"/>
              </w:rPr>
              <w:t>本基金投资的货币一般有别于本基金的基础货币</w:t>
            </w:r>
            <w:r w:rsidRPr="007B3988">
              <w:rPr>
                <w:rFonts w:cs="Arial" w:hint="eastAsia"/>
                <w:sz w:val="20"/>
                <w:szCs w:val="20"/>
              </w:rPr>
              <w:t>(</w:t>
            </w:r>
            <w:r w:rsidRPr="007B3988">
              <w:rPr>
                <w:rFonts w:cs="Arial" w:hint="eastAsia"/>
                <w:sz w:val="20"/>
                <w:szCs w:val="20"/>
              </w:rPr>
              <w:t>美元</w:t>
            </w:r>
            <w:r w:rsidRPr="007B3988">
              <w:rPr>
                <w:rFonts w:eastAsiaTheme="minorEastAsia" w:cs="Arial"/>
                <w:snapToGrid w:val="0"/>
                <w:sz w:val="20"/>
                <w:szCs w:val="20"/>
              </w:rPr>
              <w:t>)</w:t>
            </w:r>
            <w:r w:rsidRPr="007B3988">
              <w:rPr>
                <w:rFonts w:cs="Arial" w:hint="eastAsia"/>
                <w:sz w:val="20"/>
                <w:szCs w:val="20"/>
              </w:rPr>
              <w:t>，从而带来外币风险。此外，某一份额类别可能以本基金基础货币以外的货币计价。本基金的表现可能受美元兑本基金所持资产的货币的汇率不利走势以及汇率管制变动的影响。</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ind w:hanging="357"/>
              <w:contextualSpacing w:val="0"/>
              <w:rPr>
                <w:b/>
                <w:bCs/>
                <w:sz w:val="20"/>
                <w:szCs w:val="20"/>
              </w:rPr>
            </w:pPr>
            <w:r w:rsidRPr="007B3988">
              <w:rPr>
                <w:rFonts w:hint="eastAsia"/>
                <w:b/>
                <w:bCs/>
                <w:sz w:val="20"/>
                <w:szCs w:val="20"/>
              </w:rPr>
              <w:t>人民币货币风险</w:t>
            </w:r>
          </w:p>
          <w:p w:rsidR="007F1C9F" w:rsidRPr="007B3988" w:rsidRDefault="007F1C9F" w:rsidP="005F7DCC">
            <w:pPr>
              <w:pStyle w:val="af"/>
              <w:numPr>
                <w:ilvl w:val="0"/>
                <w:numId w:val="29"/>
              </w:numPr>
              <w:adjustRightInd w:val="0"/>
              <w:snapToGrid w:val="0"/>
              <w:spacing w:after="260"/>
              <w:contextualSpacing w:val="0"/>
              <w:rPr>
                <w:rFonts w:eastAsia="PMingLiU" w:cs="Arial"/>
                <w:sz w:val="20"/>
                <w:szCs w:val="20"/>
                <w:lang w:val="en-US"/>
              </w:rPr>
            </w:pPr>
            <w:r w:rsidRPr="007B3988">
              <w:rPr>
                <w:rFonts w:cs="Arial" w:hint="eastAsia"/>
                <w:sz w:val="20"/>
                <w:szCs w:val="20"/>
                <w:lang w:val="en-US"/>
              </w:rPr>
              <w:t>人民币目前不可自由兑换并且受制于外汇管制及限制。任何人民币的贬值都可能对投资者于本基金的投资的价值造成不利影响。即使境外人民币</w:t>
            </w:r>
            <w:r w:rsidRPr="007B3988">
              <w:rPr>
                <w:rFonts w:cs="Arial" w:hint="eastAsia"/>
                <w:sz w:val="20"/>
                <w:szCs w:val="20"/>
                <w:lang w:val="en-US"/>
              </w:rPr>
              <w:t>(</w:t>
            </w:r>
            <w:r w:rsidRPr="007B3988">
              <w:rPr>
                <w:rFonts w:cs="Arial"/>
                <w:sz w:val="20"/>
                <w:szCs w:val="20"/>
                <w:lang w:val="en-US"/>
              </w:rPr>
              <w:t>CNH</w:t>
            </w:r>
            <w:r w:rsidRPr="007B3988">
              <w:rPr>
                <w:rFonts w:eastAsiaTheme="minorEastAsia" w:cs="Arial"/>
                <w:snapToGrid w:val="0"/>
                <w:sz w:val="20"/>
                <w:szCs w:val="20"/>
              </w:rPr>
              <w:t>)</w:t>
            </w:r>
            <w:r w:rsidRPr="007B3988">
              <w:rPr>
                <w:rFonts w:cs="Arial" w:hint="eastAsia"/>
                <w:sz w:val="20"/>
                <w:szCs w:val="20"/>
                <w:lang w:val="en-US"/>
              </w:rPr>
              <w:t>及境内人民币</w:t>
            </w:r>
            <w:r w:rsidRPr="007B3988">
              <w:rPr>
                <w:rFonts w:cs="Arial" w:hint="eastAsia"/>
                <w:sz w:val="20"/>
                <w:szCs w:val="20"/>
                <w:lang w:val="en-US"/>
              </w:rPr>
              <w:t>(</w:t>
            </w:r>
            <w:r w:rsidRPr="007B3988">
              <w:rPr>
                <w:rFonts w:cs="Arial"/>
                <w:sz w:val="20"/>
                <w:szCs w:val="20"/>
                <w:lang w:val="en-US"/>
              </w:rPr>
              <w:t>CNY</w:t>
            </w:r>
            <w:r w:rsidRPr="007B3988">
              <w:rPr>
                <w:rFonts w:eastAsiaTheme="minorEastAsia" w:cs="Arial"/>
                <w:snapToGrid w:val="0"/>
                <w:sz w:val="20"/>
                <w:szCs w:val="20"/>
              </w:rPr>
              <w:t>)</w:t>
            </w:r>
            <w:r w:rsidRPr="007B3988">
              <w:rPr>
                <w:rFonts w:cs="Arial" w:hint="eastAsia"/>
                <w:sz w:val="20"/>
                <w:szCs w:val="20"/>
                <w:lang w:val="en-US"/>
              </w:rPr>
              <w:t>为相同的货币，两者仍以不同的汇率交易。任何</w:t>
            </w:r>
            <w:r w:rsidRPr="007B3988">
              <w:rPr>
                <w:rFonts w:cs="Arial"/>
                <w:sz w:val="20"/>
                <w:szCs w:val="20"/>
                <w:lang w:val="en-US"/>
              </w:rPr>
              <w:t>CNH</w:t>
            </w:r>
            <w:r w:rsidRPr="007B3988">
              <w:rPr>
                <w:rFonts w:cs="Arial" w:hint="eastAsia"/>
                <w:sz w:val="20"/>
                <w:szCs w:val="20"/>
                <w:lang w:val="en-US"/>
              </w:rPr>
              <w:t>及</w:t>
            </w:r>
            <w:r w:rsidRPr="007B3988">
              <w:rPr>
                <w:rFonts w:cs="Arial"/>
                <w:sz w:val="20"/>
                <w:szCs w:val="20"/>
                <w:lang w:val="en-US"/>
              </w:rPr>
              <w:t>CNY</w:t>
            </w:r>
            <w:r w:rsidRPr="007B3988">
              <w:rPr>
                <w:rFonts w:cs="Arial" w:hint="eastAsia"/>
                <w:sz w:val="20"/>
                <w:szCs w:val="20"/>
                <w:lang w:val="en-US"/>
              </w:rPr>
              <w:t>之间的差异都可能对投资者造成不利影响。</w:t>
            </w:r>
          </w:p>
          <w:p w:rsidR="007F1C9F" w:rsidRPr="007B3988" w:rsidRDefault="007F1C9F" w:rsidP="005F7DCC">
            <w:pPr>
              <w:pStyle w:val="af"/>
              <w:keepNext/>
              <w:keepLines/>
              <w:numPr>
                <w:ilvl w:val="0"/>
                <w:numId w:val="29"/>
              </w:numPr>
              <w:autoSpaceDE w:val="0"/>
              <w:autoSpaceDN w:val="0"/>
              <w:adjustRightInd w:val="0"/>
              <w:snapToGrid w:val="0"/>
              <w:spacing w:after="260"/>
              <w:contextualSpacing w:val="0"/>
              <w:rPr>
                <w:rFonts w:eastAsia="PMingLiU" w:cs="Arial"/>
                <w:sz w:val="20"/>
                <w:szCs w:val="20"/>
                <w:lang w:val="en-US"/>
              </w:rPr>
            </w:pPr>
            <w:r w:rsidRPr="007B3988">
              <w:rPr>
                <w:rFonts w:cs="Arial" w:hint="eastAsia"/>
                <w:sz w:val="20"/>
                <w:szCs w:val="20"/>
                <w:lang w:val="en-US"/>
              </w:rPr>
              <w:t>在特殊情况下，以人民币支付的赎回款项及</w:t>
            </w:r>
            <w:r w:rsidRPr="007B3988">
              <w:rPr>
                <w:rFonts w:cs="Arial" w:hint="eastAsia"/>
                <w:sz w:val="20"/>
                <w:szCs w:val="20"/>
                <w:lang w:val="en-US"/>
              </w:rPr>
              <w:t>/</w:t>
            </w:r>
            <w:r w:rsidRPr="007B3988">
              <w:rPr>
                <w:rFonts w:cs="Arial" w:hint="eastAsia"/>
                <w:sz w:val="20"/>
                <w:szCs w:val="20"/>
                <w:lang w:val="en-US"/>
              </w:rPr>
              <w:t>或收益分配（如有）可能因适用于人民币的外汇管制和限制而遭受延迟。</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ind w:hanging="357"/>
              <w:contextualSpacing w:val="0"/>
              <w:rPr>
                <w:b/>
                <w:bCs/>
                <w:sz w:val="20"/>
                <w:szCs w:val="20"/>
              </w:rPr>
            </w:pPr>
            <w:r w:rsidRPr="007B3988">
              <w:rPr>
                <w:rFonts w:hint="eastAsia"/>
                <w:b/>
                <w:bCs/>
                <w:sz w:val="20"/>
                <w:szCs w:val="20"/>
              </w:rPr>
              <w:t>投资于其他基金的风险</w:t>
            </w:r>
          </w:p>
          <w:p w:rsidR="007F1C9F" w:rsidRPr="007B3988" w:rsidRDefault="007F1C9F" w:rsidP="005F7DCC">
            <w:pPr>
              <w:keepNext/>
              <w:keepLines/>
              <w:numPr>
                <w:ilvl w:val="0"/>
                <w:numId w:val="14"/>
              </w:numPr>
              <w:autoSpaceDE w:val="0"/>
              <w:autoSpaceDN w:val="0"/>
              <w:adjustRightInd w:val="0"/>
              <w:snapToGrid w:val="0"/>
              <w:spacing w:after="260"/>
              <w:rPr>
                <w:rFonts w:eastAsia="PMingLiU" w:cs="Arial"/>
                <w:sz w:val="20"/>
                <w:szCs w:val="20"/>
              </w:rPr>
            </w:pPr>
            <w:r w:rsidRPr="007B3988">
              <w:rPr>
                <w:rFonts w:cs="Arial" w:hint="eastAsia"/>
                <w:sz w:val="20"/>
                <w:szCs w:val="20"/>
              </w:rPr>
              <w:t>本基金可能不时会投资于其他基金，并将会受限于相关基金层面的额外成本或其他收费。本基金所投资的相关基金可能不受香港证监会监管。概不保证相关基金将会成功达到投资目标及策略，亦不保证相关基金将必然具有充足的流动性，在本基金提出赎回要求时能满足相关要求。</w:t>
            </w:r>
          </w:p>
          <w:p w:rsidR="007F1C9F" w:rsidRPr="007B3988" w:rsidRDefault="007F1C9F" w:rsidP="005F7DCC">
            <w:pPr>
              <w:keepNext/>
              <w:keepLines/>
              <w:numPr>
                <w:ilvl w:val="0"/>
                <w:numId w:val="14"/>
              </w:numPr>
              <w:autoSpaceDE w:val="0"/>
              <w:autoSpaceDN w:val="0"/>
              <w:adjustRightInd w:val="0"/>
              <w:snapToGrid w:val="0"/>
              <w:spacing w:after="260"/>
              <w:rPr>
                <w:rFonts w:eastAsia="PMingLiU" w:cs="Arial"/>
                <w:sz w:val="20"/>
                <w:szCs w:val="20"/>
              </w:rPr>
            </w:pPr>
            <w:r w:rsidRPr="007B3988">
              <w:rPr>
                <w:rFonts w:cs="Arial" w:hint="eastAsia"/>
                <w:sz w:val="20"/>
                <w:szCs w:val="20"/>
              </w:rPr>
              <w:t>当本基金投资于由基金</w:t>
            </w:r>
            <w:r w:rsidRPr="007B3988">
              <w:rPr>
                <w:rFonts w:cs="Arial"/>
                <w:sz w:val="20"/>
                <w:szCs w:val="20"/>
              </w:rPr>
              <w:t>管理</w:t>
            </w:r>
            <w:r w:rsidRPr="007B3988">
              <w:rPr>
                <w:rFonts w:cs="Arial" w:hint="eastAsia"/>
                <w:sz w:val="20"/>
                <w:szCs w:val="20"/>
              </w:rPr>
              <w:t>人、次</w:t>
            </w:r>
            <w:r w:rsidRPr="007B3988">
              <w:rPr>
                <w:rFonts w:cs="Arial"/>
                <w:sz w:val="20"/>
                <w:szCs w:val="20"/>
              </w:rPr>
              <w:t>管理</w:t>
            </w:r>
            <w:r w:rsidRPr="007B3988">
              <w:rPr>
                <w:rFonts w:cs="Arial" w:hint="eastAsia"/>
                <w:sz w:val="20"/>
                <w:szCs w:val="20"/>
              </w:rPr>
              <w:t>人或他们的关联人士所管理的其他基金时，可能出现利益冲突</w:t>
            </w:r>
            <w:r w:rsidRPr="007B3988">
              <w:rPr>
                <w:rFonts w:cs="Arial" w:hint="eastAsia"/>
                <w:sz w:val="20"/>
                <w:szCs w:val="20"/>
              </w:rPr>
              <w:lastRenderedPageBreak/>
              <w:t>(</w:t>
            </w:r>
            <w:r w:rsidRPr="007B3988">
              <w:rPr>
                <w:rFonts w:cs="Arial" w:hint="eastAsia"/>
                <w:sz w:val="20"/>
                <w:szCs w:val="20"/>
              </w:rPr>
              <w:t>即使所有</w:t>
            </w:r>
            <w:r w:rsidRPr="007B3988">
              <w:rPr>
                <w:rFonts w:cs="Arial"/>
                <w:sz w:val="20"/>
                <w:szCs w:val="20"/>
              </w:rPr>
              <w:t>认购费</w:t>
            </w:r>
            <w:r w:rsidRPr="007B3988">
              <w:rPr>
                <w:rFonts w:cs="Arial" w:hint="eastAsia"/>
                <w:sz w:val="20"/>
                <w:szCs w:val="20"/>
                <w:lang w:val="en-US"/>
              </w:rPr>
              <w:t>/</w:t>
            </w:r>
            <w:r w:rsidRPr="007B3988">
              <w:rPr>
                <w:rFonts w:cs="Arial" w:hint="eastAsia"/>
                <w:sz w:val="20"/>
                <w:szCs w:val="20"/>
                <w:lang w:val="en-US"/>
              </w:rPr>
              <w:t>申购费</w:t>
            </w:r>
            <w:r w:rsidRPr="007B3988">
              <w:rPr>
                <w:rFonts w:cs="Arial"/>
                <w:sz w:val="20"/>
                <w:szCs w:val="20"/>
                <w:lang w:val="en-US"/>
              </w:rPr>
              <w:t>，</w:t>
            </w:r>
            <w:r w:rsidRPr="007B3988">
              <w:rPr>
                <w:rFonts w:cs="Arial" w:hint="eastAsia"/>
                <w:sz w:val="20"/>
                <w:szCs w:val="20"/>
                <w:lang w:val="en-US"/>
              </w:rPr>
              <w:t>以及</w:t>
            </w:r>
            <w:r w:rsidRPr="007B3988">
              <w:rPr>
                <w:rFonts w:cs="Arial" w:hint="eastAsia"/>
                <w:sz w:val="20"/>
                <w:szCs w:val="20"/>
                <w:lang w:val="en-US"/>
              </w:rPr>
              <w:t>(</w:t>
            </w:r>
            <w:r w:rsidRPr="007B3988">
              <w:rPr>
                <w:rFonts w:cs="Arial"/>
                <w:sz w:val="20"/>
                <w:szCs w:val="20"/>
                <w:lang w:val="en-US"/>
              </w:rPr>
              <w:t>在相关基金为基金管理人所管理的情况下</w:t>
            </w:r>
            <w:r w:rsidRPr="007B3988">
              <w:rPr>
                <w:rFonts w:eastAsiaTheme="minorEastAsia" w:cs="Arial"/>
                <w:snapToGrid w:val="0"/>
                <w:sz w:val="20"/>
                <w:szCs w:val="20"/>
              </w:rPr>
              <w:t>)</w:t>
            </w:r>
            <w:r w:rsidRPr="007B3988">
              <w:rPr>
                <w:rFonts w:cs="Arial" w:hint="eastAsia"/>
                <w:sz w:val="20"/>
                <w:szCs w:val="20"/>
              </w:rPr>
              <w:t>相关基金的所有管理费及业绩表现费将予</w:t>
            </w:r>
            <w:r w:rsidRPr="007B3988">
              <w:rPr>
                <w:rFonts w:cs="Arial"/>
                <w:sz w:val="20"/>
                <w:szCs w:val="20"/>
              </w:rPr>
              <w:t>免除</w:t>
            </w:r>
            <w:r w:rsidRPr="007B3988">
              <w:rPr>
                <w:rFonts w:eastAsiaTheme="minorEastAsia" w:cs="Arial"/>
                <w:snapToGrid w:val="0"/>
                <w:sz w:val="20"/>
                <w:szCs w:val="20"/>
              </w:rPr>
              <w:t>)</w:t>
            </w:r>
            <w:r w:rsidRPr="007B3988">
              <w:rPr>
                <w:rFonts w:cs="Arial" w:hint="eastAsia"/>
                <w:sz w:val="20"/>
                <w:szCs w:val="20"/>
              </w:rPr>
              <w:t>。基金</w:t>
            </w:r>
            <w:r w:rsidRPr="007B3988">
              <w:rPr>
                <w:rFonts w:cs="Arial"/>
                <w:sz w:val="20"/>
                <w:szCs w:val="20"/>
              </w:rPr>
              <w:t>管理</w:t>
            </w:r>
            <w:r w:rsidRPr="007B3988">
              <w:rPr>
                <w:rFonts w:cs="Arial" w:hint="eastAsia"/>
                <w:sz w:val="20"/>
                <w:szCs w:val="20"/>
              </w:rPr>
              <w:t>人将尽力公平地避免与解决有关冲突。</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ind w:hanging="357"/>
              <w:contextualSpacing w:val="0"/>
              <w:rPr>
                <w:b/>
                <w:bCs/>
                <w:sz w:val="20"/>
                <w:szCs w:val="20"/>
              </w:rPr>
            </w:pPr>
            <w:r w:rsidRPr="007B3988">
              <w:rPr>
                <w:rFonts w:hint="eastAsia"/>
                <w:b/>
                <w:bCs/>
                <w:sz w:val="20"/>
                <w:szCs w:val="20"/>
              </w:rPr>
              <w:t>有关</w:t>
            </w:r>
            <w:r w:rsidRPr="007B3988">
              <w:rPr>
                <w:b/>
                <w:bCs/>
                <w:sz w:val="20"/>
                <w:szCs w:val="20"/>
              </w:rPr>
              <w:t>RQFII</w:t>
            </w:r>
            <w:r w:rsidRPr="007B3988">
              <w:rPr>
                <w:rFonts w:hint="eastAsia"/>
                <w:b/>
                <w:bCs/>
                <w:sz w:val="20"/>
                <w:szCs w:val="20"/>
              </w:rPr>
              <w:t>制度的风险</w:t>
            </w:r>
          </w:p>
          <w:p w:rsidR="00FD4363" w:rsidRPr="00CB257C" w:rsidRDefault="00D57B39" w:rsidP="00FD4363">
            <w:pPr>
              <w:keepNext/>
              <w:keepLines/>
              <w:numPr>
                <w:ilvl w:val="0"/>
                <w:numId w:val="14"/>
              </w:numPr>
              <w:autoSpaceDE w:val="0"/>
              <w:autoSpaceDN w:val="0"/>
              <w:adjustRightInd w:val="0"/>
              <w:snapToGrid w:val="0"/>
              <w:spacing w:after="260"/>
              <w:rPr>
                <w:rFonts w:cs="Arial"/>
                <w:sz w:val="20"/>
                <w:szCs w:val="20"/>
              </w:rPr>
            </w:pPr>
            <w:r w:rsidRPr="00CB257C">
              <w:rPr>
                <w:rFonts w:cs="Arial" w:hint="eastAsia"/>
                <w:sz w:val="20"/>
                <w:szCs w:val="20"/>
              </w:rPr>
              <w:t>本</w:t>
            </w:r>
            <w:r w:rsidR="00FD4363" w:rsidRPr="00CB257C">
              <w:rPr>
                <w:rFonts w:cs="Arial" w:hint="eastAsia"/>
                <w:sz w:val="20"/>
                <w:szCs w:val="20"/>
              </w:rPr>
              <w:t>基金进行相关投资或完全实施或追求其投资目标和策略的能力受中国适用法律、规则和法规（包括投资限制以及本金和利润的汇回）的约束，</w:t>
            </w:r>
            <w:r w:rsidR="00F07576" w:rsidRPr="00CB257C">
              <w:rPr>
                <w:rFonts w:cs="Arial" w:hint="eastAsia"/>
                <w:sz w:val="20"/>
                <w:szCs w:val="20"/>
              </w:rPr>
              <w:t>该等法律、规则和法规</w:t>
            </w:r>
            <w:r w:rsidR="00FD4363" w:rsidRPr="00CB257C">
              <w:rPr>
                <w:rFonts w:cs="Arial" w:hint="eastAsia"/>
                <w:sz w:val="20"/>
                <w:szCs w:val="20"/>
              </w:rPr>
              <w:t>可能会发生变化，并且这种变化可能具有追溯力。</w:t>
            </w:r>
          </w:p>
          <w:p w:rsidR="00FD4363" w:rsidRPr="00CB257C" w:rsidRDefault="00FD4363" w:rsidP="00FD4363">
            <w:pPr>
              <w:keepNext/>
              <w:keepLines/>
              <w:numPr>
                <w:ilvl w:val="0"/>
                <w:numId w:val="14"/>
              </w:numPr>
              <w:autoSpaceDE w:val="0"/>
              <w:autoSpaceDN w:val="0"/>
              <w:adjustRightInd w:val="0"/>
              <w:snapToGrid w:val="0"/>
              <w:spacing w:after="260"/>
              <w:rPr>
                <w:rFonts w:cs="Arial"/>
                <w:sz w:val="20"/>
                <w:szCs w:val="20"/>
              </w:rPr>
            </w:pPr>
            <w:r w:rsidRPr="00CB257C">
              <w:rPr>
                <w:rFonts w:cs="Arial" w:hint="eastAsia"/>
                <w:sz w:val="20"/>
                <w:szCs w:val="20"/>
              </w:rPr>
              <w:t>如果</w:t>
            </w:r>
            <w:r w:rsidRPr="00CB257C">
              <w:rPr>
                <w:rFonts w:cs="Arial" w:hint="eastAsia"/>
                <w:sz w:val="20"/>
                <w:szCs w:val="20"/>
              </w:rPr>
              <w:t>RQFII</w:t>
            </w:r>
            <w:r w:rsidRPr="00CB257C">
              <w:rPr>
                <w:rFonts w:cs="Arial" w:hint="eastAsia"/>
                <w:sz w:val="20"/>
                <w:szCs w:val="20"/>
              </w:rPr>
              <w:t>的批准被撤销</w:t>
            </w:r>
            <w:r w:rsidR="00F07576" w:rsidRPr="00CB257C">
              <w:rPr>
                <w:rFonts w:cs="Arial" w:hint="eastAsia"/>
                <w:sz w:val="20"/>
                <w:szCs w:val="20"/>
              </w:rPr>
              <w:t>、</w:t>
            </w:r>
            <w:r w:rsidRPr="00CB257C">
              <w:rPr>
                <w:rFonts w:cs="Arial" w:hint="eastAsia"/>
                <w:sz w:val="20"/>
                <w:szCs w:val="20"/>
              </w:rPr>
              <w:t>终止或以其他方式</w:t>
            </w:r>
            <w:r w:rsidR="00F07576" w:rsidRPr="00CB257C">
              <w:rPr>
                <w:rFonts w:cs="Arial" w:hint="eastAsia"/>
                <w:sz w:val="20"/>
                <w:szCs w:val="20"/>
              </w:rPr>
              <w:t>变得</w:t>
            </w:r>
            <w:r w:rsidRPr="00CB257C">
              <w:rPr>
                <w:rFonts w:cs="Arial" w:hint="eastAsia"/>
                <w:sz w:val="20"/>
                <w:szCs w:val="20"/>
              </w:rPr>
              <w:t>无效，则</w:t>
            </w:r>
            <w:r w:rsidR="00D57B39" w:rsidRPr="00CB257C">
              <w:rPr>
                <w:rFonts w:cs="Arial" w:hint="eastAsia"/>
                <w:sz w:val="20"/>
                <w:szCs w:val="20"/>
              </w:rPr>
              <w:t>本</w:t>
            </w:r>
            <w:r w:rsidRPr="00CB257C">
              <w:rPr>
                <w:rFonts w:cs="Arial" w:hint="eastAsia"/>
                <w:sz w:val="20"/>
                <w:szCs w:val="20"/>
              </w:rPr>
              <w:t>基金可能会遭受重大损失，因为</w:t>
            </w:r>
            <w:r w:rsidR="00D57B39" w:rsidRPr="00CB257C">
              <w:rPr>
                <w:rFonts w:cs="Arial" w:hint="eastAsia"/>
                <w:sz w:val="20"/>
                <w:szCs w:val="20"/>
              </w:rPr>
              <w:t>本</w:t>
            </w:r>
            <w:r w:rsidRPr="00CB257C">
              <w:rPr>
                <w:rFonts w:cs="Arial" w:hint="eastAsia"/>
                <w:sz w:val="20"/>
                <w:szCs w:val="20"/>
              </w:rPr>
              <w:t>基金可能被禁止</w:t>
            </w:r>
            <w:r w:rsidR="00F07576" w:rsidRPr="00CB257C">
              <w:rPr>
                <w:rFonts w:cs="Arial" w:hint="eastAsia"/>
                <w:sz w:val="20"/>
                <w:szCs w:val="20"/>
              </w:rPr>
              <w:t>交易</w:t>
            </w:r>
            <w:r w:rsidRPr="00CB257C">
              <w:rPr>
                <w:rFonts w:cs="Arial" w:hint="eastAsia"/>
                <w:sz w:val="20"/>
                <w:szCs w:val="20"/>
              </w:rPr>
              <w:t>相关证券和返还</w:t>
            </w:r>
            <w:r w:rsidR="00D57B39" w:rsidRPr="00CB257C">
              <w:rPr>
                <w:rFonts w:cs="Arial" w:hint="eastAsia"/>
                <w:sz w:val="20"/>
                <w:szCs w:val="20"/>
              </w:rPr>
              <w:t>本</w:t>
            </w:r>
            <w:r w:rsidRPr="00CB257C">
              <w:rPr>
                <w:rFonts w:cs="Arial" w:hint="eastAsia"/>
                <w:sz w:val="20"/>
                <w:szCs w:val="20"/>
              </w:rPr>
              <w:t>基金的款项，或者关键运营商或当事方（包括</w:t>
            </w:r>
            <w:r w:rsidRPr="00CB257C">
              <w:rPr>
                <w:rFonts w:cs="Arial" w:hint="eastAsia"/>
                <w:sz w:val="20"/>
                <w:szCs w:val="20"/>
              </w:rPr>
              <w:t>RQFII</w:t>
            </w:r>
            <w:r w:rsidR="00F07576" w:rsidRPr="00CB257C">
              <w:rPr>
                <w:rFonts w:cs="Arial" w:hint="eastAsia"/>
                <w:sz w:val="20"/>
                <w:szCs w:val="20"/>
              </w:rPr>
              <w:t>保</w:t>
            </w:r>
            <w:r w:rsidRPr="00CB257C">
              <w:rPr>
                <w:rFonts w:cs="Arial" w:hint="eastAsia"/>
                <w:sz w:val="20"/>
                <w:szCs w:val="20"/>
              </w:rPr>
              <w:t>管人／经纪</w:t>
            </w:r>
            <w:r w:rsidR="00F07576" w:rsidRPr="00CB257C">
              <w:rPr>
                <w:rFonts w:cs="Arial" w:hint="eastAsia"/>
                <w:sz w:val="20"/>
                <w:szCs w:val="20"/>
              </w:rPr>
              <w:t>商</w:t>
            </w:r>
            <w:r w:rsidRPr="00CB257C">
              <w:rPr>
                <w:rFonts w:cs="Arial" w:hint="eastAsia"/>
                <w:sz w:val="20"/>
                <w:szCs w:val="20"/>
              </w:rPr>
              <w:t>）破产</w:t>
            </w:r>
            <w:r w:rsidR="00F07576" w:rsidRPr="00CB257C">
              <w:rPr>
                <w:rFonts w:cs="Arial" w:hint="eastAsia"/>
                <w:sz w:val="20"/>
                <w:szCs w:val="20"/>
              </w:rPr>
              <w:t>、</w:t>
            </w:r>
            <w:r w:rsidRPr="00CB257C">
              <w:rPr>
                <w:rFonts w:cs="Arial" w:hint="eastAsia"/>
                <w:sz w:val="20"/>
                <w:szCs w:val="20"/>
              </w:rPr>
              <w:t>违约或丧失履行义务的资格（包括执行</w:t>
            </w:r>
            <w:r w:rsidR="00F07576" w:rsidRPr="00CB257C">
              <w:rPr>
                <w:rFonts w:cs="Arial" w:hint="eastAsia"/>
                <w:sz w:val="20"/>
                <w:szCs w:val="20"/>
              </w:rPr>
              <w:t>任何交易</w:t>
            </w:r>
            <w:r w:rsidRPr="00CB257C">
              <w:rPr>
                <w:rFonts w:cs="Arial" w:hint="eastAsia"/>
                <w:sz w:val="20"/>
                <w:szCs w:val="20"/>
              </w:rPr>
              <w:t>或</w:t>
            </w:r>
            <w:r w:rsidR="00F07576" w:rsidRPr="00CB257C">
              <w:rPr>
                <w:rFonts w:cs="Arial" w:hint="eastAsia"/>
                <w:sz w:val="20"/>
                <w:szCs w:val="20"/>
              </w:rPr>
              <w:t>进行相关</w:t>
            </w:r>
            <w:r w:rsidRPr="00CB257C">
              <w:rPr>
                <w:rFonts w:cs="Arial" w:hint="eastAsia"/>
                <w:sz w:val="20"/>
                <w:szCs w:val="20"/>
              </w:rPr>
              <w:t>结算或转移资金或证券）。</w:t>
            </w:r>
          </w:p>
          <w:p w:rsidR="007F1C9F" w:rsidRPr="007B3988" w:rsidRDefault="007F1C9F" w:rsidP="005F7DCC">
            <w:pPr>
              <w:pStyle w:val="af"/>
              <w:keepNext/>
              <w:keepLines/>
              <w:numPr>
                <w:ilvl w:val="0"/>
                <w:numId w:val="43"/>
              </w:numPr>
              <w:tabs>
                <w:tab w:val="left" w:pos="330"/>
              </w:tabs>
              <w:autoSpaceDE w:val="0"/>
              <w:autoSpaceDN w:val="0"/>
              <w:adjustRightInd w:val="0"/>
              <w:snapToGrid w:val="0"/>
              <w:spacing w:after="260"/>
              <w:ind w:hanging="357"/>
              <w:contextualSpacing w:val="0"/>
              <w:rPr>
                <w:b/>
                <w:bCs/>
                <w:sz w:val="20"/>
                <w:szCs w:val="20"/>
              </w:rPr>
            </w:pPr>
            <w:r w:rsidRPr="007B3988">
              <w:rPr>
                <w:rFonts w:hint="eastAsia"/>
                <w:b/>
                <w:bCs/>
                <w:sz w:val="20"/>
                <w:szCs w:val="20"/>
              </w:rPr>
              <w:t>从资本作出收益分配的风险</w:t>
            </w:r>
          </w:p>
          <w:p w:rsidR="007F1C9F" w:rsidRPr="007B3988" w:rsidRDefault="007F1C9F" w:rsidP="005F7DCC">
            <w:pPr>
              <w:numPr>
                <w:ilvl w:val="0"/>
                <w:numId w:val="25"/>
              </w:numPr>
              <w:autoSpaceDE w:val="0"/>
              <w:autoSpaceDN w:val="0"/>
              <w:adjustRightInd w:val="0"/>
              <w:snapToGrid w:val="0"/>
              <w:spacing w:after="260"/>
              <w:rPr>
                <w:rFonts w:eastAsia="PMingLiU" w:cs="Arial"/>
                <w:sz w:val="20"/>
                <w:szCs w:val="20"/>
                <w:lang w:val="en-US"/>
              </w:rPr>
            </w:pPr>
            <w:r w:rsidRPr="007B3988">
              <w:rPr>
                <w:rFonts w:cs="Arial" w:hint="eastAsia"/>
                <w:sz w:val="20"/>
                <w:szCs w:val="20"/>
                <w:lang w:val="en-US"/>
              </w:rPr>
              <w:t>份额的收益分配可能自资本或实质上自资本</w:t>
            </w:r>
            <w:r w:rsidRPr="007B3988">
              <w:rPr>
                <w:rFonts w:cs="Arial" w:hint="eastAsia"/>
                <w:sz w:val="20"/>
                <w:szCs w:val="20"/>
                <w:lang w:val="en-US"/>
              </w:rPr>
              <w:t>(</w:t>
            </w:r>
            <w:r w:rsidRPr="007B3988">
              <w:rPr>
                <w:rFonts w:cs="Arial" w:hint="eastAsia"/>
                <w:sz w:val="20"/>
                <w:szCs w:val="20"/>
                <w:lang w:val="en-US"/>
              </w:rPr>
              <w:t>即本基金从总收益作出</w:t>
            </w:r>
            <w:r w:rsidRPr="007B3988">
              <w:rPr>
                <w:rFonts w:cs="Arial"/>
                <w:sz w:val="20"/>
                <w:szCs w:val="20"/>
                <w:lang w:val="en-US"/>
              </w:rPr>
              <w:t>收益分配</w:t>
            </w:r>
            <w:r w:rsidRPr="007B3988">
              <w:rPr>
                <w:rFonts w:cs="Arial" w:hint="eastAsia"/>
                <w:sz w:val="20"/>
                <w:szCs w:val="20"/>
                <w:lang w:val="en-US"/>
              </w:rPr>
              <w:t>，并将全部或部分费用及开支记入资本</w:t>
            </w:r>
            <w:r w:rsidRPr="007B3988">
              <w:rPr>
                <w:rFonts w:cs="Arial" w:hint="eastAsia"/>
                <w:sz w:val="20"/>
                <w:szCs w:val="20"/>
                <w:lang w:val="en-US"/>
              </w:rPr>
              <w:t>/</w:t>
            </w:r>
            <w:r w:rsidRPr="007B3988">
              <w:rPr>
                <w:rFonts w:cs="Arial" w:hint="eastAsia"/>
                <w:sz w:val="20"/>
                <w:szCs w:val="20"/>
                <w:lang w:val="en-US"/>
              </w:rPr>
              <w:t>从资本中扣除，导致可分配收益增加</w:t>
            </w:r>
            <w:r w:rsidRPr="007B3988">
              <w:rPr>
                <w:rFonts w:eastAsiaTheme="minorEastAsia" w:cs="Arial"/>
                <w:snapToGrid w:val="0"/>
                <w:sz w:val="20"/>
                <w:szCs w:val="20"/>
              </w:rPr>
              <w:t>)</w:t>
            </w:r>
            <w:r w:rsidRPr="007B3988">
              <w:rPr>
                <w:rFonts w:cs="Arial" w:hint="eastAsia"/>
                <w:sz w:val="20"/>
                <w:szCs w:val="20"/>
                <w:lang w:val="en-US"/>
              </w:rPr>
              <w:t>支付。从资本或实质上从资本作出</w:t>
            </w:r>
            <w:r w:rsidRPr="007B3988">
              <w:rPr>
                <w:rFonts w:cs="Arial"/>
                <w:sz w:val="20"/>
                <w:szCs w:val="20"/>
                <w:lang w:val="en-US"/>
              </w:rPr>
              <w:t>收益分配</w:t>
            </w:r>
            <w:r w:rsidRPr="007B3988">
              <w:rPr>
                <w:rFonts w:cs="Arial" w:hint="eastAsia"/>
                <w:sz w:val="20"/>
                <w:szCs w:val="20"/>
                <w:lang w:val="en-US"/>
              </w:rPr>
              <w:t>，相当于归还</w:t>
            </w:r>
            <w:r w:rsidRPr="007B3988">
              <w:rPr>
                <w:rFonts w:cs="Arial"/>
                <w:sz w:val="20"/>
                <w:szCs w:val="20"/>
                <w:lang w:val="en-US"/>
              </w:rPr>
              <w:t>或提取</w:t>
            </w:r>
            <w:r w:rsidRPr="007B3988">
              <w:rPr>
                <w:rFonts w:cs="Arial" w:hint="eastAsia"/>
                <w:sz w:val="20"/>
                <w:szCs w:val="20"/>
                <w:lang w:val="en-US"/>
              </w:rPr>
              <w:t>投资者部分原本投资或该原本投资应占的任何资本收益。从资本或实质上从资本作出</w:t>
            </w:r>
            <w:r w:rsidRPr="007B3988">
              <w:rPr>
                <w:rFonts w:cs="Arial"/>
                <w:sz w:val="20"/>
                <w:szCs w:val="20"/>
                <w:lang w:val="en-US"/>
              </w:rPr>
              <w:t>收益分配</w:t>
            </w:r>
            <w:r w:rsidRPr="007B3988">
              <w:rPr>
                <w:rFonts w:cs="Arial" w:hint="eastAsia"/>
                <w:sz w:val="20"/>
                <w:szCs w:val="20"/>
                <w:lang w:val="en-US"/>
              </w:rPr>
              <w:t>，可能会导致份额净值即时减少。</w:t>
            </w:r>
          </w:p>
          <w:p w:rsidR="007F1C9F" w:rsidRPr="007B3988" w:rsidRDefault="007F1C9F" w:rsidP="005F7DCC">
            <w:pPr>
              <w:autoSpaceDE w:val="0"/>
              <w:autoSpaceDN w:val="0"/>
              <w:adjustRightInd w:val="0"/>
              <w:snapToGrid w:val="0"/>
              <w:spacing w:after="260"/>
              <w:rPr>
                <w:b/>
                <w:bCs/>
                <w:sz w:val="20"/>
                <w:szCs w:val="20"/>
              </w:rPr>
            </w:pPr>
            <w:r w:rsidRPr="007B3988">
              <w:rPr>
                <w:rFonts w:hint="eastAsia"/>
                <w:b/>
                <w:bCs/>
                <w:sz w:val="20"/>
                <w:szCs w:val="20"/>
              </w:rPr>
              <w:t>香港互认基金的风险揭示</w:t>
            </w:r>
          </w:p>
          <w:p w:rsidR="007F1C9F" w:rsidRPr="007B3988" w:rsidRDefault="007F1C9F" w:rsidP="005F7DCC">
            <w:pPr>
              <w:autoSpaceDE w:val="0"/>
              <w:autoSpaceDN w:val="0"/>
              <w:adjustRightInd w:val="0"/>
              <w:snapToGrid w:val="0"/>
              <w:spacing w:after="260"/>
              <w:rPr>
                <w:rFonts w:asciiTheme="minorEastAsia" w:eastAsia="PMingLiU" w:hAnsiTheme="minorEastAsia" w:cs="Arial"/>
                <w:sz w:val="20"/>
                <w:szCs w:val="20"/>
              </w:rPr>
            </w:pPr>
            <w:r w:rsidRPr="007B3988">
              <w:rPr>
                <w:rFonts w:asciiTheme="minorEastAsia" w:eastAsiaTheme="minorEastAsia" w:hAnsiTheme="minorEastAsia" w:cs="Arial" w:hint="eastAsia"/>
                <w:sz w:val="20"/>
                <w:szCs w:val="20"/>
              </w:rPr>
              <w:t>除上述风险之外，内地投资者还应特别关注以下所述本基金对于内地投资者的特殊风险以及有关本基金作为香港互认基金在内地销售的特有风险。</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asciiTheme="minorEastAsia" w:eastAsiaTheme="minorEastAsia" w:hAnsiTheme="minorEastAsia" w:cs="Arial"/>
                <w:b/>
                <w:sz w:val="20"/>
                <w:szCs w:val="20"/>
              </w:rPr>
            </w:pPr>
            <w:r w:rsidRPr="007B3988">
              <w:rPr>
                <w:rFonts w:asciiTheme="minorEastAsia" w:eastAsiaTheme="minorEastAsia" w:hAnsiTheme="minorEastAsia" w:cs="Arial" w:hint="eastAsia"/>
                <w:b/>
                <w:sz w:val="20"/>
                <w:szCs w:val="20"/>
              </w:rPr>
              <w:t>境外</w:t>
            </w:r>
            <w:r w:rsidRPr="007B3988">
              <w:rPr>
                <w:rFonts w:asciiTheme="minorEastAsia" w:eastAsiaTheme="minorEastAsia" w:hAnsiTheme="minorEastAsia" w:cs="Arial"/>
                <w:b/>
                <w:sz w:val="20"/>
                <w:szCs w:val="20"/>
              </w:rPr>
              <w:t>投资风险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snapToGrid w:val="0"/>
              </w:rPr>
            </w:pPr>
            <w:r w:rsidRPr="007B3988">
              <w:rPr>
                <w:rFonts w:ascii="Arial" w:eastAsiaTheme="minorEastAsia" w:hAnsi="Arial" w:cs="Arial" w:hint="eastAsia"/>
                <w:snapToGrid w:val="0"/>
              </w:rPr>
              <w:t>对于内地投资者而言，购买本基金面临境外投资市场风险、政府管制风险、政治风险、法律风险、基金的税务风险、不同于内地投资标的可能带来的风险等境外投资风险。</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暂停内地销售的风险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本基金在内地的销售需持续满足《香港互认基金管理暂行规定》规定的香港互认基金的条</w:t>
            </w:r>
            <w:r w:rsidR="00CF5596">
              <w:rPr>
                <w:rFonts w:ascii="Arial" w:eastAsiaTheme="minorEastAsia" w:hAnsi="Arial" w:cs="Arial"/>
              </w:rPr>
              <w:t>件</w:t>
            </w:r>
            <w:r w:rsidRPr="007B3988">
              <w:rPr>
                <w:rFonts w:ascii="Arial" w:eastAsiaTheme="minorEastAsia" w:hAnsi="Arial" w:cs="Arial" w:hint="eastAsia"/>
              </w:rPr>
              <w:t>。若本基金不符合《香港互认基金管理暂行规定》的条件，包括但不限于资产规模低于</w:t>
            </w:r>
            <w:r w:rsidRPr="007B3988">
              <w:rPr>
                <w:rFonts w:ascii="Arial" w:eastAsiaTheme="minorEastAsia" w:hAnsi="Arial" w:cs="Arial"/>
              </w:rPr>
              <w:t>2</w:t>
            </w:r>
            <w:r w:rsidRPr="007B3988">
              <w:rPr>
                <w:rFonts w:ascii="Arial" w:eastAsiaTheme="minorEastAsia" w:hAnsi="Arial" w:cs="Arial" w:hint="eastAsia"/>
              </w:rPr>
              <w:t>亿元人民币或等值货币，或在内地的销售规模占基金总资产的比例达到或超过</w:t>
            </w:r>
            <w:r w:rsidRPr="007B3988">
              <w:rPr>
                <w:rFonts w:ascii="Arial" w:eastAsiaTheme="minorEastAsia" w:hAnsi="Arial" w:cs="Arial"/>
              </w:rPr>
              <w:t>50%</w:t>
            </w:r>
            <w:r w:rsidRPr="007B3988">
              <w:rPr>
                <w:rFonts w:ascii="Arial" w:eastAsiaTheme="minorEastAsia" w:hAnsi="Arial" w:cs="Arial" w:hint="eastAsia"/>
              </w:rPr>
              <w:t>，本基金将暂停内地的销售，直至本基金重新符合香港互认基金的条件。</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在每个香港营业日，基金管理人会通过受托人提供的报告计算并监察销售给内地投资者的基金份额总净值不超过基金总资产净值的</w:t>
            </w:r>
            <w:r w:rsidRPr="007B3988">
              <w:rPr>
                <w:rFonts w:ascii="Arial" w:eastAsiaTheme="minorEastAsia" w:hAnsi="Arial" w:cs="Arial"/>
              </w:rPr>
              <w:t>50%</w:t>
            </w:r>
            <w:r w:rsidRPr="007B3988">
              <w:rPr>
                <w:rFonts w:ascii="Arial" w:eastAsiaTheme="minorEastAsia" w:hAnsi="Arial" w:cs="Arial" w:hint="eastAsia"/>
              </w:rPr>
              <w:t>。该报告会在每个香港营业日更新本基金内地销售规模百分比，并由受托人通知基金管理人和内地代理人。如果百分比达到</w:t>
            </w:r>
            <w:r w:rsidRPr="007B3988">
              <w:rPr>
                <w:rFonts w:ascii="Arial" w:eastAsiaTheme="minorEastAsia" w:hAnsi="Arial" w:cs="Arial"/>
              </w:rPr>
              <w:t>48%</w:t>
            </w:r>
            <w:r w:rsidRPr="007B3988">
              <w:rPr>
                <w:rFonts w:ascii="Arial" w:eastAsiaTheme="minorEastAsia" w:hAnsi="Arial" w:cs="Arial" w:hint="eastAsia"/>
              </w:rPr>
              <w:t>，基金管理人或内地代理人便会立即停止接受内地投资者的申购申请。若在某个交易日接收到的申购申请可能导致超过</w:t>
            </w:r>
            <w:r w:rsidRPr="007B3988">
              <w:rPr>
                <w:rFonts w:ascii="Arial" w:eastAsiaTheme="minorEastAsia" w:hAnsi="Arial" w:cs="Arial"/>
              </w:rPr>
              <w:t>50%</w:t>
            </w:r>
            <w:r w:rsidRPr="007B3988">
              <w:rPr>
                <w:rFonts w:ascii="Arial" w:eastAsiaTheme="minorEastAsia" w:hAnsi="Arial" w:cs="Arial" w:hint="eastAsia"/>
              </w:rPr>
              <w:t>的上限，内地代理人将采用公平的安排按比例分摊在该交易日递交的申购申请或由基金管理人拒绝该日的全部申购申请，以确保不超过</w:t>
            </w:r>
            <w:r w:rsidRPr="007B3988">
              <w:rPr>
                <w:rFonts w:ascii="Arial" w:eastAsiaTheme="minorEastAsia" w:hAnsi="Arial" w:cs="Arial"/>
              </w:rPr>
              <w:t>50%</w:t>
            </w:r>
            <w:r w:rsidRPr="007B3988">
              <w:rPr>
                <w:rFonts w:ascii="Arial" w:eastAsiaTheme="minorEastAsia" w:hAnsi="Arial" w:cs="Arial" w:hint="eastAsia"/>
              </w:rPr>
              <w:t>的上限限制。本基金若因香港基金份额持有人大规模净赎回，导致内地投资者持有的基金份额总净值超过本基金总资产净值的</w:t>
            </w:r>
            <w:r w:rsidRPr="007B3988">
              <w:rPr>
                <w:rFonts w:ascii="Arial" w:eastAsiaTheme="minorEastAsia" w:hAnsi="Arial" w:cs="Arial"/>
              </w:rPr>
              <w:t>50%</w:t>
            </w:r>
            <w:r w:rsidRPr="007B3988">
              <w:rPr>
                <w:rFonts w:ascii="Arial" w:eastAsiaTheme="minorEastAsia" w:hAnsi="Arial" w:cs="Arial" w:hint="eastAsia"/>
              </w:rPr>
              <w:t>的，基金管理人及内地代理人将立即停止本基金在内地的销售，直至内地投资者持有的基金资产规模重新回到</w:t>
            </w:r>
            <w:r w:rsidRPr="007B3988">
              <w:rPr>
                <w:rFonts w:ascii="Arial" w:eastAsiaTheme="minorEastAsia" w:hAnsi="Arial" w:cs="Arial"/>
              </w:rPr>
              <w:t>50%</w:t>
            </w:r>
            <w:r w:rsidRPr="007B3988">
              <w:rPr>
                <w:rFonts w:ascii="Arial" w:eastAsiaTheme="minorEastAsia" w:hAnsi="Arial" w:cs="Arial" w:hint="eastAsia"/>
              </w:rPr>
              <w:t>以下，方可恢复本基金在内地的销售。</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同时，本基金及其他在内地销售的香港互认基金将受到全面的额度限制。若在内地销售的全部香港互认基金的销售额度达到中国证监会和</w:t>
            </w:r>
            <w:r w:rsidRPr="007B3988">
              <w:rPr>
                <w:rFonts w:ascii="Arial" w:eastAsiaTheme="minorEastAsia" w:hAnsi="Arial" w:cs="Arial"/>
              </w:rPr>
              <w:t>/</w:t>
            </w:r>
            <w:r w:rsidRPr="007B3988">
              <w:rPr>
                <w:rFonts w:ascii="Arial" w:eastAsiaTheme="minorEastAsia" w:hAnsi="Arial" w:cs="Arial" w:hint="eastAsia"/>
              </w:rPr>
              <w:t>或香港证监会和</w:t>
            </w:r>
            <w:r w:rsidRPr="007B3988">
              <w:rPr>
                <w:rFonts w:ascii="Arial" w:eastAsiaTheme="minorEastAsia" w:hAnsi="Arial" w:cs="Arial"/>
              </w:rPr>
              <w:t>/</w:t>
            </w:r>
            <w:r w:rsidRPr="007B3988">
              <w:rPr>
                <w:rFonts w:ascii="Arial" w:eastAsiaTheme="minorEastAsia" w:hAnsi="Arial" w:cs="Arial" w:hint="eastAsia"/>
              </w:rPr>
              <w:t>或国家外汇管理局规定的额度或者不时调整的额度，本基金将暂停接受内地投资者的申购申请。</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在暂停内地销售期间，内地投资者对本基金的申购将受到限制或影响。</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取消基金互认、终止内地销售的风险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lastRenderedPageBreak/>
              <w:t>因内地相关法律调整或内地与香港基金互认机制的终止而使中国证监会取消对香港基金的互认，导致本基金终止在内地的销售，对于已持有本基金基金份额的内地投资者，基金管理人可能会根据基金说明书的规定强制赎回持有人所持有的基金份额。</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若基金管理人或本基金违反或不满足中国证监会规定的香港互认基金条件，将可能无法继续在内地销售，中国证监会甚至可能撤销对本基金的注册。基金管理人不能保证其自身或本基金能持续地满足这些资格条件。</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若香港证监会撤销对本基金的认可，本基金将终止销售。</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销售安排差异的风险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香港与内地的市场实践或有差异。另外，香港互认基金与其他在内地公开销售的基金在操作安排的某些方面亦有差异。例如，因内地销售机构办理销售业务的交易日与本基金在香港销售的营业日存在差异，故本基金在内地销售的交易日同时为香港营业日的沪深交易所的交易日，因此本基金在内地接受申购、</w:t>
            </w:r>
            <w:r w:rsidRPr="007B3988">
              <w:rPr>
                <w:rFonts w:ascii="Arial" w:eastAsiaTheme="minorEastAsia" w:hAnsi="Arial" w:cs="Arial" w:hint="eastAsia"/>
                <w:snapToGrid w:val="0"/>
              </w:rPr>
              <w:t>赎回的交易日可能少于通常情况下内地基金的开放日</w:t>
            </w:r>
            <w:r w:rsidRPr="007B3988">
              <w:rPr>
                <w:rFonts w:ascii="Arial" w:eastAsiaTheme="minorEastAsia" w:hAnsi="Arial" w:cs="Arial" w:hint="eastAsia"/>
              </w:rPr>
              <w:t>。</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另外，与内地基金的登记安排不同，内地投资者的基金份额将由名义持有人代名持有，并以名义持有人的名义登记为基金份额持有人。内地投资者并不会被基金登记机构登记于基金份额持有人名册上。虽然在此安排下内地投资者仍是基金份额的实益拥有人，但名义持有人是该等基金份额法律上的拥有人。在此情况下，内地投资者与基金管理人、受托人并无任何直接合约关系。内地投资者对基金管理人及</w:t>
            </w:r>
            <w:r w:rsidRPr="007B3988">
              <w:rPr>
                <w:rFonts w:ascii="Arial" w:eastAsiaTheme="minorEastAsia" w:hAnsi="Arial" w:cs="Arial"/>
              </w:rPr>
              <w:t>/</w:t>
            </w:r>
            <w:r w:rsidRPr="007B3988">
              <w:rPr>
                <w:rFonts w:ascii="Arial" w:eastAsiaTheme="minorEastAsia" w:hAnsi="Arial" w:cs="Arial" w:hint="eastAsia"/>
              </w:rPr>
              <w:t>或受托人若有任何权利主张，可通过名义持有人向基金管理人及</w:t>
            </w:r>
            <w:r w:rsidRPr="007B3988">
              <w:rPr>
                <w:rFonts w:ascii="Arial" w:eastAsiaTheme="minorEastAsia" w:hAnsi="Arial" w:cs="Arial"/>
              </w:rPr>
              <w:t>/</w:t>
            </w:r>
            <w:r w:rsidRPr="007B3988">
              <w:rPr>
                <w:rFonts w:ascii="Arial" w:eastAsiaTheme="minorEastAsia" w:hAnsi="Arial" w:cs="Arial" w:hint="eastAsia"/>
              </w:rPr>
              <w:t>或受托人提出，相应费用由内地投资者自行承担；在遵守信托契约的前提下，若名义持有人怠于向基金管理人及</w:t>
            </w:r>
            <w:r w:rsidRPr="007B3988">
              <w:rPr>
                <w:rFonts w:ascii="Arial" w:eastAsiaTheme="minorEastAsia" w:hAnsi="Arial" w:cs="Arial"/>
              </w:rPr>
              <w:t>/</w:t>
            </w:r>
            <w:r w:rsidRPr="007B3988">
              <w:rPr>
                <w:rFonts w:ascii="Arial" w:eastAsiaTheme="minorEastAsia" w:hAnsi="Arial" w:cs="Arial" w:hint="eastAsia"/>
              </w:rPr>
              <w:t>或受托人提出有关权利主张，内地投资者可依据其与名义持有人就名义持有安排作出的约定，促使名义持有人履行相关义务。</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snapToGrid w:val="0"/>
              </w:rPr>
              <w:t>内地投资者应确保了解上述差异及其影响</w:t>
            </w:r>
            <w:r w:rsidRPr="007B3988">
              <w:rPr>
                <w:rFonts w:ascii="Arial" w:eastAsiaTheme="minorEastAsia" w:hAnsi="Arial" w:cs="Arial" w:hint="eastAsia"/>
              </w:rPr>
              <w:t>。</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人民币货币风险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本基金在内地销售的</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A</w:t>
            </w:r>
            <w:r w:rsidRPr="007B3988">
              <w:rPr>
                <w:rFonts w:ascii="Arial" w:eastAsiaTheme="minorEastAsia" w:hAnsi="Arial" w:cs="Arial" w:hint="eastAsia"/>
              </w:rPr>
              <w:t>人民币、</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I</w:t>
            </w:r>
            <w:r w:rsidRPr="007B3988">
              <w:rPr>
                <w:rFonts w:ascii="Arial" w:eastAsiaTheme="minorEastAsia" w:hAnsi="Arial" w:cs="Arial" w:hint="eastAsia"/>
              </w:rPr>
              <w:t>人民币以人民币作为计价货币，以人民币进行基金份额的申购，并且赎回款项以人民币进行支付。但由于人民币的外汇管制和限制，如果本基金全部或大部分的相关投资非以人民币计值，本基金的基金财产可能未能及时获得足够的人民币以满足在内地销售的</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A</w:t>
            </w:r>
            <w:r w:rsidRPr="007B3988">
              <w:rPr>
                <w:rFonts w:ascii="Arial" w:eastAsiaTheme="minorEastAsia" w:hAnsi="Arial" w:cs="Arial" w:hint="eastAsia"/>
              </w:rPr>
              <w:t>人民币、</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I</w:t>
            </w:r>
            <w:r w:rsidRPr="007B3988">
              <w:rPr>
                <w:rFonts w:ascii="Arial" w:eastAsiaTheme="minorEastAsia" w:hAnsi="Arial" w:cs="Arial" w:hint="eastAsia"/>
              </w:rPr>
              <w:t>人民币的赎回要求。因此，即使基金管理人旨在向</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A</w:t>
            </w:r>
            <w:r w:rsidRPr="007B3988">
              <w:rPr>
                <w:rFonts w:ascii="Arial" w:eastAsiaTheme="minorEastAsia" w:hAnsi="Arial" w:cs="Arial" w:hint="eastAsia"/>
              </w:rPr>
              <w:t>人民币、</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I</w:t>
            </w:r>
            <w:r w:rsidRPr="007B3988">
              <w:rPr>
                <w:rFonts w:ascii="Arial" w:eastAsiaTheme="minorEastAsia" w:hAnsi="Arial" w:cs="Arial" w:hint="eastAsia"/>
              </w:rPr>
              <w:t>人民币的投资者以人民币支付赎回款项，投资者未必于赎回其持有的全部或部分基金份额时收到足额的人民币。同时，投资者亦有可能蒙受于结算赎回款项时由于基金财产暂时没有充足的人民币以作货币兑换而延迟收到以人民币进行支付的赎回款项的风险。</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汇率风险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就内地销售的</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A</w:t>
            </w:r>
            <w:r w:rsidRPr="007B3988">
              <w:rPr>
                <w:rFonts w:ascii="Arial" w:eastAsiaTheme="minorEastAsia" w:hAnsi="Arial" w:cs="Arial" w:hint="eastAsia"/>
              </w:rPr>
              <w:t>美元和</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I</w:t>
            </w:r>
            <w:r w:rsidRPr="007B3988">
              <w:rPr>
                <w:rFonts w:ascii="Arial" w:eastAsiaTheme="minorEastAsia" w:hAnsi="Arial" w:cs="Arial" w:hint="eastAsia"/>
              </w:rPr>
              <w:t>美元而言，目前内地投资者仅可以美元向内地销售机构缴纳申购款，内地投资者应先行兑换所需的美元现汇后再进行申购。内地投资者赎回该等份额类别时，本基金将以美元支付赎回款项。在未来法律法规允许的情况下，若内地投资者以美元以外的其他货币</w:t>
            </w:r>
            <w:r w:rsidRPr="007B3988">
              <w:rPr>
                <w:rFonts w:ascii="Arial" w:eastAsiaTheme="minorEastAsia" w:hAnsi="Arial" w:cs="Arial"/>
              </w:rPr>
              <w:t>(</w:t>
            </w:r>
            <w:r w:rsidRPr="007B3988">
              <w:rPr>
                <w:rFonts w:ascii="Arial" w:eastAsiaTheme="minorEastAsia" w:hAnsi="Arial" w:cs="Arial" w:hint="eastAsia"/>
              </w:rPr>
              <w:t>如人民币</w:t>
            </w:r>
            <w:r w:rsidRPr="007B3988">
              <w:rPr>
                <w:rFonts w:ascii="Arial" w:eastAsiaTheme="minorEastAsia" w:hAnsi="Arial" w:cs="Arial"/>
              </w:rPr>
              <w:t>)</w:t>
            </w:r>
            <w:r w:rsidRPr="007B3988">
              <w:rPr>
                <w:rFonts w:ascii="Arial" w:eastAsiaTheme="minorEastAsia" w:hAnsi="Arial" w:cs="Arial" w:hint="eastAsia"/>
              </w:rPr>
              <w:t>购买本基金的</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A</w:t>
            </w:r>
            <w:r w:rsidRPr="007B3988">
              <w:rPr>
                <w:rFonts w:ascii="Arial" w:eastAsiaTheme="minorEastAsia" w:hAnsi="Arial" w:cs="Arial" w:hint="eastAsia"/>
              </w:rPr>
              <w:t>美元和</w:t>
            </w:r>
            <w:r w:rsidRPr="007B3988">
              <w:rPr>
                <w:rFonts w:ascii="Arial" w:eastAsiaTheme="minorEastAsia" w:hAnsi="Arial" w:cs="Arial"/>
              </w:rPr>
              <w:t>PRC</w:t>
            </w:r>
            <w:r w:rsidRPr="007B3988">
              <w:rPr>
                <w:rFonts w:ascii="Arial" w:eastAsiaTheme="minorEastAsia" w:hAnsi="Arial" w:cs="Arial" w:hint="eastAsia"/>
              </w:rPr>
              <w:t>类别</w:t>
            </w:r>
            <w:r w:rsidRPr="007B3988">
              <w:rPr>
                <w:rFonts w:ascii="Arial" w:eastAsiaTheme="minorEastAsia" w:hAnsi="Arial" w:cs="Arial"/>
              </w:rPr>
              <w:t>I</w:t>
            </w:r>
            <w:r w:rsidRPr="007B3988">
              <w:rPr>
                <w:rFonts w:ascii="Arial" w:eastAsiaTheme="minorEastAsia" w:hAnsi="Arial" w:cs="Arial" w:hint="eastAsia"/>
              </w:rPr>
              <w:t>美元，该其他货币将兑换为美元，赎回时美元赎回款亦将兑换为其他货币。不同币种之间的汇率变化以及换汇费用可能会影响投资者的投资收益。此外，若因内地外汇管制导致上述换汇受到限制，投资者的申购申请、赎回款项的支付和</w:t>
            </w:r>
            <w:r w:rsidRPr="007B3988">
              <w:rPr>
                <w:rFonts w:ascii="Arial" w:eastAsiaTheme="minorEastAsia" w:hAnsi="Arial" w:cs="Arial"/>
              </w:rPr>
              <w:t>/</w:t>
            </w:r>
            <w:r w:rsidRPr="007B3988">
              <w:rPr>
                <w:rFonts w:ascii="Arial" w:eastAsiaTheme="minorEastAsia" w:hAnsi="Arial" w:cs="Arial" w:hint="eastAsia"/>
              </w:rPr>
              <w:t>或收益分配款项</w:t>
            </w:r>
            <w:r w:rsidRPr="007B3988">
              <w:rPr>
                <w:rFonts w:ascii="Arial" w:eastAsiaTheme="minorEastAsia" w:hAnsi="Arial" w:cs="Arial"/>
              </w:rPr>
              <w:t>(</w:t>
            </w:r>
            <w:r w:rsidRPr="007B3988">
              <w:rPr>
                <w:rFonts w:ascii="Arial" w:eastAsiaTheme="minorEastAsia" w:hAnsi="Arial" w:cs="Arial" w:hint="eastAsia"/>
              </w:rPr>
              <w:t>如有</w:t>
            </w:r>
            <w:r w:rsidRPr="007B3988">
              <w:rPr>
                <w:rFonts w:ascii="Arial" w:eastAsiaTheme="minorEastAsia" w:hAnsi="Arial" w:cs="Arial"/>
              </w:rPr>
              <w:t>)</w:t>
            </w:r>
            <w:r w:rsidRPr="007B3988">
              <w:rPr>
                <w:rFonts w:ascii="Arial" w:eastAsiaTheme="minorEastAsia" w:hAnsi="Arial" w:cs="Arial" w:hint="eastAsia"/>
              </w:rPr>
              <w:t>的支付可能发生延迟。本基金面临潜在的汇率风险，有关汇率波动可能会影响基金资产在不同币种之间兑换后的价格，从而最终影响到投资者以本位币计价的收益。</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适用境外法的相关风险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本基金所依据的信托契约以及基金说明书适用香港法。因内地与香港的法律体系和法律制度存在差异，</w:t>
            </w:r>
            <w:r w:rsidRPr="007B3988">
              <w:rPr>
                <w:rFonts w:ascii="Arial" w:eastAsiaTheme="minorEastAsia" w:hAnsi="Arial" w:cs="Arial" w:hint="eastAsia"/>
              </w:rPr>
              <w:lastRenderedPageBreak/>
              <w:t>内地投资者在阅读基金销售文件及购买本基金时应充分考虑前述差异。</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内地销售机构、内地代理人或内地登记结算机构的操作风险、技术风险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内地投资者的申购、赎回由内地销售机构、内地代理人及</w:t>
            </w:r>
            <w:r w:rsidRPr="007B3988">
              <w:rPr>
                <w:rFonts w:ascii="Arial" w:eastAsiaTheme="minorEastAsia" w:hAnsi="Arial" w:cs="Arial"/>
              </w:rPr>
              <w:t>/</w:t>
            </w:r>
            <w:r w:rsidRPr="007B3988">
              <w:rPr>
                <w:rFonts w:ascii="Arial" w:eastAsiaTheme="minorEastAsia" w:hAnsi="Arial" w:cs="Arial" w:hint="eastAsia"/>
              </w:rPr>
              <w:t>或内地登记结算机构与本基金的基金管理人、基金管理人指定的行政管理人</w:t>
            </w:r>
            <w:r w:rsidRPr="007B3988">
              <w:rPr>
                <w:rFonts w:ascii="Arial" w:eastAsiaTheme="minorEastAsia" w:hAnsi="Arial" w:cs="Arial"/>
              </w:rPr>
              <w:t>(</w:t>
            </w:r>
            <w:r w:rsidRPr="007B3988">
              <w:rPr>
                <w:rFonts w:ascii="Arial" w:eastAsiaTheme="minorEastAsia" w:hAnsi="Arial" w:cs="Arial" w:hint="eastAsia"/>
              </w:rPr>
              <w:t>如有</w:t>
            </w:r>
            <w:r w:rsidRPr="007B3988">
              <w:rPr>
                <w:rFonts w:ascii="Arial" w:eastAsiaTheme="minorEastAsia" w:hAnsi="Arial" w:cs="Arial"/>
              </w:rPr>
              <w:t>)</w:t>
            </w:r>
            <w:r w:rsidRPr="007B3988">
              <w:rPr>
                <w:rFonts w:ascii="Arial" w:eastAsiaTheme="minorEastAsia" w:hAnsi="Arial" w:cs="Arial" w:hint="eastAsia"/>
              </w:rPr>
              <w:t>进行数据清算和资金交收，并由名义持有人代名持有内地投资者的基金份额。内地销售机构、内地代理人或内地登记结算机构在业务各环节操作过程中，因内部控制存在缺陷或者人为因素造成操作失误或违反操作规程等原因可能引致风险，例如，越权违规、清算欺诈、数据错误、</w:t>
            </w:r>
            <w:r w:rsidRPr="007B3988">
              <w:rPr>
                <w:rFonts w:ascii="Arial" w:eastAsiaTheme="minorEastAsia" w:hAnsi="Arial" w:cs="Arial"/>
              </w:rPr>
              <w:t>IT</w:t>
            </w:r>
            <w:r w:rsidRPr="007B3988">
              <w:rPr>
                <w:rFonts w:ascii="Arial" w:eastAsiaTheme="minorEastAsia" w:hAnsi="Arial" w:cs="Arial" w:hint="eastAsia"/>
              </w:rPr>
              <w:t>系统故障等风险。可能因为技术系统的故障或者差错而影响清算交收的正常进行，或者导致投资者的利益受到影响，甚至出现对内地投资者权益记录的错误或不及时。</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跨境数据传输和跨境资金交收的系统风险</w:t>
            </w:r>
          </w:p>
          <w:p w:rsidR="007F1C9F" w:rsidRPr="007B3988" w:rsidRDefault="007F1C9F" w:rsidP="00D51D30">
            <w:pPr>
              <w:pStyle w:val="Style1"/>
              <w:tabs>
                <w:tab w:val="left" w:pos="350"/>
              </w:tabs>
              <w:topLinePunct/>
              <w:snapToGrid w:val="0"/>
              <w:spacing w:after="260" w:line="276" w:lineRule="auto"/>
              <w:ind w:leftChars="159" w:left="350" w:right="91" w:firstLineChars="7" w:firstLine="14"/>
              <w:rPr>
                <w:rFonts w:ascii="Arial" w:eastAsiaTheme="minorEastAsia" w:hAnsi="Arial" w:cs="Arial"/>
              </w:rPr>
            </w:pPr>
            <w:r w:rsidRPr="007B3988">
              <w:rPr>
                <w:rFonts w:ascii="Arial" w:eastAsiaTheme="minorEastAsia" w:hAnsi="Arial" w:cs="Arial" w:hint="eastAsia"/>
              </w:rPr>
              <w:t>申购、赎回、转换本基金的数据清算和传输将通过内地登记结算机构的基金登记结算系统平台和基金管理人</w:t>
            </w:r>
            <w:r w:rsidRPr="007B3988">
              <w:rPr>
                <w:rFonts w:ascii="Arial" w:eastAsiaTheme="minorEastAsia" w:hAnsi="Arial" w:cs="Arial" w:hint="eastAsia"/>
              </w:rPr>
              <w:t>(</w:t>
            </w:r>
            <w:r w:rsidRPr="007B3988">
              <w:rPr>
                <w:rFonts w:ascii="Arial" w:eastAsiaTheme="minorEastAsia" w:hAnsi="Arial" w:cs="Arial" w:hint="eastAsia"/>
              </w:rPr>
              <w:t>或其指定的行政管理人</w:t>
            </w:r>
            <w:r w:rsidRPr="007B3988">
              <w:rPr>
                <w:rFonts w:ascii="Arial" w:eastAsiaTheme="minorEastAsia" w:hAnsi="Arial" w:cs="Arial" w:hint="eastAsia"/>
              </w:rPr>
              <w:t>)</w:t>
            </w:r>
            <w:r w:rsidRPr="007B3988">
              <w:rPr>
                <w:rFonts w:ascii="Arial" w:eastAsiaTheme="minorEastAsia" w:hAnsi="Arial" w:cs="Arial" w:hint="eastAsia"/>
              </w:rPr>
              <w:t>采用的登记结算系统平台进行传输和交换，可能会发生并非由相关参与主体的过错而导致的技术系统故障或者差错而影响数据清算和传输的正常进行，甚至出现对内地投资者权益记录的错误或不及时等导致投资者利益受到影响的情形。</w:t>
            </w:r>
          </w:p>
          <w:p w:rsidR="006D3BE4" w:rsidRPr="007B3988" w:rsidRDefault="007F1C9F" w:rsidP="007764AC">
            <w:pPr>
              <w:pStyle w:val="Style1"/>
              <w:tabs>
                <w:tab w:val="left" w:pos="350"/>
              </w:tabs>
              <w:topLinePunct/>
              <w:snapToGrid w:val="0"/>
              <w:spacing w:after="260" w:line="276" w:lineRule="auto"/>
              <w:ind w:leftChars="159" w:left="350" w:right="91" w:firstLineChars="7" w:firstLine="14"/>
              <w:rPr>
                <w:rFonts w:ascii="Arial" w:eastAsiaTheme="minorEastAsia" w:hAnsi="Arial" w:cs="Arial"/>
              </w:rPr>
            </w:pPr>
            <w:r w:rsidRPr="007B3988">
              <w:rPr>
                <w:rFonts w:ascii="Arial" w:eastAsiaTheme="minorEastAsia" w:hAnsi="Arial" w:cs="Arial" w:hint="eastAsia"/>
              </w:rPr>
              <w:t>申购、赎回、转换本基金的资金结算交收由内地销售机构、内地代理人及基金管理人按照参与资金交收各方所约定的业务流程进行，可能会发生非由相关参与主体的过错而导致的跨境资金划转的银行系统故障或差错，从而影响跨境资金结算交收的正常进行，甚至导致资金交收的延迟等情形。</w:t>
            </w:r>
          </w:p>
          <w:p w:rsidR="007F1C9F" w:rsidRPr="007B3988" w:rsidRDefault="007F1C9F" w:rsidP="005F7DCC">
            <w:pPr>
              <w:pStyle w:val="af"/>
              <w:keepNext/>
              <w:keepLines/>
              <w:numPr>
                <w:ilvl w:val="0"/>
                <w:numId w:val="44"/>
              </w:numPr>
              <w:tabs>
                <w:tab w:val="left" w:pos="330"/>
              </w:tabs>
              <w:autoSpaceDE w:val="0"/>
              <w:autoSpaceDN w:val="0"/>
              <w:adjustRightInd w:val="0"/>
              <w:snapToGrid w:val="0"/>
              <w:spacing w:after="260"/>
              <w:contextualSpacing w:val="0"/>
              <w:rPr>
                <w:rFonts w:eastAsiaTheme="minorEastAsia" w:cs="Arial"/>
                <w:b/>
                <w:sz w:val="20"/>
                <w:szCs w:val="20"/>
              </w:rPr>
            </w:pPr>
            <w:r w:rsidRPr="007B3988">
              <w:rPr>
                <w:rFonts w:eastAsiaTheme="minorEastAsia" w:cs="Arial" w:hint="eastAsia"/>
                <w:b/>
                <w:sz w:val="20"/>
                <w:szCs w:val="20"/>
              </w:rPr>
              <w:t>税收风险</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由于中国内地与香港的税收政策存在差异，可能导致在内地销售的本基金份额的资产回报有别于在香港销售的份额。同时，中国内地关于在内地销售的香港互认基金与内地普通公募基金之间在税收政策上也可能存在差异。</w:t>
            </w:r>
          </w:p>
          <w:p w:rsidR="007F1C9F" w:rsidRPr="007B3988" w:rsidRDefault="007F1C9F" w:rsidP="005F7DCC">
            <w:pPr>
              <w:pStyle w:val="Style1"/>
              <w:tabs>
                <w:tab w:val="left" w:pos="350"/>
              </w:tabs>
              <w:topLinePunct/>
              <w:autoSpaceDE/>
              <w:autoSpaceDN/>
              <w:snapToGrid w:val="0"/>
              <w:spacing w:after="260" w:line="276" w:lineRule="auto"/>
              <w:ind w:leftChars="159" w:left="350" w:right="91" w:firstLineChars="7" w:firstLine="14"/>
              <w:jc w:val="both"/>
              <w:rPr>
                <w:rFonts w:eastAsia="PMingLiU" w:cs="Arial"/>
                <w:lang w:val="en-GB"/>
              </w:rPr>
            </w:pPr>
            <w:r w:rsidRPr="007B3988">
              <w:rPr>
                <w:rFonts w:ascii="Arial" w:eastAsiaTheme="minorEastAsia" w:hAnsi="Arial" w:cs="Arial" w:hint="eastAsia"/>
              </w:rPr>
              <w:t>综上，特别提醒内地投资者关注因税收政策差异而对本基金的资产回报可能产生的影响。</w:t>
            </w:r>
          </w:p>
        </w:tc>
      </w:tr>
      <w:tr w:rsidR="007F1C9F" w:rsidRPr="007B3988" w:rsidTr="002A490D">
        <w:tc>
          <w:tcPr>
            <w:tcW w:w="9829" w:type="dxa"/>
            <w:gridSpan w:val="2"/>
            <w:tcBorders>
              <w:top w:val="single" w:sz="4" w:space="0" w:color="auto"/>
              <w:left w:val="single" w:sz="4" w:space="0" w:color="auto"/>
              <w:bottom w:val="single" w:sz="4" w:space="0" w:color="auto"/>
              <w:right w:val="single" w:sz="4" w:space="0" w:color="auto"/>
            </w:tcBorders>
            <w:shd w:val="clear" w:color="auto" w:fill="auto"/>
          </w:tcPr>
          <w:p w:rsidR="007F1C9F" w:rsidRDefault="007F1C9F" w:rsidP="008F333E">
            <w:pPr>
              <w:pStyle w:val="ssPara1"/>
              <w:adjustRightInd w:val="0"/>
              <w:snapToGrid w:val="0"/>
              <w:spacing w:before="60"/>
              <w:rPr>
                <w:rFonts w:cs="Arial"/>
                <w:b/>
                <w:bCs/>
                <w:sz w:val="28"/>
                <w:szCs w:val="28"/>
              </w:rPr>
            </w:pPr>
            <w:r w:rsidRPr="007B3988">
              <w:rPr>
                <w:rFonts w:cs="Arial" w:hint="eastAsia"/>
                <w:b/>
                <w:bCs/>
                <w:sz w:val="28"/>
                <w:szCs w:val="28"/>
              </w:rPr>
              <w:lastRenderedPageBreak/>
              <w:t>本基金的</w:t>
            </w:r>
            <w:r w:rsidRPr="007B3988">
              <w:rPr>
                <w:rFonts w:hint="eastAsia"/>
                <w:b/>
                <w:bCs/>
                <w:sz w:val="28"/>
                <w:szCs w:val="28"/>
              </w:rPr>
              <w:t>过往业绩如何</w:t>
            </w:r>
            <w:r w:rsidRPr="007B3988">
              <w:rPr>
                <w:rFonts w:cs="Arial" w:hint="eastAsia"/>
                <w:b/>
                <w:bCs/>
                <w:sz w:val="28"/>
                <w:szCs w:val="28"/>
              </w:rPr>
              <w:t>？</w:t>
            </w:r>
          </w:p>
          <w:p w:rsidR="00511C1A" w:rsidRPr="007B3988" w:rsidRDefault="00511C1A" w:rsidP="00511C1A">
            <w:pPr>
              <w:pStyle w:val="ssPara1"/>
              <w:adjustRightInd w:val="0"/>
              <w:snapToGrid w:val="0"/>
              <w:spacing w:before="60"/>
              <w:jc w:val="center"/>
              <w:rPr>
                <w:rFonts w:eastAsia="PMingLiU" w:cs="Arial"/>
              </w:rPr>
            </w:pPr>
          </w:p>
          <w:p w:rsidR="007F1C9F" w:rsidRPr="007B3988" w:rsidRDefault="00245334" w:rsidP="002A7557">
            <w:pPr>
              <w:pStyle w:val="ssPara1"/>
              <w:adjustRightInd w:val="0"/>
              <w:snapToGrid w:val="0"/>
              <w:spacing w:before="60"/>
              <w:jc w:val="center"/>
              <w:rPr>
                <w:rFonts w:eastAsiaTheme="minorEastAsia" w:cs="Arial"/>
                <w:sz w:val="20"/>
                <w:szCs w:val="20"/>
              </w:rPr>
            </w:pPr>
            <w:r>
              <w:rPr>
                <w:noProof/>
                <w:lang w:val="en-US"/>
              </w:rPr>
              <w:drawing>
                <wp:inline distT="0" distB="0" distL="0" distR="0">
                  <wp:extent cx="4447642" cy="2838297"/>
                  <wp:effectExtent l="0" t="0" r="10160"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1C9F" w:rsidRPr="007B3988" w:rsidRDefault="007F1C9F" w:rsidP="008F333E">
            <w:pPr>
              <w:widowControl w:val="0"/>
              <w:numPr>
                <w:ilvl w:val="0"/>
                <w:numId w:val="33"/>
              </w:numPr>
              <w:tabs>
                <w:tab w:val="clear" w:pos="851"/>
                <w:tab w:val="left" w:pos="480"/>
              </w:tabs>
              <w:adjustRightInd w:val="0"/>
              <w:snapToGrid w:val="0"/>
              <w:spacing w:after="260" w:line="252" w:lineRule="auto"/>
              <w:ind w:left="488" w:right="91" w:hanging="397"/>
              <w:rPr>
                <w:rFonts w:cs="Arial"/>
                <w:sz w:val="20"/>
                <w:szCs w:val="20"/>
              </w:rPr>
            </w:pPr>
            <w:r w:rsidRPr="007B3988">
              <w:rPr>
                <w:rFonts w:cs="Arial" w:hint="eastAsia"/>
                <w:sz w:val="20"/>
                <w:szCs w:val="20"/>
              </w:rPr>
              <w:lastRenderedPageBreak/>
              <w:t>过</w:t>
            </w:r>
            <w:r w:rsidRPr="007B3988">
              <w:rPr>
                <w:rFonts w:cs="Arial"/>
                <w:sz w:val="20"/>
                <w:szCs w:val="20"/>
              </w:rPr>
              <w:t>往业绩并非预测日后业绩表现的指标。投资者未必能取回全部投资金额。</w:t>
            </w:r>
          </w:p>
          <w:p w:rsidR="007F1C9F" w:rsidRPr="007B3988" w:rsidRDefault="007F1C9F" w:rsidP="008F333E">
            <w:pPr>
              <w:widowControl w:val="0"/>
              <w:numPr>
                <w:ilvl w:val="0"/>
                <w:numId w:val="33"/>
              </w:numPr>
              <w:tabs>
                <w:tab w:val="clear" w:pos="851"/>
                <w:tab w:val="left" w:pos="480"/>
              </w:tabs>
              <w:adjustRightInd w:val="0"/>
              <w:snapToGrid w:val="0"/>
              <w:spacing w:after="260" w:line="252" w:lineRule="auto"/>
              <w:ind w:left="488" w:right="91" w:hanging="397"/>
              <w:rPr>
                <w:rFonts w:cs="Arial"/>
                <w:sz w:val="20"/>
                <w:szCs w:val="20"/>
              </w:rPr>
            </w:pPr>
            <w:r w:rsidRPr="007B3988">
              <w:rPr>
                <w:rFonts w:cs="Arial"/>
                <w:sz w:val="20"/>
                <w:szCs w:val="20"/>
              </w:rPr>
              <w:t>业绩表现以历年末的资产净值作为比较基础，收益</w:t>
            </w:r>
            <w:r w:rsidRPr="007B3988">
              <w:rPr>
                <w:rFonts w:cs="Arial" w:hint="eastAsia"/>
                <w:sz w:val="20"/>
                <w:szCs w:val="20"/>
              </w:rPr>
              <w:t>(</w:t>
            </w:r>
            <w:r w:rsidRPr="007B3988">
              <w:rPr>
                <w:rFonts w:cs="Arial" w:hint="eastAsia"/>
                <w:sz w:val="20"/>
                <w:szCs w:val="20"/>
              </w:rPr>
              <w:t>如有</w:t>
            </w:r>
            <w:r w:rsidRPr="007B3988">
              <w:rPr>
                <w:rFonts w:cs="Arial"/>
                <w:sz w:val="20"/>
                <w:szCs w:val="20"/>
              </w:rPr>
              <w:t>)</w:t>
            </w:r>
            <w:r w:rsidRPr="007B3988">
              <w:rPr>
                <w:rFonts w:cs="Arial"/>
                <w:sz w:val="20"/>
                <w:szCs w:val="20"/>
              </w:rPr>
              <w:t>会滚存再作投资。</w:t>
            </w:r>
          </w:p>
          <w:p w:rsidR="007F1C9F" w:rsidRPr="007B3988" w:rsidRDefault="007F1C9F" w:rsidP="008F333E">
            <w:pPr>
              <w:widowControl w:val="0"/>
              <w:numPr>
                <w:ilvl w:val="0"/>
                <w:numId w:val="33"/>
              </w:numPr>
              <w:tabs>
                <w:tab w:val="clear" w:pos="851"/>
                <w:tab w:val="left" w:pos="480"/>
              </w:tabs>
              <w:adjustRightInd w:val="0"/>
              <w:snapToGrid w:val="0"/>
              <w:spacing w:after="260" w:line="252" w:lineRule="auto"/>
              <w:ind w:left="488" w:right="91" w:hanging="397"/>
              <w:rPr>
                <w:rFonts w:cs="Arial"/>
                <w:sz w:val="20"/>
                <w:szCs w:val="20"/>
              </w:rPr>
            </w:pPr>
            <w:r w:rsidRPr="007B3988">
              <w:rPr>
                <w:rFonts w:cs="Arial" w:hint="eastAsia"/>
                <w:sz w:val="20"/>
                <w:szCs w:val="20"/>
              </w:rPr>
              <w:t>基于类别</w:t>
            </w:r>
            <w:r w:rsidRPr="007B3988">
              <w:rPr>
                <w:rFonts w:cs="Arial" w:hint="eastAsia"/>
                <w:sz w:val="20"/>
                <w:szCs w:val="20"/>
              </w:rPr>
              <w:t>A</w:t>
            </w:r>
            <w:r w:rsidRPr="007B3988">
              <w:rPr>
                <w:rFonts w:cs="Arial" w:hint="eastAsia"/>
                <w:sz w:val="20"/>
                <w:szCs w:val="20"/>
              </w:rPr>
              <w:t>美元份额在香港是认可零售类别中具有最长发行记录的，就呈现过往业绩表现之目的，选取了类别</w:t>
            </w:r>
            <w:r w:rsidRPr="007B3988">
              <w:rPr>
                <w:rFonts w:cs="Arial" w:hint="eastAsia"/>
                <w:sz w:val="20"/>
                <w:szCs w:val="20"/>
              </w:rPr>
              <w:t>A</w:t>
            </w:r>
            <w:r w:rsidRPr="007B3988">
              <w:rPr>
                <w:rFonts w:cs="Arial" w:hint="eastAsia"/>
                <w:sz w:val="20"/>
                <w:szCs w:val="20"/>
              </w:rPr>
              <w:t>美元份额作为本基金份额类别的代表。</w:t>
            </w:r>
          </w:p>
          <w:p w:rsidR="007F1C9F" w:rsidRPr="007B3988" w:rsidRDefault="007F1C9F" w:rsidP="008F333E">
            <w:pPr>
              <w:widowControl w:val="0"/>
              <w:numPr>
                <w:ilvl w:val="0"/>
                <w:numId w:val="33"/>
              </w:numPr>
              <w:tabs>
                <w:tab w:val="clear" w:pos="851"/>
                <w:tab w:val="left" w:pos="480"/>
              </w:tabs>
              <w:adjustRightInd w:val="0"/>
              <w:snapToGrid w:val="0"/>
              <w:spacing w:after="260" w:line="252" w:lineRule="auto"/>
              <w:ind w:left="488" w:right="91" w:hanging="397"/>
              <w:rPr>
                <w:rFonts w:cs="Arial"/>
                <w:sz w:val="20"/>
                <w:szCs w:val="20"/>
              </w:rPr>
            </w:pPr>
            <w:r w:rsidRPr="007B3988">
              <w:rPr>
                <w:rFonts w:cs="Arial"/>
                <w:sz w:val="20"/>
                <w:szCs w:val="20"/>
              </w:rPr>
              <w:t>上述数据显示</w:t>
            </w:r>
            <w:r w:rsidRPr="007B3988">
              <w:rPr>
                <w:rFonts w:cs="Arial" w:hint="eastAsia"/>
                <w:sz w:val="20"/>
                <w:szCs w:val="20"/>
              </w:rPr>
              <w:t>类别</w:t>
            </w:r>
            <w:r w:rsidRPr="007B3988">
              <w:rPr>
                <w:rFonts w:cs="Arial" w:hint="eastAsia"/>
                <w:sz w:val="20"/>
                <w:szCs w:val="20"/>
              </w:rPr>
              <w:t>A</w:t>
            </w:r>
            <w:r w:rsidRPr="007B3988">
              <w:rPr>
                <w:rFonts w:cs="Arial" w:hint="eastAsia"/>
                <w:sz w:val="20"/>
                <w:szCs w:val="20"/>
              </w:rPr>
              <w:t>美元份额</w:t>
            </w:r>
            <w:r w:rsidRPr="007B3988">
              <w:rPr>
                <w:rFonts w:cs="Arial"/>
                <w:sz w:val="20"/>
                <w:szCs w:val="20"/>
              </w:rPr>
              <w:t>的价值在有关历年内的升跌幅度。业绩表现数据以美元计算，</w:t>
            </w:r>
            <w:r w:rsidRPr="007B3988">
              <w:rPr>
                <w:rFonts w:cs="Arial" w:hint="eastAsia"/>
                <w:sz w:val="20"/>
                <w:szCs w:val="20"/>
              </w:rPr>
              <w:t>包括</w:t>
            </w:r>
            <w:r w:rsidRPr="007B3988">
              <w:rPr>
                <w:rFonts w:cs="Arial"/>
                <w:sz w:val="20"/>
                <w:szCs w:val="20"/>
              </w:rPr>
              <w:t>本基金的</w:t>
            </w:r>
            <w:r w:rsidRPr="007B3988">
              <w:rPr>
                <w:rFonts w:cs="Arial" w:hint="eastAsia"/>
                <w:sz w:val="20"/>
                <w:szCs w:val="20"/>
              </w:rPr>
              <w:t>经常性开支</w:t>
            </w:r>
            <w:r w:rsidRPr="007B3988">
              <w:rPr>
                <w:rFonts w:cs="Arial"/>
                <w:sz w:val="20"/>
                <w:szCs w:val="20"/>
              </w:rPr>
              <w:t>，但</w:t>
            </w:r>
            <w:r w:rsidRPr="007B3988">
              <w:rPr>
                <w:rFonts w:cs="Arial" w:hint="eastAsia"/>
                <w:sz w:val="20"/>
                <w:szCs w:val="20"/>
              </w:rPr>
              <w:t>不包括</w:t>
            </w:r>
            <w:r w:rsidRPr="007B3988">
              <w:rPr>
                <w:rFonts w:cs="Arial"/>
                <w:sz w:val="20"/>
                <w:szCs w:val="20"/>
              </w:rPr>
              <w:t>投资者可能须支付的认</w:t>
            </w:r>
            <w:r w:rsidRPr="007B3988">
              <w:rPr>
                <w:rFonts w:cs="Arial"/>
                <w:sz w:val="20"/>
                <w:szCs w:val="20"/>
              </w:rPr>
              <w:t>/</w:t>
            </w:r>
            <w:r w:rsidRPr="007B3988">
              <w:rPr>
                <w:rFonts w:cs="Arial"/>
                <w:sz w:val="20"/>
                <w:szCs w:val="20"/>
              </w:rPr>
              <w:t>申购费。</w:t>
            </w:r>
          </w:p>
          <w:p w:rsidR="007F1C9F" w:rsidRPr="007B3988" w:rsidRDefault="007F1C9F" w:rsidP="008F333E">
            <w:pPr>
              <w:widowControl w:val="0"/>
              <w:numPr>
                <w:ilvl w:val="0"/>
                <w:numId w:val="33"/>
              </w:numPr>
              <w:tabs>
                <w:tab w:val="clear" w:pos="851"/>
                <w:tab w:val="left" w:pos="480"/>
              </w:tabs>
              <w:adjustRightInd w:val="0"/>
              <w:snapToGrid w:val="0"/>
              <w:spacing w:after="260" w:line="252" w:lineRule="auto"/>
              <w:ind w:left="488" w:right="91" w:hanging="397"/>
              <w:rPr>
                <w:rFonts w:cs="Arial"/>
                <w:sz w:val="20"/>
                <w:szCs w:val="20"/>
              </w:rPr>
            </w:pPr>
            <w:r w:rsidRPr="007B3988">
              <w:rPr>
                <w:rFonts w:cs="Arial"/>
                <w:sz w:val="20"/>
                <w:szCs w:val="20"/>
              </w:rPr>
              <w:t>如年内没有显示有关的业绩表现</w:t>
            </w:r>
            <w:r w:rsidRPr="007B3988">
              <w:rPr>
                <w:rFonts w:cs="Arial" w:hint="eastAsia"/>
                <w:sz w:val="20"/>
                <w:szCs w:val="20"/>
              </w:rPr>
              <w:t>，</w:t>
            </w:r>
            <w:r w:rsidRPr="007B3988">
              <w:rPr>
                <w:rFonts w:cs="Arial"/>
                <w:sz w:val="20"/>
                <w:szCs w:val="20"/>
              </w:rPr>
              <w:t>即代表当年没有足够数据用作提供业绩表现之用</w:t>
            </w:r>
            <w:r w:rsidRPr="007B3988">
              <w:rPr>
                <w:rFonts w:cs="Arial" w:hint="eastAsia"/>
                <w:sz w:val="20"/>
                <w:szCs w:val="20"/>
              </w:rPr>
              <w:t>。</w:t>
            </w:r>
          </w:p>
          <w:p w:rsidR="007F1C9F" w:rsidRPr="007B3988" w:rsidRDefault="007F1C9F" w:rsidP="008F333E">
            <w:pPr>
              <w:widowControl w:val="0"/>
              <w:numPr>
                <w:ilvl w:val="0"/>
                <w:numId w:val="33"/>
              </w:numPr>
              <w:tabs>
                <w:tab w:val="clear" w:pos="851"/>
                <w:tab w:val="left" w:pos="480"/>
              </w:tabs>
              <w:adjustRightInd w:val="0"/>
              <w:snapToGrid w:val="0"/>
              <w:spacing w:after="260" w:line="252" w:lineRule="auto"/>
              <w:ind w:left="488" w:right="91" w:hanging="397"/>
              <w:rPr>
                <w:rFonts w:cs="Arial"/>
                <w:sz w:val="20"/>
                <w:szCs w:val="20"/>
                <w:lang w:eastAsia="zh-TW"/>
              </w:rPr>
            </w:pPr>
            <w:r w:rsidRPr="007B3988">
              <w:rPr>
                <w:rFonts w:cs="Arial"/>
                <w:sz w:val="20"/>
                <w:szCs w:val="20"/>
              </w:rPr>
              <w:t>本基金发行日</w:t>
            </w:r>
            <w:r w:rsidRPr="007B3988">
              <w:rPr>
                <w:rFonts w:cs="Arial" w:hint="eastAsia"/>
                <w:sz w:val="20"/>
                <w:szCs w:val="20"/>
              </w:rPr>
              <w:t>：</w:t>
            </w:r>
            <w:r w:rsidRPr="007B3988">
              <w:rPr>
                <w:rStyle w:val="CharacterStyle3"/>
                <w:rFonts w:cs="Arial"/>
              </w:rPr>
              <w:t>20</w:t>
            </w:r>
            <w:r w:rsidRPr="007B3988">
              <w:rPr>
                <w:rStyle w:val="CharacterStyle3"/>
                <w:rFonts w:cs="Arial" w:hint="eastAsia"/>
              </w:rPr>
              <w:t>16</w:t>
            </w:r>
            <w:r w:rsidRPr="007B3988">
              <w:rPr>
                <w:rFonts w:cs="Arial"/>
                <w:sz w:val="20"/>
                <w:szCs w:val="20"/>
              </w:rPr>
              <w:t>年</w:t>
            </w:r>
            <w:r w:rsidRPr="007B3988">
              <w:rPr>
                <w:rStyle w:val="CharacterStyle3"/>
                <w:rFonts w:cs="Arial" w:hint="eastAsia"/>
              </w:rPr>
              <w:t>5</w:t>
            </w:r>
            <w:r w:rsidRPr="007B3988">
              <w:rPr>
                <w:rFonts w:cs="Arial"/>
                <w:sz w:val="20"/>
                <w:szCs w:val="20"/>
              </w:rPr>
              <w:t>月</w:t>
            </w:r>
          </w:p>
          <w:p w:rsidR="007F1C9F" w:rsidRPr="007B3988" w:rsidRDefault="007F1C9F" w:rsidP="008F333E">
            <w:pPr>
              <w:widowControl w:val="0"/>
              <w:numPr>
                <w:ilvl w:val="0"/>
                <w:numId w:val="33"/>
              </w:numPr>
              <w:tabs>
                <w:tab w:val="clear" w:pos="851"/>
                <w:tab w:val="left" w:pos="480"/>
              </w:tabs>
              <w:adjustRightInd w:val="0"/>
              <w:snapToGrid w:val="0"/>
              <w:spacing w:after="260" w:line="252" w:lineRule="auto"/>
              <w:ind w:left="488" w:right="91" w:hanging="397"/>
              <w:rPr>
                <w:rFonts w:cs="Arial"/>
                <w:sz w:val="20"/>
                <w:szCs w:val="20"/>
              </w:rPr>
            </w:pPr>
            <w:r w:rsidRPr="007B3988">
              <w:rPr>
                <w:rFonts w:cs="Arial" w:hint="eastAsia"/>
                <w:sz w:val="20"/>
                <w:szCs w:val="20"/>
              </w:rPr>
              <w:t>类别</w:t>
            </w:r>
            <w:r w:rsidRPr="007B3988">
              <w:rPr>
                <w:rFonts w:cs="Arial" w:hint="eastAsia"/>
                <w:sz w:val="20"/>
                <w:szCs w:val="20"/>
              </w:rPr>
              <w:t>A</w:t>
            </w:r>
            <w:r w:rsidRPr="007B3988">
              <w:rPr>
                <w:rFonts w:cs="Arial" w:hint="eastAsia"/>
                <w:sz w:val="20"/>
                <w:szCs w:val="20"/>
              </w:rPr>
              <w:t>份额</w:t>
            </w:r>
            <w:r w:rsidRPr="007B3988">
              <w:rPr>
                <w:rFonts w:cs="Arial"/>
                <w:sz w:val="20"/>
                <w:szCs w:val="20"/>
              </w:rPr>
              <w:t>发行日</w:t>
            </w:r>
            <w:r w:rsidRPr="007B3988">
              <w:rPr>
                <w:rFonts w:cs="Arial" w:hint="eastAsia"/>
                <w:sz w:val="20"/>
                <w:szCs w:val="20"/>
              </w:rPr>
              <w:t>：</w:t>
            </w:r>
            <w:r w:rsidRPr="007B3988">
              <w:rPr>
                <w:rStyle w:val="CharacterStyle3"/>
                <w:rFonts w:cs="Arial"/>
              </w:rPr>
              <w:t>20</w:t>
            </w:r>
            <w:r w:rsidRPr="007B3988">
              <w:rPr>
                <w:rStyle w:val="CharacterStyle3"/>
                <w:rFonts w:cs="Arial" w:hint="eastAsia"/>
              </w:rPr>
              <w:t>16</w:t>
            </w:r>
            <w:r w:rsidRPr="007B3988">
              <w:rPr>
                <w:rFonts w:cs="Arial"/>
                <w:sz w:val="20"/>
                <w:szCs w:val="20"/>
              </w:rPr>
              <w:t>年</w:t>
            </w:r>
            <w:r w:rsidRPr="007B3988">
              <w:rPr>
                <w:rStyle w:val="CharacterStyle3"/>
                <w:rFonts w:cs="Arial" w:hint="eastAsia"/>
              </w:rPr>
              <w:t>5</w:t>
            </w:r>
            <w:r w:rsidRPr="007B3988">
              <w:rPr>
                <w:rFonts w:cs="Arial"/>
                <w:sz w:val="20"/>
                <w:szCs w:val="20"/>
              </w:rPr>
              <w:t>月</w:t>
            </w:r>
          </w:p>
          <w:p w:rsidR="007F1C9F" w:rsidRPr="007B3988" w:rsidRDefault="007F1C9F" w:rsidP="00065F8D">
            <w:pPr>
              <w:widowControl w:val="0"/>
              <w:numPr>
                <w:ilvl w:val="0"/>
                <w:numId w:val="33"/>
              </w:numPr>
              <w:tabs>
                <w:tab w:val="clear" w:pos="851"/>
                <w:tab w:val="left" w:pos="480"/>
              </w:tabs>
              <w:adjustRightInd w:val="0"/>
              <w:snapToGrid w:val="0"/>
              <w:spacing w:after="260" w:line="252" w:lineRule="auto"/>
              <w:ind w:left="488" w:right="91" w:hanging="397"/>
              <w:rPr>
                <w:rFonts w:cs="Arial"/>
                <w:sz w:val="20"/>
                <w:szCs w:val="20"/>
              </w:rPr>
            </w:pPr>
            <w:r w:rsidRPr="007B3988">
              <w:rPr>
                <w:rFonts w:cs="Arial" w:hint="eastAsia"/>
                <w:sz w:val="20"/>
                <w:szCs w:val="20"/>
              </w:rPr>
              <w:t>自</w:t>
            </w:r>
            <w:r w:rsidR="00065F8D">
              <w:rPr>
                <w:rFonts w:cs="Arial" w:hint="eastAsia"/>
                <w:sz w:val="20"/>
                <w:szCs w:val="20"/>
              </w:rPr>
              <w:t>2020</w:t>
            </w:r>
            <w:r w:rsidRPr="007B3988">
              <w:rPr>
                <w:rFonts w:cs="Arial" w:hint="eastAsia"/>
                <w:sz w:val="20"/>
                <w:szCs w:val="20"/>
              </w:rPr>
              <w:t>年</w:t>
            </w:r>
            <w:r w:rsidR="00065F8D">
              <w:rPr>
                <w:rFonts w:cs="Arial" w:hint="eastAsia"/>
                <w:sz w:val="20"/>
                <w:szCs w:val="20"/>
              </w:rPr>
              <w:t>4</w:t>
            </w:r>
            <w:r w:rsidRPr="007B3988">
              <w:rPr>
                <w:rFonts w:cs="Arial" w:hint="eastAsia"/>
                <w:sz w:val="20"/>
                <w:szCs w:val="20"/>
              </w:rPr>
              <w:t>月</w:t>
            </w:r>
            <w:r w:rsidR="00065F8D">
              <w:rPr>
                <w:rFonts w:cs="Arial" w:hint="eastAsia"/>
                <w:sz w:val="20"/>
                <w:szCs w:val="20"/>
              </w:rPr>
              <w:t>9</w:t>
            </w:r>
            <w:r w:rsidRPr="007B3988">
              <w:rPr>
                <w:rFonts w:cs="Arial" w:hint="eastAsia"/>
                <w:sz w:val="20"/>
                <w:szCs w:val="20"/>
              </w:rPr>
              <w:t>日起</w:t>
            </w:r>
            <w:r w:rsidRPr="007B3988">
              <w:rPr>
                <w:rFonts w:cs="Arial" w:hint="eastAsia"/>
                <w:sz w:val="20"/>
                <w:szCs w:val="20"/>
              </w:rPr>
              <w:t xml:space="preserve">, </w:t>
            </w:r>
            <w:r w:rsidRPr="007B3988">
              <w:rPr>
                <w:rFonts w:cs="Arial" w:hint="eastAsia"/>
                <w:sz w:val="20"/>
                <w:szCs w:val="20"/>
              </w:rPr>
              <w:t>本基金设立</w:t>
            </w:r>
            <w:r w:rsidRPr="007B3988">
              <w:rPr>
                <w:rFonts w:cs="Arial" w:hint="eastAsia"/>
                <w:sz w:val="20"/>
                <w:szCs w:val="20"/>
              </w:rPr>
              <w:t>P</w:t>
            </w:r>
            <w:r w:rsidRPr="007B3988">
              <w:rPr>
                <w:rFonts w:cs="Arial"/>
                <w:sz w:val="20"/>
                <w:szCs w:val="20"/>
              </w:rPr>
              <w:t>RC</w:t>
            </w:r>
            <w:r w:rsidRPr="007B3988">
              <w:rPr>
                <w:rFonts w:cs="Arial"/>
                <w:sz w:val="20"/>
                <w:szCs w:val="20"/>
              </w:rPr>
              <w:t>类别</w:t>
            </w:r>
            <w:r w:rsidRPr="007B3988">
              <w:rPr>
                <w:rFonts w:cs="Arial" w:hint="eastAsia"/>
                <w:sz w:val="20"/>
                <w:szCs w:val="20"/>
              </w:rPr>
              <w:t>A</w:t>
            </w:r>
            <w:r w:rsidRPr="007B3988">
              <w:rPr>
                <w:rFonts w:cs="Arial" w:hint="eastAsia"/>
                <w:sz w:val="20"/>
                <w:szCs w:val="20"/>
              </w:rPr>
              <w:t>人民币份额、</w:t>
            </w:r>
            <w:r w:rsidRPr="007B3988">
              <w:rPr>
                <w:rFonts w:cs="Arial" w:hint="eastAsia"/>
                <w:sz w:val="20"/>
                <w:szCs w:val="20"/>
              </w:rPr>
              <w:t>P</w:t>
            </w:r>
            <w:r w:rsidRPr="007B3988">
              <w:rPr>
                <w:rFonts w:cs="Arial"/>
                <w:sz w:val="20"/>
                <w:szCs w:val="20"/>
              </w:rPr>
              <w:t>RC</w:t>
            </w:r>
            <w:r w:rsidRPr="007B3988">
              <w:rPr>
                <w:rFonts w:cs="Arial"/>
                <w:sz w:val="20"/>
                <w:szCs w:val="20"/>
              </w:rPr>
              <w:t>类别</w:t>
            </w:r>
            <w:r w:rsidRPr="007B3988">
              <w:rPr>
                <w:rFonts w:cs="Arial" w:hint="eastAsia"/>
                <w:sz w:val="20"/>
                <w:szCs w:val="20"/>
              </w:rPr>
              <w:t>A</w:t>
            </w:r>
            <w:r w:rsidRPr="007B3988">
              <w:rPr>
                <w:rFonts w:cs="Arial" w:hint="eastAsia"/>
                <w:sz w:val="20"/>
                <w:szCs w:val="20"/>
              </w:rPr>
              <w:t>美元份额、</w:t>
            </w:r>
            <w:r w:rsidRPr="007B3988">
              <w:rPr>
                <w:rFonts w:cs="Arial" w:hint="eastAsia"/>
                <w:sz w:val="20"/>
                <w:szCs w:val="20"/>
              </w:rPr>
              <w:t>P</w:t>
            </w:r>
            <w:r w:rsidRPr="007B3988">
              <w:rPr>
                <w:rFonts w:cs="Arial"/>
                <w:sz w:val="20"/>
                <w:szCs w:val="20"/>
              </w:rPr>
              <w:t>RC</w:t>
            </w:r>
            <w:r w:rsidRPr="007B3988">
              <w:rPr>
                <w:rFonts w:cs="Arial"/>
                <w:sz w:val="20"/>
                <w:szCs w:val="20"/>
              </w:rPr>
              <w:t>类别</w:t>
            </w:r>
            <w:r w:rsidRPr="007B3988">
              <w:rPr>
                <w:rFonts w:cs="Arial" w:hint="eastAsia"/>
                <w:sz w:val="20"/>
                <w:szCs w:val="20"/>
              </w:rPr>
              <w:t>I</w:t>
            </w:r>
            <w:r w:rsidRPr="007B3988">
              <w:rPr>
                <w:rFonts w:cs="Arial" w:hint="eastAsia"/>
                <w:sz w:val="20"/>
                <w:szCs w:val="20"/>
              </w:rPr>
              <w:t>人民币份额、</w:t>
            </w:r>
            <w:r w:rsidRPr="007B3988">
              <w:rPr>
                <w:rFonts w:cs="Arial" w:hint="eastAsia"/>
                <w:sz w:val="20"/>
                <w:szCs w:val="20"/>
              </w:rPr>
              <w:t>P</w:t>
            </w:r>
            <w:r w:rsidRPr="007B3988">
              <w:rPr>
                <w:rFonts w:cs="Arial"/>
                <w:sz w:val="20"/>
                <w:szCs w:val="20"/>
              </w:rPr>
              <w:t>RC</w:t>
            </w:r>
            <w:r w:rsidRPr="007B3988">
              <w:rPr>
                <w:rFonts w:cs="Arial"/>
                <w:sz w:val="20"/>
                <w:szCs w:val="20"/>
              </w:rPr>
              <w:t>类别</w:t>
            </w:r>
            <w:r w:rsidRPr="007B3988">
              <w:rPr>
                <w:rFonts w:cs="Arial" w:hint="eastAsia"/>
                <w:sz w:val="20"/>
                <w:szCs w:val="20"/>
              </w:rPr>
              <w:t>I</w:t>
            </w:r>
            <w:r w:rsidRPr="007B3988">
              <w:rPr>
                <w:rFonts w:cs="Arial" w:hint="eastAsia"/>
                <w:sz w:val="20"/>
                <w:szCs w:val="20"/>
              </w:rPr>
              <w:t>美元份额</w:t>
            </w:r>
            <w:bookmarkStart w:id="2" w:name="_GoBack"/>
            <w:bookmarkEnd w:id="2"/>
            <w:r w:rsidRPr="007B3988">
              <w:rPr>
                <w:rFonts w:cs="Arial" w:hint="eastAsia"/>
                <w:sz w:val="20"/>
                <w:szCs w:val="20"/>
              </w:rPr>
              <w:t>仅供中国内地投资者购买。</w:t>
            </w:r>
          </w:p>
        </w:tc>
      </w:tr>
      <w:tr w:rsidR="007F1C9F" w:rsidRPr="007B3988" w:rsidTr="002A490D">
        <w:tc>
          <w:tcPr>
            <w:tcW w:w="9829" w:type="dxa"/>
            <w:gridSpan w:val="2"/>
            <w:tcBorders>
              <w:top w:val="single" w:sz="4" w:space="0" w:color="auto"/>
              <w:left w:val="single" w:sz="4" w:space="0" w:color="auto"/>
              <w:bottom w:val="single" w:sz="4" w:space="0" w:color="auto"/>
              <w:right w:val="single" w:sz="4" w:space="0" w:color="auto"/>
            </w:tcBorders>
            <w:shd w:val="clear" w:color="auto" w:fill="auto"/>
          </w:tcPr>
          <w:p w:rsidR="007F1C9F" w:rsidRPr="007B3988" w:rsidRDefault="007F1C9F" w:rsidP="00BB5DD2">
            <w:pPr>
              <w:pStyle w:val="ssPara1"/>
              <w:spacing w:before="60" w:after="120"/>
              <w:rPr>
                <w:rFonts w:eastAsia="PMingLiU" w:cs="Arial"/>
              </w:rPr>
            </w:pPr>
            <w:r w:rsidRPr="007B3988">
              <w:rPr>
                <w:rFonts w:cs="Arial" w:hint="eastAsia"/>
                <w:b/>
                <w:bCs/>
                <w:sz w:val="28"/>
                <w:szCs w:val="28"/>
              </w:rPr>
              <w:lastRenderedPageBreak/>
              <w:t>本基金是否提供保证</w:t>
            </w:r>
            <w:r w:rsidRPr="007B3988">
              <w:rPr>
                <w:rFonts w:cs="Arial"/>
                <w:b/>
                <w:bCs/>
                <w:sz w:val="28"/>
                <w:szCs w:val="28"/>
              </w:rPr>
              <w:t>?</w:t>
            </w:r>
          </w:p>
          <w:p w:rsidR="007F1C9F" w:rsidRPr="007B3988" w:rsidRDefault="007F1C9F">
            <w:pPr>
              <w:pStyle w:val="ssPara1"/>
              <w:spacing w:before="60" w:after="120"/>
              <w:rPr>
                <w:rFonts w:eastAsia="PMingLiU" w:cs="Arial"/>
                <w:sz w:val="20"/>
                <w:szCs w:val="20"/>
              </w:rPr>
            </w:pPr>
            <w:r w:rsidRPr="007B3988">
              <w:rPr>
                <w:rFonts w:cs="Arial" w:hint="eastAsia"/>
                <w:sz w:val="20"/>
                <w:szCs w:val="20"/>
              </w:rPr>
              <w:t>本基金并不提供任何保证。投资者未必能全额收回投资本金。</w:t>
            </w:r>
          </w:p>
        </w:tc>
      </w:tr>
      <w:tr w:rsidR="007F1C9F" w:rsidRPr="007B3988" w:rsidTr="002A490D">
        <w:tc>
          <w:tcPr>
            <w:tcW w:w="9829" w:type="dxa"/>
            <w:gridSpan w:val="2"/>
            <w:tcBorders>
              <w:top w:val="single" w:sz="4" w:space="0" w:color="auto"/>
              <w:left w:val="single" w:sz="4" w:space="0" w:color="auto"/>
              <w:bottom w:val="single" w:sz="4" w:space="0" w:color="auto"/>
              <w:right w:val="single" w:sz="4" w:space="0" w:color="auto"/>
            </w:tcBorders>
            <w:shd w:val="clear" w:color="auto" w:fill="auto"/>
          </w:tcPr>
          <w:p w:rsidR="007F1C9F" w:rsidRPr="007B3988" w:rsidRDefault="007F1C9F" w:rsidP="005F7DCC">
            <w:pPr>
              <w:pStyle w:val="ssPara1"/>
              <w:spacing w:before="60"/>
              <w:rPr>
                <w:rFonts w:eastAsia="PMingLiU" w:cs="Arial"/>
                <w:b/>
                <w:bCs/>
                <w:sz w:val="28"/>
                <w:szCs w:val="28"/>
              </w:rPr>
            </w:pPr>
            <w:r w:rsidRPr="007B3988">
              <w:rPr>
                <w:rFonts w:cs="Arial" w:hint="eastAsia"/>
                <w:b/>
                <w:bCs/>
                <w:sz w:val="28"/>
                <w:szCs w:val="28"/>
              </w:rPr>
              <w:t>本基金涉及哪些收费及费用</w:t>
            </w:r>
            <w:r w:rsidRPr="007B3988">
              <w:rPr>
                <w:rFonts w:cs="Arial"/>
                <w:b/>
                <w:bCs/>
                <w:sz w:val="28"/>
                <w:szCs w:val="28"/>
              </w:rPr>
              <w:t>?</w:t>
            </w:r>
          </w:p>
          <w:p w:rsidR="007F1C9F" w:rsidRPr="007B3988" w:rsidRDefault="007F1C9F" w:rsidP="005F7DCC">
            <w:pPr>
              <w:pStyle w:val="ssPara1"/>
              <w:tabs>
                <w:tab w:val="left" w:pos="1215"/>
              </w:tabs>
              <w:spacing w:before="60"/>
              <w:rPr>
                <w:rFonts w:eastAsia="PMingLiU" w:cs="Arial"/>
                <w:sz w:val="28"/>
                <w:szCs w:val="28"/>
                <w:u w:val="single"/>
              </w:rPr>
            </w:pPr>
            <w:r w:rsidRPr="007B3988">
              <w:rPr>
                <w:rFonts w:cs="Arial" w:hint="eastAsia"/>
                <w:sz w:val="28"/>
                <w:szCs w:val="28"/>
                <w:u w:val="single"/>
              </w:rPr>
              <w:t>投资者或须缴付的收费</w:t>
            </w:r>
          </w:p>
          <w:p w:rsidR="007F1C9F" w:rsidRPr="007B3988" w:rsidRDefault="007F1C9F" w:rsidP="005F7DCC">
            <w:pPr>
              <w:pStyle w:val="ssPara1"/>
              <w:spacing w:before="60"/>
              <w:rPr>
                <w:rFonts w:eastAsia="PMingLiU" w:cs="Arial"/>
                <w:sz w:val="20"/>
                <w:szCs w:val="20"/>
              </w:rPr>
            </w:pPr>
            <w:r w:rsidRPr="007B3988">
              <w:rPr>
                <w:rFonts w:cs="Arial" w:hint="eastAsia"/>
                <w:sz w:val="20"/>
                <w:szCs w:val="20"/>
              </w:rPr>
              <w:t>投资者买卖本基金份额时或须支付以下费用。</w:t>
            </w:r>
          </w:p>
          <w:p w:rsidR="007F1C9F" w:rsidRPr="00F07576" w:rsidRDefault="007F1C9F">
            <w:pPr>
              <w:pStyle w:val="ssPara1"/>
              <w:tabs>
                <w:tab w:val="left" w:pos="4070"/>
              </w:tabs>
              <w:rPr>
                <w:rFonts w:cs="Arial"/>
                <w:b/>
                <w:bCs/>
                <w:sz w:val="20"/>
                <w:szCs w:val="20"/>
              </w:rPr>
            </w:pPr>
            <w:r w:rsidRPr="007B3988">
              <w:rPr>
                <w:rFonts w:cs="Arial" w:hint="eastAsia"/>
                <w:b/>
                <w:bCs/>
                <w:sz w:val="20"/>
                <w:szCs w:val="20"/>
              </w:rPr>
              <w:t>申购费：</w:t>
            </w:r>
            <w:r w:rsidRPr="001D3CC5">
              <w:rPr>
                <w:rFonts w:cs="Arial" w:hint="eastAsia"/>
                <w:bCs/>
                <w:sz w:val="20"/>
                <w:szCs w:val="20"/>
              </w:rPr>
              <w:t>申购金额的</w:t>
            </w:r>
            <w:r w:rsidR="00BE55CE" w:rsidRPr="001D3CC5">
              <w:rPr>
                <w:rFonts w:cs="Arial"/>
                <w:bCs/>
                <w:sz w:val="20"/>
                <w:szCs w:val="20"/>
              </w:rPr>
              <w:t>2</w:t>
            </w:r>
            <w:r w:rsidRPr="001D3CC5">
              <w:rPr>
                <w:rFonts w:cs="Arial"/>
                <w:bCs/>
                <w:sz w:val="20"/>
                <w:szCs w:val="20"/>
              </w:rPr>
              <w:t>%</w:t>
            </w:r>
            <w:r w:rsidRPr="001D3CC5">
              <w:rPr>
                <w:rFonts w:cs="Arial" w:hint="eastAsia"/>
                <w:bCs/>
                <w:sz w:val="20"/>
                <w:szCs w:val="20"/>
              </w:rPr>
              <w:t>。</w:t>
            </w:r>
          </w:p>
          <w:p w:rsidR="007F1C9F" w:rsidRPr="00F07576" w:rsidRDefault="007F1C9F" w:rsidP="005F7DCC">
            <w:pPr>
              <w:pStyle w:val="ssPara1"/>
              <w:tabs>
                <w:tab w:val="left" w:pos="4070"/>
              </w:tabs>
              <w:ind w:leftChars="369" w:left="812"/>
              <w:rPr>
                <w:rFonts w:cs="Arial"/>
                <w:bCs/>
                <w:sz w:val="20"/>
                <w:szCs w:val="20"/>
              </w:rPr>
            </w:pPr>
            <w:r w:rsidRPr="00F07576">
              <w:rPr>
                <w:rFonts w:cs="Arial" w:hint="eastAsia"/>
                <w:bCs/>
                <w:sz w:val="20"/>
                <w:szCs w:val="20"/>
              </w:rPr>
              <w:t>就</w:t>
            </w:r>
            <w:r w:rsidRPr="00F07576">
              <w:rPr>
                <w:rFonts w:cs="Arial"/>
                <w:bCs/>
                <w:sz w:val="20"/>
                <w:szCs w:val="20"/>
              </w:rPr>
              <w:t>PRC</w:t>
            </w:r>
            <w:r w:rsidRPr="00F07576">
              <w:rPr>
                <w:rFonts w:cs="Arial" w:hint="eastAsia"/>
                <w:bCs/>
                <w:sz w:val="20"/>
                <w:szCs w:val="20"/>
              </w:rPr>
              <w:t>类别</w:t>
            </w:r>
            <w:r w:rsidRPr="00F07576">
              <w:rPr>
                <w:rFonts w:cs="Arial"/>
                <w:bCs/>
                <w:sz w:val="20"/>
                <w:szCs w:val="20"/>
              </w:rPr>
              <w:t>A</w:t>
            </w:r>
            <w:r w:rsidRPr="00F07576">
              <w:rPr>
                <w:rFonts w:cs="Arial" w:hint="eastAsia"/>
                <w:bCs/>
                <w:sz w:val="20"/>
                <w:szCs w:val="20"/>
              </w:rPr>
              <w:t>而言，基金管理人有权按申购金额的最高</w:t>
            </w:r>
            <w:r w:rsidRPr="00F07576">
              <w:rPr>
                <w:rFonts w:cs="Arial"/>
                <w:bCs/>
                <w:sz w:val="20"/>
                <w:szCs w:val="20"/>
              </w:rPr>
              <w:t>5%</w:t>
            </w:r>
            <w:r w:rsidRPr="00F07576">
              <w:rPr>
                <w:rFonts w:cs="Arial" w:hint="eastAsia"/>
                <w:bCs/>
                <w:sz w:val="20"/>
                <w:szCs w:val="20"/>
              </w:rPr>
              <w:t>收取申购费；就</w:t>
            </w:r>
            <w:r w:rsidRPr="00F07576">
              <w:rPr>
                <w:rFonts w:cs="Arial"/>
                <w:bCs/>
                <w:sz w:val="20"/>
                <w:szCs w:val="20"/>
              </w:rPr>
              <w:t>PRC</w:t>
            </w:r>
            <w:r w:rsidRPr="00F07576">
              <w:rPr>
                <w:rFonts w:cs="Arial" w:hint="eastAsia"/>
                <w:bCs/>
                <w:sz w:val="20"/>
                <w:szCs w:val="20"/>
              </w:rPr>
              <w:t>类别</w:t>
            </w:r>
            <w:r w:rsidRPr="00F07576">
              <w:rPr>
                <w:rFonts w:cs="Arial"/>
                <w:bCs/>
                <w:sz w:val="20"/>
                <w:szCs w:val="20"/>
              </w:rPr>
              <w:t>I</w:t>
            </w:r>
            <w:r w:rsidRPr="00F07576">
              <w:rPr>
                <w:rFonts w:cs="Arial" w:hint="eastAsia"/>
                <w:bCs/>
                <w:sz w:val="20"/>
                <w:szCs w:val="20"/>
              </w:rPr>
              <w:t>而言，基金管理人有权按申购金额的最高</w:t>
            </w:r>
            <w:r w:rsidRPr="00F07576">
              <w:rPr>
                <w:rFonts w:cs="Arial"/>
                <w:bCs/>
                <w:sz w:val="20"/>
                <w:szCs w:val="20"/>
              </w:rPr>
              <w:t>3%</w:t>
            </w:r>
            <w:r w:rsidRPr="00F07576">
              <w:rPr>
                <w:rFonts w:cs="Arial" w:hint="eastAsia"/>
                <w:bCs/>
                <w:sz w:val="20"/>
                <w:szCs w:val="20"/>
              </w:rPr>
              <w:t>收取申购费。</w:t>
            </w:r>
          </w:p>
          <w:p w:rsidR="007F1C9F" w:rsidRPr="00F07576" w:rsidRDefault="007F1C9F">
            <w:pPr>
              <w:pStyle w:val="ssPara1"/>
              <w:tabs>
                <w:tab w:val="left" w:pos="4070"/>
              </w:tabs>
              <w:rPr>
                <w:rFonts w:cs="Arial"/>
                <w:b/>
                <w:bCs/>
                <w:sz w:val="20"/>
                <w:szCs w:val="20"/>
              </w:rPr>
            </w:pPr>
            <w:r w:rsidRPr="00F07576">
              <w:rPr>
                <w:rFonts w:cs="Arial" w:hint="eastAsia"/>
                <w:b/>
                <w:bCs/>
                <w:sz w:val="20"/>
                <w:szCs w:val="20"/>
              </w:rPr>
              <w:t>赎回费：</w:t>
            </w:r>
            <w:r w:rsidRPr="00F07576">
              <w:rPr>
                <w:rFonts w:cs="Arial" w:hint="eastAsia"/>
                <w:bCs/>
                <w:sz w:val="20"/>
                <w:szCs w:val="20"/>
              </w:rPr>
              <w:t>无。</w:t>
            </w:r>
          </w:p>
          <w:p w:rsidR="007F1C9F" w:rsidRPr="00F07576" w:rsidRDefault="007F1C9F" w:rsidP="00460AC2">
            <w:pPr>
              <w:pStyle w:val="ssPara1"/>
              <w:tabs>
                <w:tab w:val="left" w:pos="4070"/>
              </w:tabs>
              <w:rPr>
                <w:rFonts w:cs="Arial"/>
                <w:bCs/>
                <w:sz w:val="20"/>
                <w:szCs w:val="20"/>
              </w:rPr>
            </w:pPr>
            <w:r w:rsidRPr="00F07576">
              <w:rPr>
                <w:rFonts w:cs="Arial" w:hint="eastAsia"/>
                <w:b/>
                <w:bCs/>
                <w:sz w:val="20"/>
                <w:szCs w:val="20"/>
              </w:rPr>
              <w:t>转换费：</w:t>
            </w:r>
            <w:r w:rsidR="002A3F86" w:rsidRPr="00F07576">
              <w:rPr>
                <w:rFonts w:cs="Arial" w:hint="eastAsia"/>
                <w:bCs/>
                <w:sz w:val="20"/>
                <w:szCs w:val="20"/>
              </w:rPr>
              <w:t>不适用</w:t>
            </w:r>
            <w:r w:rsidRPr="00F07576">
              <w:rPr>
                <w:rFonts w:cs="Arial" w:hint="eastAsia"/>
                <w:bCs/>
                <w:sz w:val="20"/>
                <w:szCs w:val="20"/>
              </w:rPr>
              <w:t>。</w:t>
            </w:r>
          </w:p>
          <w:p w:rsidR="002A3F86" w:rsidRPr="00F07576" w:rsidRDefault="002A3F86" w:rsidP="005F7DCC">
            <w:pPr>
              <w:pStyle w:val="ssPara1"/>
              <w:tabs>
                <w:tab w:val="left" w:pos="4070"/>
              </w:tabs>
              <w:ind w:leftChars="369" w:left="812"/>
              <w:rPr>
                <w:rFonts w:cs="Arial"/>
                <w:bCs/>
                <w:sz w:val="20"/>
                <w:szCs w:val="20"/>
              </w:rPr>
            </w:pPr>
            <w:r w:rsidRPr="00F07576">
              <w:rPr>
                <w:rFonts w:cs="Arial" w:hint="eastAsia"/>
                <w:bCs/>
                <w:sz w:val="20"/>
                <w:szCs w:val="20"/>
              </w:rPr>
              <w:t>本基金现时暂不开通内地份额的转换业务，此费用项目不适用。</w:t>
            </w:r>
          </w:p>
          <w:p w:rsidR="007F1C9F" w:rsidRPr="00F07576" w:rsidRDefault="007F1C9F" w:rsidP="005F7DCC">
            <w:pPr>
              <w:pStyle w:val="ssPara1"/>
              <w:tabs>
                <w:tab w:val="left" w:pos="3410"/>
              </w:tabs>
              <w:spacing w:before="60"/>
              <w:ind w:left="4508" w:hanging="4508"/>
              <w:jc w:val="left"/>
              <w:rPr>
                <w:rFonts w:eastAsia="PMingLiU" w:cs="Arial"/>
                <w:sz w:val="28"/>
                <w:szCs w:val="28"/>
                <w:u w:val="single"/>
              </w:rPr>
            </w:pPr>
            <w:r w:rsidRPr="00F07576">
              <w:rPr>
                <w:rFonts w:cs="Arial" w:hint="eastAsia"/>
                <w:sz w:val="28"/>
                <w:szCs w:val="28"/>
                <w:u w:val="single"/>
              </w:rPr>
              <w:t>本基金须持续缴付的费用</w:t>
            </w:r>
          </w:p>
          <w:p w:rsidR="007F1C9F" w:rsidRPr="00F07576" w:rsidRDefault="007F1C9F" w:rsidP="005F7DCC">
            <w:pPr>
              <w:pStyle w:val="ssPara1"/>
              <w:tabs>
                <w:tab w:val="left" w:pos="3410"/>
              </w:tabs>
              <w:spacing w:before="60"/>
              <w:rPr>
                <w:rFonts w:eastAsia="PMingLiU" w:cs="Arial"/>
                <w:sz w:val="20"/>
                <w:szCs w:val="20"/>
              </w:rPr>
            </w:pPr>
            <w:r w:rsidRPr="00F07576">
              <w:rPr>
                <w:rFonts w:cs="Arial" w:hint="eastAsia"/>
                <w:sz w:val="20"/>
                <w:szCs w:val="20"/>
              </w:rPr>
              <w:t>以下费用将从本基金拨付。有关收费会减少投资者的投资回报，从而对投资者构成影响。</w:t>
            </w:r>
          </w:p>
          <w:p w:rsidR="007F1C9F" w:rsidRPr="00F07576" w:rsidRDefault="007F1C9F" w:rsidP="007713C9">
            <w:pPr>
              <w:pStyle w:val="ssPara1"/>
              <w:tabs>
                <w:tab w:val="left" w:pos="4070"/>
              </w:tabs>
              <w:spacing w:after="0"/>
              <w:jc w:val="center"/>
              <w:rPr>
                <w:rFonts w:cs="Arial"/>
                <w:b/>
                <w:bCs/>
              </w:rPr>
            </w:pPr>
            <w:r w:rsidRPr="00F07576">
              <w:rPr>
                <w:rFonts w:cs="Arial" w:hint="eastAsia"/>
                <w:b/>
                <w:bCs/>
              </w:rPr>
              <w:t>年度费率</w:t>
            </w:r>
            <w:r w:rsidRPr="00F07576">
              <w:rPr>
                <w:rFonts w:cs="Arial"/>
                <w:b/>
                <w:bCs/>
              </w:rPr>
              <w:t xml:space="preserve"> (</w:t>
            </w:r>
            <w:r w:rsidRPr="00F07576">
              <w:rPr>
                <w:rFonts w:cs="Arial" w:hint="eastAsia"/>
                <w:b/>
                <w:bCs/>
              </w:rPr>
              <w:t>占相关份额类别的资产净值的百分比</w:t>
            </w:r>
            <w:r w:rsidRPr="00F07576">
              <w:rPr>
                <w:rFonts w:cs="Arial"/>
                <w:b/>
                <w:bCs/>
              </w:rPr>
              <w:t>)</w:t>
            </w:r>
          </w:p>
          <w:p w:rsidR="005B558E" w:rsidRPr="00F07576" w:rsidRDefault="005B558E" w:rsidP="007713C9">
            <w:pPr>
              <w:pStyle w:val="ssPara1"/>
              <w:tabs>
                <w:tab w:val="left" w:pos="4070"/>
              </w:tabs>
              <w:spacing w:after="0"/>
              <w:jc w:val="center"/>
              <w:rPr>
                <w:rFonts w:eastAsia="PMingLiU" w:cs="Arial"/>
                <w:b/>
                <w:bCs/>
              </w:rPr>
            </w:pPr>
          </w:p>
          <w:tbl>
            <w:tblPr>
              <w:tblStyle w:val="a3"/>
              <w:tblW w:w="0" w:type="auto"/>
              <w:tblLayout w:type="fixed"/>
              <w:tblLook w:val="04A0"/>
            </w:tblPr>
            <w:tblGrid>
              <w:gridCol w:w="1922"/>
              <w:gridCol w:w="1922"/>
              <w:gridCol w:w="1922"/>
              <w:gridCol w:w="1923"/>
              <w:gridCol w:w="1923"/>
            </w:tblGrid>
            <w:tr w:rsidR="007F1C9F" w:rsidRPr="00F07576" w:rsidTr="00E36F1F">
              <w:tc>
                <w:tcPr>
                  <w:tcW w:w="1922" w:type="dxa"/>
                </w:tcPr>
                <w:p w:rsidR="007F1C9F" w:rsidRPr="00F07576" w:rsidRDefault="007F1C9F" w:rsidP="00E36F1F">
                  <w:pPr>
                    <w:keepNext/>
                    <w:widowControl w:val="0"/>
                    <w:autoSpaceDE w:val="0"/>
                    <w:autoSpaceDN w:val="0"/>
                    <w:adjustRightInd w:val="0"/>
                    <w:spacing w:after="240" w:line="240" w:lineRule="exact"/>
                    <w:rPr>
                      <w:rFonts w:eastAsiaTheme="minorEastAsia" w:cs="Arial"/>
                      <w:i/>
                      <w:sz w:val="20"/>
                      <w:szCs w:val="20"/>
                      <w:lang w:val="en-US"/>
                    </w:rPr>
                  </w:pPr>
                </w:p>
              </w:tc>
              <w:tc>
                <w:tcPr>
                  <w:tcW w:w="1922" w:type="dxa"/>
                </w:tcPr>
                <w:p w:rsidR="007F1C9F" w:rsidRPr="00F07576" w:rsidRDefault="007F1C9F" w:rsidP="00E36F1F">
                  <w:pPr>
                    <w:keepNext/>
                    <w:widowControl w:val="0"/>
                    <w:autoSpaceDE w:val="0"/>
                    <w:autoSpaceDN w:val="0"/>
                    <w:adjustRightInd w:val="0"/>
                    <w:spacing w:after="240" w:line="240" w:lineRule="exact"/>
                    <w:rPr>
                      <w:rFonts w:eastAsia="PMingLiU" w:cs="Arial"/>
                      <w:b/>
                      <w:sz w:val="20"/>
                      <w:szCs w:val="20"/>
                      <w:u w:val="single"/>
                      <w:lang w:val="en-US" w:eastAsia="zh-TW"/>
                    </w:rPr>
                  </w:pPr>
                  <w:r w:rsidRPr="00F07576">
                    <w:rPr>
                      <w:rFonts w:cs="PMingLiU"/>
                      <w:b/>
                      <w:sz w:val="20"/>
                      <w:szCs w:val="20"/>
                      <w:u w:val="single"/>
                    </w:rPr>
                    <w:t>PRC</w:t>
                  </w:r>
                  <w:r w:rsidRPr="00F07576">
                    <w:rPr>
                      <w:rFonts w:cs="PMingLiU" w:hint="eastAsia"/>
                      <w:b/>
                      <w:sz w:val="20"/>
                      <w:szCs w:val="20"/>
                      <w:u w:val="single"/>
                    </w:rPr>
                    <w:t>类别</w:t>
                  </w:r>
                  <w:r w:rsidRPr="00F07576">
                    <w:rPr>
                      <w:rFonts w:cs="PMingLiU"/>
                      <w:b/>
                      <w:sz w:val="20"/>
                      <w:szCs w:val="20"/>
                      <w:u w:val="single"/>
                    </w:rPr>
                    <w:t>A</w:t>
                  </w:r>
                  <w:r w:rsidRPr="00F07576">
                    <w:rPr>
                      <w:rFonts w:cs="PMingLiU" w:hint="eastAsia"/>
                      <w:b/>
                      <w:sz w:val="20"/>
                      <w:szCs w:val="20"/>
                      <w:u w:val="single"/>
                    </w:rPr>
                    <w:t>美元</w:t>
                  </w:r>
                </w:p>
              </w:tc>
              <w:tc>
                <w:tcPr>
                  <w:tcW w:w="1922" w:type="dxa"/>
                </w:tcPr>
                <w:p w:rsidR="007F1C9F" w:rsidRPr="00F07576" w:rsidRDefault="007F1C9F" w:rsidP="003C55E8">
                  <w:pPr>
                    <w:keepNext/>
                    <w:widowControl w:val="0"/>
                    <w:autoSpaceDE w:val="0"/>
                    <w:autoSpaceDN w:val="0"/>
                    <w:adjustRightInd w:val="0"/>
                    <w:spacing w:after="240" w:line="240" w:lineRule="exact"/>
                    <w:rPr>
                      <w:rFonts w:eastAsia="PMingLiU" w:cs="Arial"/>
                      <w:b/>
                      <w:sz w:val="20"/>
                      <w:szCs w:val="20"/>
                      <w:u w:val="single"/>
                      <w:lang w:val="en-US" w:eastAsia="zh-TW"/>
                    </w:rPr>
                  </w:pPr>
                  <w:r w:rsidRPr="00F07576">
                    <w:rPr>
                      <w:rFonts w:cs="PMingLiU"/>
                      <w:b/>
                      <w:sz w:val="20"/>
                      <w:szCs w:val="20"/>
                      <w:u w:val="single"/>
                    </w:rPr>
                    <w:t>PRC</w:t>
                  </w:r>
                  <w:r w:rsidRPr="00F07576">
                    <w:rPr>
                      <w:rFonts w:cs="PMingLiU" w:hint="eastAsia"/>
                      <w:b/>
                      <w:sz w:val="20"/>
                      <w:szCs w:val="20"/>
                      <w:u w:val="single"/>
                    </w:rPr>
                    <w:t>类别</w:t>
                  </w:r>
                  <w:r w:rsidRPr="00F07576">
                    <w:rPr>
                      <w:rFonts w:cs="PMingLiU"/>
                      <w:b/>
                      <w:sz w:val="20"/>
                      <w:szCs w:val="20"/>
                      <w:u w:val="single"/>
                    </w:rPr>
                    <w:t>A</w:t>
                  </w:r>
                  <w:r w:rsidRPr="00F07576">
                    <w:rPr>
                      <w:rFonts w:cs="PMingLiU" w:hint="eastAsia"/>
                      <w:b/>
                      <w:sz w:val="20"/>
                      <w:szCs w:val="20"/>
                      <w:u w:val="single"/>
                    </w:rPr>
                    <w:t>人民币</w:t>
                  </w:r>
                </w:p>
              </w:tc>
              <w:tc>
                <w:tcPr>
                  <w:tcW w:w="1923" w:type="dxa"/>
                </w:tcPr>
                <w:p w:rsidR="007F1C9F" w:rsidRPr="00F07576" w:rsidRDefault="007F1C9F" w:rsidP="00E36F1F">
                  <w:pPr>
                    <w:keepNext/>
                    <w:widowControl w:val="0"/>
                    <w:autoSpaceDE w:val="0"/>
                    <w:autoSpaceDN w:val="0"/>
                    <w:adjustRightInd w:val="0"/>
                    <w:spacing w:after="240" w:line="240" w:lineRule="exact"/>
                    <w:rPr>
                      <w:rFonts w:eastAsia="PMingLiU" w:cs="Arial"/>
                      <w:sz w:val="20"/>
                      <w:szCs w:val="20"/>
                      <w:lang w:val="en-US" w:eastAsia="zh-TW"/>
                    </w:rPr>
                  </w:pPr>
                  <w:r w:rsidRPr="00F07576">
                    <w:rPr>
                      <w:rFonts w:cs="PMingLiU"/>
                      <w:b/>
                      <w:sz w:val="20"/>
                      <w:szCs w:val="20"/>
                      <w:u w:val="single"/>
                    </w:rPr>
                    <w:t>PRC</w:t>
                  </w:r>
                  <w:r w:rsidRPr="00F07576">
                    <w:rPr>
                      <w:rFonts w:cs="PMingLiU" w:hint="eastAsia"/>
                      <w:b/>
                      <w:sz w:val="20"/>
                      <w:szCs w:val="20"/>
                      <w:u w:val="single"/>
                    </w:rPr>
                    <w:t>类别</w:t>
                  </w:r>
                  <w:r w:rsidRPr="00F07576">
                    <w:rPr>
                      <w:rFonts w:cs="PMingLiU"/>
                      <w:b/>
                      <w:sz w:val="20"/>
                      <w:szCs w:val="20"/>
                      <w:u w:val="single"/>
                    </w:rPr>
                    <w:t>I</w:t>
                  </w:r>
                  <w:r w:rsidRPr="00F07576">
                    <w:rPr>
                      <w:rFonts w:cs="PMingLiU" w:hint="eastAsia"/>
                      <w:b/>
                      <w:sz w:val="20"/>
                      <w:szCs w:val="20"/>
                      <w:u w:val="single"/>
                    </w:rPr>
                    <w:t>美元</w:t>
                  </w:r>
                </w:p>
              </w:tc>
              <w:tc>
                <w:tcPr>
                  <w:tcW w:w="1923" w:type="dxa"/>
                </w:tcPr>
                <w:p w:rsidR="007F1C9F" w:rsidRPr="00F07576" w:rsidRDefault="007F1C9F" w:rsidP="003C55E8">
                  <w:pPr>
                    <w:keepNext/>
                    <w:widowControl w:val="0"/>
                    <w:autoSpaceDE w:val="0"/>
                    <w:autoSpaceDN w:val="0"/>
                    <w:adjustRightInd w:val="0"/>
                    <w:spacing w:after="240" w:line="240" w:lineRule="exact"/>
                    <w:rPr>
                      <w:rFonts w:eastAsia="PMingLiU" w:cs="Arial"/>
                      <w:sz w:val="20"/>
                      <w:szCs w:val="20"/>
                      <w:lang w:val="en-US" w:eastAsia="zh-TW"/>
                    </w:rPr>
                  </w:pPr>
                  <w:r w:rsidRPr="00F07576">
                    <w:rPr>
                      <w:rFonts w:cs="PMingLiU"/>
                      <w:b/>
                      <w:sz w:val="20"/>
                      <w:szCs w:val="20"/>
                      <w:u w:val="single"/>
                    </w:rPr>
                    <w:t>PRC</w:t>
                  </w:r>
                  <w:r w:rsidRPr="00F07576">
                    <w:rPr>
                      <w:rFonts w:cs="PMingLiU" w:hint="eastAsia"/>
                      <w:b/>
                      <w:sz w:val="20"/>
                      <w:szCs w:val="20"/>
                      <w:u w:val="single"/>
                    </w:rPr>
                    <w:t>类别</w:t>
                  </w:r>
                  <w:r w:rsidRPr="00F07576">
                    <w:rPr>
                      <w:rFonts w:cs="PMingLiU"/>
                      <w:b/>
                      <w:sz w:val="20"/>
                      <w:szCs w:val="20"/>
                      <w:u w:val="single"/>
                    </w:rPr>
                    <w:t>I</w:t>
                  </w:r>
                  <w:r w:rsidRPr="00F07576">
                    <w:rPr>
                      <w:rFonts w:cs="PMingLiU" w:hint="eastAsia"/>
                      <w:b/>
                      <w:sz w:val="20"/>
                      <w:szCs w:val="20"/>
                      <w:u w:val="single"/>
                    </w:rPr>
                    <w:t>人民币</w:t>
                  </w:r>
                </w:p>
              </w:tc>
            </w:tr>
            <w:tr w:rsidR="007F1C9F" w:rsidRPr="007B3988" w:rsidTr="00E36F1F">
              <w:tc>
                <w:tcPr>
                  <w:tcW w:w="1922" w:type="dxa"/>
                </w:tcPr>
                <w:p w:rsidR="007F1C9F" w:rsidRPr="00F07576" w:rsidRDefault="007F1C9F" w:rsidP="00534B4B">
                  <w:pPr>
                    <w:autoSpaceDE w:val="0"/>
                    <w:autoSpaceDN w:val="0"/>
                    <w:adjustRightInd w:val="0"/>
                    <w:jc w:val="left"/>
                    <w:rPr>
                      <w:rFonts w:eastAsia="PMingLiU" w:cs="PMingLiU"/>
                      <w:sz w:val="20"/>
                      <w:szCs w:val="20"/>
                    </w:rPr>
                  </w:pPr>
                  <w:r w:rsidRPr="00F07576">
                    <w:rPr>
                      <w:rFonts w:cs="PMingLiU" w:hint="eastAsia"/>
                      <w:sz w:val="20"/>
                      <w:szCs w:val="20"/>
                    </w:rPr>
                    <w:t>管理费</w:t>
                  </w:r>
                  <w:r w:rsidRPr="00F07576">
                    <w:rPr>
                      <w:rFonts w:cs="PMingLiU"/>
                      <w:sz w:val="20"/>
                      <w:szCs w:val="20"/>
                      <w:lang w:val="en-US"/>
                    </w:rPr>
                    <w:t>(</w:t>
                  </w:r>
                  <w:r w:rsidRPr="00F07576">
                    <w:rPr>
                      <w:rFonts w:cs="PMingLiU" w:hint="eastAsia"/>
                      <w:sz w:val="20"/>
                      <w:szCs w:val="20"/>
                    </w:rPr>
                    <w:t>包含应付次管理人费用</w:t>
                  </w:r>
                  <w:r w:rsidRPr="00F07576">
                    <w:rPr>
                      <w:rFonts w:cs="Arial"/>
                      <w:bCs/>
                      <w:sz w:val="20"/>
                      <w:szCs w:val="20"/>
                    </w:rPr>
                    <w:t>)</w:t>
                  </w:r>
                </w:p>
              </w:tc>
              <w:tc>
                <w:tcPr>
                  <w:tcW w:w="1922" w:type="dxa"/>
                </w:tcPr>
                <w:p w:rsidR="007F1C9F" w:rsidRPr="00F07576" w:rsidRDefault="007F1C9F" w:rsidP="00BA22BC">
                  <w:pPr>
                    <w:keepNext/>
                    <w:widowControl w:val="0"/>
                    <w:autoSpaceDE w:val="0"/>
                    <w:autoSpaceDN w:val="0"/>
                    <w:adjustRightInd w:val="0"/>
                    <w:spacing w:after="240" w:line="240" w:lineRule="exact"/>
                    <w:rPr>
                      <w:rFonts w:eastAsia="PMingLiU" w:cs="Arial"/>
                      <w:sz w:val="20"/>
                      <w:szCs w:val="20"/>
                      <w:lang w:val="en-US"/>
                    </w:rPr>
                  </w:pPr>
                  <w:r w:rsidRPr="001D3CC5">
                    <w:rPr>
                      <w:sz w:val="20"/>
                      <w:szCs w:val="20"/>
                    </w:rPr>
                    <w:t>1.</w:t>
                  </w:r>
                  <w:r w:rsidR="00BA22BC" w:rsidRPr="001D3CC5">
                    <w:rPr>
                      <w:sz w:val="20"/>
                      <w:szCs w:val="20"/>
                    </w:rPr>
                    <w:t>00</w:t>
                  </w:r>
                  <w:r w:rsidRPr="001D3CC5">
                    <w:rPr>
                      <w:sz w:val="20"/>
                      <w:szCs w:val="20"/>
                    </w:rPr>
                    <w:t>%*</w:t>
                  </w:r>
                </w:p>
              </w:tc>
              <w:tc>
                <w:tcPr>
                  <w:tcW w:w="1922" w:type="dxa"/>
                </w:tcPr>
                <w:p w:rsidR="007F1C9F" w:rsidRPr="00F07576" w:rsidRDefault="007F1C9F" w:rsidP="00BA22BC">
                  <w:pPr>
                    <w:keepNext/>
                    <w:widowControl w:val="0"/>
                    <w:autoSpaceDE w:val="0"/>
                    <w:autoSpaceDN w:val="0"/>
                    <w:adjustRightInd w:val="0"/>
                    <w:spacing w:after="240" w:line="240" w:lineRule="exact"/>
                    <w:rPr>
                      <w:rFonts w:eastAsia="PMingLiU" w:cs="Arial"/>
                      <w:sz w:val="20"/>
                      <w:szCs w:val="20"/>
                      <w:lang w:val="en-US"/>
                    </w:rPr>
                  </w:pPr>
                  <w:r w:rsidRPr="001D3CC5">
                    <w:rPr>
                      <w:sz w:val="20"/>
                      <w:szCs w:val="20"/>
                    </w:rPr>
                    <w:t>1.</w:t>
                  </w:r>
                  <w:r w:rsidR="00BA22BC" w:rsidRPr="001D3CC5">
                    <w:rPr>
                      <w:sz w:val="20"/>
                      <w:szCs w:val="20"/>
                    </w:rPr>
                    <w:t>00</w:t>
                  </w:r>
                  <w:r w:rsidRPr="001D3CC5">
                    <w:rPr>
                      <w:sz w:val="20"/>
                      <w:szCs w:val="20"/>
                    </w:rPr>
                    <w:t>%*</w:t>
                  </w:r>
                </w:p>
              </w:tc>
              <w:tc>
                <w:tcPr>
                  <w:tcW w:w="1923" w:type="dxa"/>
                </w:tcPr>
                <w:p w:rsidR="007F1C9F" w:rsidRPr="00F07576" w:rsidRDefault="007F1C9F" w:rsidP="00E36F1F">
                  <w:pPr>
                    <w:keepNext/>
                    <w:widowControl w:val="0"/>
                    <w:autoSpaceDE w:val="0"/>
                    <w:autoSpaceDN w:val="0"/>
                    <w:adjustRightInd w:val="0"/>
                    <w:spacing w:after="240" w:line="240" w:lineRule="exact"/>
                    <w:rPr>
                      <w:rFonts w:eastAsia="PMingLiU" w:cs="Arial"/>
                      <w:sz w:val="20"/>
                      <w:szCs w:val="20"/>
                      <w:lang w:val="en-US"/>
                    </w:rPr>
                  </w:pPr>
                  <w:r w:rsidRPr="00F07576">
                    <w:rPr>
                      <w:sz w:val="20"/>
                      <w:szCs w:val="20"/>
                    </w:rPr>
                    <w:t>0.75%*</w:t>
                  </w:r>
                </w:p>
              </w:tc>
              <w:tc>
                <w:tcPr>
                  <w:tcW w:w="1923" w:type="dxa"/>
                </w:tcPr>
                <w:p w:rsidR="007F1C9F" w:rsidRPr="007B3988" w:rsidRDefault="007F1C9F" w:rsidP="00E36F1F">
                  <w:pPr>
                    <w:keepNext/>
                    <w:widowControl w:val="0"/>
                    <w:autoSpaceDE w:val="0"/>
                    <w:autoSpaceDN w:val="0"/>
                    <w:adjustRightInd w:val="0"/>
                    <w:spacing w:after="240" w:line="240" w:lineRule="exact"/>
                    <w:rPr>
                      <w:rFonts w:eastAsia="PMingLiU" w:cs="Arial"/>
                      <w:sz w:val="20"/>
                      <w:szCs w:val="20"/>
                      <w:lang w:val="en-US"/>
                    </w:rPr>
                  </w:pPr>
                  <w:r w:rsidRPr="00F07576">
                    <w:rPr>
                      <w:sz w:val="20"/>
                      <w:szCs w:val="20"/>
                    </w:rPr>
                    <w:t>0.75%*</w:t>
                  </w:r>
                </w:p>
              </w:tc>
            </w:tr>
            <w:tr w:rsidR="007F1C9F" w:rsidRPr="007B3988" w:rsidTr="00E36F1F">
              <w:tc>
                <w:tcPr>
                  <w:tcW w:w="1922" w:type="dxa"/>
                </w:tcPr>
                <w:p w:rsidR="007F1C9F" w:rsidRPr="007B3988" w:rsidRDefault="007F1C9F" w:rsidP="00E36F1F">
                  <w:pPr>
                    <w:keepNext/>
                    <w:widowControl w:val="0"/>
                    <w:autoSpaceDE w:val="0"/>
                    <w:autoSpaceDN w:val="0"/>
                    <w:adjustRightInd w:val="0"/>
                    <w:spacing w:after="240" w:line="240" w:lineRule="exact"/>
                    <w:rPr>
                      <w:rFonts w:eastAsia="PMingLiU" w:cs="Arial"/>
                      <w:sz w:val="20"/>
                      <w:szCs w:val="20"/>
                      <w:lang w:val="en-US"/>
                    </w:rPr>
                  </w:pPr>
                  <w:r w:rsidRPr="007B3988">
                    <w:rPr>
                      <w:rFonts w:cs="PMingLiU"/>
                      <w:sz w:val="20"/>
                      <w:szCs w:val="20"/>
                    </w:rPr>
                    <w:t>业绩</w:t>
                  </w:r>
                  <w:r w:rsidRPr="007B3988">
                    <w:rPr>
                      <w:rFonts w:cs="PMingLiU" w:hint="eastAsia"/>
                      <w:sz w:val="20"/>
                      <w:szCs w:val="20"/>
                    </w:rPr>
                    <w:t>表现费</w:t>
                  </w:r>
                </w:p>
              </w:tc>
              <w:tc>
                <w:tcPr>
                  <w:tcW w:w="1922" w:type="dxa"/>
                </w:tcPr>
                <w:p w:rsidR="007F1C9F" w:rsidRPr="007B3988" w:rsidRDefault="007F1C9F" w:rsidP="00E36F1F">
                  <w:pPr>
                    <w:rPr>
                      <w:sz w:val="20"/>
                      <w:szCs w:val="20"/>
                    </w:rPr>
                  </w:pPr>
                  <w:r w:rsidRPr="007B3988">
                    <w:rPr>
                      <w:rFonts w:hint="eastAsia"/>
                      <w:sz w:val="20"/>
                      <w:szCs w:val="20"/>
                    </w:rPr>
                    <w:t>无</w:t>
                  </w:r>
                </w:p>
              </w:tc>
              <w:tc>
                <w:tcPr>
                  <w:tcW w:w="1922" w:type="dxa"/>
                </w:tcPr>
                <w:p w:rsidR="007F1C9F" w:rsidRPr="007B3988" w:rsidRDefault="007F1C9F" w:rsidP="00E36F1F">
                  <w:pPr>
                    <w:rPr>
                      <w:sz w:val="20"/>
                      <w:szCs w:val="20"/>
                    </w:rPr>
                  </w:pPr>
                  <w:r w:rsidRPr="007B3988">
                    <w:rPr>
                      <w:rFonts w:hint="eastAsia"/>
                      <w:sz w:val="20"/>
                      <w:szCs w:val="20"/>
                    </w:rPr>
                    <w:t>无</w:t>
                  </w:r>
                </w:p>
              </w:tc>
              <w:tc>
                <w:tcPr>
                  <w:tcW w:w="1923" w:type="dxa"/>
                </w:tcPr>
                <w:p w:rsidR="007F1C9F" w:rsidRPr="007B3988" w:rsidRDefault="007F1C9F" w:rsidP="00E36F1F">
                  <w:pPr>
                    <w:rPr>
                      <w:sz w:val="20"/>
                      <w:szCs w:val="20"/>
                    </w:rPr>
                  </w:pPr>
                  <w:r w:rsidRPr="007B3988">
                    <w:rPr>
                      <w:rFonts w:hint="eastAsia"/>
                      <w:sz w:val="20"/>
                      <w:szCs w:val="20"/>
                    </w:rPr>
                    <w:t>无</w:t>
                  </w:r>
                </w:p>
              </w:tc>
              <w:tc>
                <w:tcPr>
                  <w:tcW w:w="1923" w:type="dxa"/>
                </w:tcPr>
                <w:p w:rsidR="007F1C9F" w:rsidRPr="007B3988" w:rsidRDefault="007F1C9F" w:rsidP="00E36F1F">
                  <w:pPr>
                    <w:rPr>
                      <w:sz w:val="20"/>
                      <w:szCs w:val="20"/>
                    </w:rPr>
                  </w:pPr>
                  <w:r w:rsidRPr="007B3988">
                    <w:rPr>
                      <w:rFonts w:hint="eastAsia"/>
                      <w:sz w:val="20"/>
                      <w:szCs w:val="20"/>
                    </w:rPr>
                    <w:t>无</w:t>
                  </w:r>
                </w:p>
              </w:tc>
            </w:tr>
            <w:tr w:rsidR="007F1C9F" w:rsidRPr="007B3988" w:rsidTr="00E36F1F">
              <w:tc>
                <w:tcPr>
                  <w:tcW w:w="1922" w:type="dxa"/>
                </w:tcPr>
                <w:p w:rsidR="007F1C9F" w:rsidRPr="007B3988" w:rsidRDefault="007F1C9F" w:rsidP="00E36F1F">
                  <w:pPr>
                    <w:keepNext/>
                    <w:widowControl w:val="0"/>
                    <w:autoSpaceDE w:val="0"/>
                    <w:autoSpaceDN w:val="0"/>
                    <w:adjustRightInd w:val="0"/>
                    <w:spacing w:after="240" w:line="240" w:lineRule="exact"/>
                    <w:rPr>
                      <w:rFonts w:eastAsia="PMingLiU" w:cs="PMingLiU"/>
                      <w:sz w:val="20"/>
                      <w:szCs w:val="20"/>
                    </w:rPr>
                  </w:pPr>
                  <w:r w:rsidRPr="007B3988">
                    <w:rPr>
                      <w:rFonts w:cs="PMingLiU" w:hint="eastAsia"/>
                      <w:sz w:val="20"/>
                      <w:szCs w:val="20"/>
                    </w:rPr>
                    <w:t>受托人费用</w:t>
                  </w:r>
                </w:p>
              </w:tc>
              <w:tc>
                <w:tcPr>
                  <w:tcW w:w="1922" w:type="dxa"/>
                </w:tcPr>
                <w:p w:rsidR="007F1C9F" w:rsidRPr="007B3988" w:rsidRDefault="007F1C9F" w:rsidP="00E36F1F">
                  <w:pPr>
                    <w:keepNext/>
                    <w:widowControl w:val="0"/>
                    <w:autoSpaceDE w:val="0"/>
                    <w:autoSpaceDN w:val="0"/>
                    <w:adjustRightInd w:val="0"/>
                    <w:spacing w:after="240" w:line="240" w:lineRule="exact"/>
                    <w:rPr>
                      <w:rFonts w:eastAsia="PMingLiU" w:cs="Arial"/>
                      <w:sz w:val="20"/>
                      <w:szCs w:val="20"/>
                      <w:lang w:val="en-US"/>
                    </w:rPr>
                  </w:pPr>
                  <w:r w:rsidRPr="007B3988">
                    <w:rPr>
                      <w:rFonts w:cs="PMingLiU" w:hint="eastAsia"/>
                      <w:sz w:val="20"/>
                      <w:szCs w:val="20"/>
                    </w:rPr>
                    <w:t>不高于</w:t>
                  </w:r>
                  <w:r w:rsidRPr="007B3988">
                    <w:rPr>
                      <w:sz w:val="20"/>
                      <w:szCs w:val="20"/>
                    </w:rPr>
                    <w:t>0.16%*</w:t>
                  </w:r>
                </w:p>
              </w:tc>
              <w:tc>
                <w:tcPr>
                  <w:tcW w:w="1922" w:type="dxa"/>
                </w:tcPr>
                <w:p w:rsidR="007F1C9F" w:rsidRPr="007B3988" w:rsidRDefault="007F1C9F">
                  <w:pPr>
                    <w:rPr>
                      <w:sz w:val="20"/>
                      <w:szCs w:val="20"/>
                    </w:rPr>
                  </w:pPr>
                  <w:r w:rsidRPr="007B3988">
                    <w:rPr>
                      <w:rFonts w:cs="PMingLiU" w:hint="eastAsia"/>
                      <w:sz w:val="20"/>
                      <w:szCs w:val="20"/>
                    </w:rPr>
                    <w:t>不高于</w:t>
                  </w:r>
                  <w:r w:rsidRPr="007B3988">
                    <w:rPr>
                      <w:sz w:val="20"/>
                      <w:szCs w:val="20"/>
                    </w:rPr>
                    <w:t>0.16%*</w:t>
                  </w:r>
                </w:p>
              </w:tc>
              <w:tc>
                <w:tcPr>
                  <w:tcW w:w="1923" w:type="dxa"/>
                </w:tcPr>
                <w:p w:rsidR="007F1C9F" w:rsidRPr="007B3988" w:rsidRDefault="007F1C9F">
                  <w:pPr>
                    <w:rPr>
                      <w:sz w:val="20"/>
                      <w:szCs w:val="20"/>
                    </w:rPr>
                  </w:pPr>
                  <w:r w:rsidRPr="007B3988">
                    <w:rPr>
                      <w:rFonts w:cs="PMingLiU" w:hint="eastAsia"/>
                      <w:sz w:val="20"/>
                      <w:szCs w:val="20"/>
                    </w:rPr>
                    <w:t>不高于</w:t>
                  </w:r>
                  <w:r w:rsidRPr="007B3988">
                    <w:rPr>
                      <w:sz w:val="20"/>
                      <w:szCs w:val="20"/>
                    </w:rPr>
                    <w:t>0.16%*</w:t>
                  </w:r>
                </w:p>
              </w:tc>
              <w:tc>
                <w:tcPr>
                  <w:tcW w:w="1923" w:type="dxa"/>
                </w:tcPr>
                <w:p w:rsidR="007F1C9F" w:rsidRPr="007B3988" w:rsidRDefault="007F1C9F">
                  <w:pPr>
                    <w:rPr>
                      <w:sz w:val="20"/>
                      <w:szCs w:val="20"/>
                    </w:rPr>
                  </w:pPr>
                  <w:r w:rsidRPr="007B3988">
                    <w:rPr>
                      <w:rFonts w:cs="PMingLiU" w:hint="eastAsia"/>
                      <w:sz w:val="20"/>
                      <w:szCs w:val="20"/>
                    </w:rPr>
                    <w:t>不高于</w:t>
                  </w:r>
                  <w:r w:rsidRPr="007B3988">
                    <w:rPr>
                      <w:sz w:val="20"/>
                      <w:szCs w:val="20"/>
                    </w:rPr>
                    <w:t>0.16%*</w:t>
                  </w:r>
                </w:p>
              </w:tc>
            </w:tr>
          </w:tbl>
          <w:p w:rsidR="007F1C9F" w:rsidRPr="007B3988" w:rsidRDefault="007F1C9F" w:rsidP="00336D9F">
            <w:pPr>
              <w:pStyle w:val="ssPara1"/>
              <w:tabs>
                <w:tab w:val="left" w:pos="3410"/>
              </w:tabs>
              <w:spacing w:before="60"/>
              <w:ind w:left="4508" w:hanging="4508"/>
              <w:jc w:val="left"/>
              <w:rPr>
                <w:rFonts w:eastAsia="PMingLiU" w:cs="Arial"/>
                <w:sz w:val="28"/>
                <w:szCs w:val="28"/>
                <w:u w:val="single"/>
              </w:rPr>
            </w:pPr>
            <w:r w:rsidRPr="007B3988">
              <w:rPr>
                <w:rFonts w:cs="Arial" w:hint="eastAsia"/>
                <w:sz w:val="28"/>
                <w:szCs w:val="28"/>
                <w:u w:val="single"/>
              </w:rPr>
              <w:lastRenderedPageBreak/>
              <w:t>其他费用</w:t>
            </w:r>
          </w:p>
          <w:p w:rsidR="007F1C9F" w:rsidRPr="007B3988" w:rsidRDefault="007F1C9F" w:rsidP="00BB5DD2">
            <w:pPr>
              <w:pStyle w:val="ssPara1"/>
              <w:tabs>
                <w:tab w:val="left" w:pos="3410"/>
              </w:tabs>
              <w:spacing w:before="60" w:after="120"/>
              <w:jc w:val="left"/>
              <w:rPr>
                <w:rFonts w:cs="Arial"/>
                <w:sz w:val="20"/>
                <w:szCs w:val="20"/>
              </w:rPr>
            </w:pPr>
            <w:r w:rsidRPr="007B3988">
              <w:rPr>
                <w:rFonts w:cs="Arial" w:hint="eastAsia"/>
                <w:sz w:val="20"/>
                <w:szCs w:val="20"/>
              </w:rPr>
              <w:t>买卖本基金所持投资时，</w:t>
            </w:r>
            <w:r w:rsidRPr="007B3988">
              <w:rPr>
                <w:rFonts w:cs="Arial"/>
                <w:sz w:val="20"/>
                <w:szCs w:val="20"/>
              </w:rPr>
              <w:t>本基金</w:t>
            </w:r>
            <w:r w:rsidRPr="007B3988">
              <w:rPr>
                <w:rFonts w:cs="Arial" w:hint="eastAsia"/>
                <w:sz w:val="20"/>
                <w:szCs w:val="20"/>
              </w:rPr>
              <w:t>或须支付其他费用。</w:t>
            </w:r>
          </w:p>
          <w:p w:rsidR="007F1C9F" w:rsidRPr="007B3988" w:rsidRDefault="007F1C9F" w:rsidP="00F83BB9">
            <w:pPr>
              <w:pStyle w:val="ssPara1"/>
              <w:tabs>
                <w:tab w:val="left" w:pos="3410"/>
              </w:tabs>
              <w:spacing w:before="60" w:after="120"/>
              <w:jc w:val="left"/>
              <w:rPr>
                <w:rFonts w:cs="Arial"/>
                <w:sz w:val="20"/>
                <w:szCs w:val="20"/>
              </w:rPr>
            </w:pPr>
            <w:r w:rsidRPr="007B3988">
              <w:rPr>
                <w:rFonts w:cs="Arial" w:hint="eastAsia"/>
                <w:sz w:val="20"/>
                <w:szCs w:val="20"/>
              </w:rPr>
              <w:t>投资者应注意，部分费用可能会在向</w:t>
            </w:r>
            <w:r w:rsidRPr="007B3988">
              <w:rPr>
                <w:rFonts w:cs="Arial" w:hint="eastAsia"/>
                <w:sz w:val="20"/>
                <w:szCs w:val="20"/>
                <w:lang w:val="en-US"/>
              </w:rPr>
              <w:t>受影响</w:t>
            </w:r>
            <w:r w:rsidRPr="007B3988">
              <w:rPr>
                <w:rFonts w:cs="Arial"/>
                <w:sz w:val="20"/>
                <w:szCs w:val="20"/>
                <w:lang w:val="en-US"/>
              </w:rPr>
              <w:t>的</w:t>
            </w:r>
            <w:r w:rsidRPr="007B3988">
              <w:rPr>
                <w:rFonts w:cs="Arial" w:hint="eastAsia"/>
                <w:sz w:val="20"/>
                <w:szCs w:val="20"/>
              </w:rPr>
              <w:t>内地投资者提前发出一个月通知的情况下而被调升至准许的最高费率。详情请参阅招募说明书之基金说明书“开支及收费”一节。</w:t>
            </w:r>
          </w:p>
        </w:tc>
      </w:tr>
      <w:tr w:rsidR="007F1C9F" w:rsidRPr="007B3988" w:rsidTr="002A490D">
        <w:trPr>
          <w:trHeight w:val="3248"/>
        </w:trPr>
        <w:tc>
          <w:tcPr>
            <w:tcW w:w="9829" w:type="dxa"/>
            <w:gridSpan w:val="2"/>
            <w:tcBorders>
              <w:top w:val="single" w:sz="4" w:space="0" w:color="auto"/>
              <w:left w:val="single" w:sz="4" w:space="0" w:color="auto"/>
              <w:bottom w:val="single" w:sz="4" w:space="0" w:color="auto"/>
              <w:right w:val="single" w:sz="4" w:space="0" w:color="auto"/>
            </w:tcBorders>
            <w:shd w:val="clear" w:color="auto" w:fill="auto"/>
          </w:tcPr>
          <w:p w:rsidR="007F1C9F" w:rsidRPr="007B3988" w:rsidRDefault="007F1C9F" w:rsidP="00BB5DD2">
            <w:pPr>
              <w:pStyle w:val="ssPara1"/>
              <w:spacing w:before="60" w:after="120"/>
              <w:rPr>
                <w:rFonts w:eastAsia="PMingLiU" w:cs="Arial"/>
              </w:rPr>
            </w:pPr>
            <w:r w:rsidRPr="007B3988">
              <w:rPr>
                <w:rFonts w:cs="Arial" w:hint="eastAsia"/>
                <w:b/>
                <w:bCs/>
                <w:sz w:val="28"/>
                <w:szCs w:val="28"/>
              </w:rPr>
              <w:lastRenderedPageBreak/>
              <w:t>其他补充资料及其他资料</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内地投资者可通过内地销售机构申请申购、赎回本基金。各内地销售机构可能有不同的交易手续，包括较早的收取申请及</w:t>
            </w:r>
            <w:r w:rsidRPr="007B3988">
              <w:rPr>
                <w:rFonts w:ascii="Arial" w:eastAsiaTheme="minorEastAsia" w:hAnsi="Arial" w:cs="Arial" w:hint="eastAsia"/>
              </w:rPr>
              <w:t>/</w:t>
            </w:r>
            <w:r w:rsidRPr="007B3988">
              <w:rPr>
                <w:rFonts w:ascii="Arial" w:eastAsiaTheme="minorEastAsia" w:hAnsi="Arial" w:cs="Arial" w:hint="eastAsia"/>
              </w:rPr>
              <w:t>或已结算资金截止时间。内地投资者应向内地销售机构查询有关交易手续详情。</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本基金将于每个交易日通过内地代理人网站、内地销售机构的销售网点或其他媒介披露最新的份额净值。</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lang w:eastAsia="zh-TW"/>
              </w:rPr>
            </w:pPr>
            <w:r w:rsidRPr="007B3988">
              <w:rPr>
                <w:rFonts w:ascii="Arial" w:eastAsiaTheme="minorEastAsia" w:hAnsi="Arial" w:cs="Arial" w:hint="eastAsia"/>
                <w:lang w:eastAsia="zh-TW"/>
              </w:rPr>
              <w:t>就</w:t>
            </w:r>
            <w:r w:rsidRPr="007B3988">
              <w:rPr>
                <w:rFonts w:ascii="Arial" w:eastAsiaTheme="minorEastAsia" w:hAnsi="Arial" w:cs="Arial"/>
                <w:lang w:eastAsia="zh-TW"/>
              </w:rPr>
              <w:t>从</w:t>
            </w:r>
            <w:r w:rsidRPr="007B3988">
              <w:rPr>
                <w:rFonts w:ascii="Arial" w:eastAsiaTheme="minorEastAsia" w:hAnsi="Arial" w:cs="Arial" w:hint="eastAsia"/>
                <w:lang w:eastAsia="zh-TW"/>
              </w:rPr>
              <w:t>资本</w:t>
            </w:r>
            <w:r w:rsidRPr="007B3988">
              <w:rPr>
                <w:rFonts w:ascii="Arial" w:eastAsiaTheme="minorEastAsia" w:hAnsi="Arial" w:cs="Arial"/>
                <w:lang w:eastAsia="zh-TW"/>
              </w:rPr>
              <w:t>或实质上从资本作出收益分配的份额类别而言，</w:t>
            </w:r>
            <w:r w:rsidRPr="007B3988">
              <w:rPr>
                <w:rFonts w:ascii="Arial" w:eastAsiaTheme="minorEastAsia" w:hAnsi="Arial" w:cs="Arial" w:hint="eastAsia"/>
                <w:lang w:eastAsia="zh-TW"/>
              </w:rPr>
              <w:t>过去</w:t>
            </w:r>
            <w:r w:rsidRPr="007B3988">
              <w:rPr>
                <w:rFonts w:ascii="Arial" w:eastAsiaTheme="minorEastAsia" w:hAnsi="Arial" w:cs="Arial" w:hint="eastAsia"/>
                <w:lang w:eastAsia="zh-TW"/>
              </w:rPr>
              <w:t>12</w:t>
            </w:r>
            <w:r w:rsidRPr="007B3988">
              <w:rPr>
                <w:rFonts w:ascii="Arial" w:eastAsiaTheme="minorEastAsia" w:hAnsi="Arial" w:cs="Arial" w:hint="eastAsia"/>
                <w:lang w:eastAsia="zh-TW"/>
              </w:rPr>
              <w:t>个月的收益分配</w:t>
            </w:r>
            <w:r w:rsidRPr="007B3988">
              <w:rPr>
                <w:rFonts w:ascii="Arial" w:eastAsiaTheme="minorEastAsia" w:hAnsi="Arial" w:cs="Arial" w:hint="eastAsia"/>
                <w:lang w:eastAsia="zh-TW"/>
              </w:rPr>
              <w:t>(</w:t>
            </w:r>
            <w:r w:rsidRPr="007B3988">
              <w:rPr>
                <w:rFonts w:ascii="Arial" w:eastAsiaTheme="minorEastAsia" w:hAnsi="Arial" w:cs="Arial" w:hint="eastAsia"/>
                <w:lang w:eastAsia="zh-TW"/>
              </w:rPr>
              <w:t>如有</w:t>
            </w:r>
            <w:r w:rsidRPr="007B3988">
              <w:rPr>
                <w:rFonts w:ascii="Arial" w:eastAsiaTheme="minorEastAsia" w:hAnsi="Arial" w:cs="Arial" w:hint="eastAsia"/>
                <w:lang w:eastAsia="zh-TW"/>
              </w:rPr>
              <w:t>)</w:t>
            </w:r>
            <w:r w:rsidRPr="007B3988">
              <w:rPr>
                <w:rFonts w:ascii="Arial" w:eastAsiaTheme="minorEastAsia" w:hAnsi="Arial" w:cs="Arial" w:hint="eastAsia"/>
                <w:lang w:eastAsia="zh-TW"/>
              </w:rPr>
              <w:t>的组成部分</w:t>
            </w:r>
            <w:r w:rsidRPr="007B3988">
              <w:rPr>
                <w:rFonts w:ascii="Arial" w:eastAsiaTheme="minorEastAsia" w:hAnsi="Arial" w:cs="Arial" w:hint="eastAsia"/>
                <w:lang w:eastAsia="zh-TW"/>
              </w:rPr>
              <w:t>(</w:t>
            </w:r>
            <w:r w:rsidRPr="007B3988">
              <w:rPr>
                <w:rFonts w:ascii="Arial" w:eastAsiaTheme="minorEastAsia" w:hAnsi="Arial" w:cs="Arial" w:hint="eastAsia"/>
                <w:lang w:eastAsia="zh-TW"/>
              </w:rPr>
              <w:t>即拨自</w:t>
            </w:r>
            <w:r w:rsidRPr="007B3988">
              <w:rPr>
                <w:rFonts w:ascii="Arial" w:eastAsiaTheme="minorEastAsia" w:hAnsi="Arial" w:cs="Arial" w:hint="eastAsia"/>
                <w:lang w:eastAsia="zh-TW"/>
              </w:rPr>
              <w:t>(i)</w:t>
            </w:r>
            <w:r w:rsidRPr="007B3988">
              <w:rPr>
                <w:rFonts w:ascii="Arial" w:eastAsiaTheme="minorEastAsia" w:hAnsi="Arial" w:cs="Arial" w:hint="eastAsia"/>
                <w:lang w:eastAsia="zh-TW"/>
              </w:rPr>
              <w:t>可分配净收入及</w:t>
            </w:r>
            <w:r w:rsidRPr="007B3988">
              <w:rPr>
                <w:rFonts w:ascii="Arial" w:eastAsiaTheme="minorEastAsia" w:hAnsi="Arial" w:cs="Arial" w:hint="eastAsia"/>
                <w:lang w:eastAsia="zh-TW"/>
              </w:rPr>
              <w:t>(ii)</w:t>
            </w:r>
            <w:r w:rsidRPr="007B3988">
              <w:rPr>
                <w:rFonts w:ascii="Arial" w:eastAsiaTheme="minorEastAsia" w:hAnsi="Arial" w:cs="Arial" w:hint="eastAsia"/>
                <w:lang w:eastAsia="zh-TW"/>
              </w:rPr>
              <w:t>资本的相关数额</w:t>
            </w:r>
            <w:r w:rsidRPr="007B3988">
              <w:rPr>
                <w:rFonts w:ascii="Arial" w:eastAsiaTheme="minorEastAsia" w:hAnsi="Arial" w:cs="Arial" w:hint="eastAsia"/>
                <w:lang w:eastAsia="zh-TW"/>
              </w:rPr>
              <w:t>)</w:t>
            </w:r>
            <w:r w:rsidRPr="007B3988">
              <w:rPr>
                <w:rFonts w:ascii="Arial" w:eastAsiaTheme="minorEastAsia" w:hAnsi="Arial" w:cs="Arial" w:hint="eastAsia"/>
                <w:lang w:eastAsia="zh-TW"/>
              </w:rPr>
              <w:t>有关的资料在内地代理人的网站</w:t>
            </w:r>
            <w:r w:rsidRPr="007B3988">
              <w:rPr>
                <w:rFonts w:ascii="Arial" w:eastAsiaTheme="minorEastAsia" w:hAnsi="Arial" w:cs="Arial" w:hint="eastAsia"/>
                <w:lang w:eastAsia="zh-TW"/>
              </w:rPr>
              <w:t>www.bosera.com</w:t>
            </w:r>
            <w:r w:rsidRPr="007B3988">
              <w:rPr>
                <w:rFonts w:ascii="Arial" w:eastAsiaTheme="minorEastAsia" w:hAnsi="Arial" w:cs="Arial" w:hint="eastAsia"/>
                <w:lang w:eastAsia="zh-TW"/>
              </w:rPr>
              <w:t>上公布。</w:t>
            </w:r>
          </w:p>
          <w:p w:rsidR="007F1C9F" w:rsidRPr="007B3988" w:rsidRDefault="001F2D78" w:rsidP="0048345D">
            <w:pPr>
              <w:pStyle w:val="ssPara1"/>
              <w:spacing w:before="60" w:after="120"/>
              <w:rPr>
                <w:rFonts w:asciiTheme="minorEastAsia" w:eastAsiaTheme="minorEastAsia" w:hAnsiTheme="minorEastAsia" w:cs="Arial"/>
                <w:b/>
                <w:sz w:val="20"/>
                <w:szCs w:val="20"/>
              </w:rPr>
            </w:pPr>
            <w:r w:rsidRPr="007B3988">
              <w:rPr>
                <w:rFonts w:asciiTheme="minorEastAsia" w:eastAsiaTheme="minorEastAsia" w:hAnsiTheme="minorEastAsia" w:cs="Arial" w:hint="eastAsia"/>
                <w:b/>
                <w:sz w:val="20"/>
                <w:szCs w:val="20"/>
              </w:rPr>
              <w:t>1、</w:t>
            </w:r>
            <w:r w:rsidR="007F1C9F" w:rsidRPr="007B3988">
              <w:rPr>
                <w:rFonts w:asciiTheme="minorEastAsia" w:eastAsiaTheme="minorEastAsia" w:hAnsiTheme="minorEastAsia" w:cs="Arial" w:hint="eastAsia"/>
                <w:b/>
                <w:sz w:val="20"/>
                <w:szCs w:val="20"/>
              </w:rPr>
              <w:t>对内地投资者的服务</w:t>
            </w:r>
          </w:p>
          <w:p w:rsidR="007F1C9F" w:rsidRPr="007B3988" w:rsidRDefault="007F1C9F" w:rsidP="001F2D78">
            <w:pPr>
              <w:pStyle w:val="ssPara1"/>
              <w:spacing w:before="60" w:after="120"/>
              <w:ind w:firstLineChars="200" w:firstLine="400"/>
              <w:rPr>
                <w:rFonts w:asciiTheme="minorEastAsia" w:eastAsiaTheme="minorEastAsia" w:hAnsiTheme="minorEastAsia" w:cs="Arial"/>
                <w:i/>
                <w:sz w:val="20"/>
                <w:szCs w:val="20"/>
                <w:u w:val="single"/>
              </w:rPr>
            </w:pPr>
            <w:r w:rsidRPr="007B3988">
              <w:rPr>
                <w:rFonts w:asciiTheme="minorEastAsia" w:eastAsiaTheme="minorEastAsia" w:hAnsiTheme="minorEastAsia" w:cs="Arial" w:hint="eastAsia"/>
                <w:i/>
                <w:sz w:val="20"/>
                <w:szCs w:val="20"/>
                <w:u w:val="single"/>
              </w:rPr>
              <w:t>登记服务</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本基金由受托人汇丰机构信托服务</w:t>
            </w:r>
            <w:r w:rsidRPr="007B3988">
              <w:rPr>
                <w:rFonts w:ascii="Arial" w:eastAsiaTheme="minorEastAsia" w:hAnsi="Arial" w:cs="Arial"/>
              </w:rPr>
              <w:t>(</w:t>
            </w:r>
            <w:r w:rsidRPr="007B3988">
              <w:rPr>
                <w:rFonts w:ascii="Arial" w:eastAsiaTheme="minorEastAsia" w:hAnsi="Arial" w:cs="Arial" w:hint="eastAsia"/>
              </w:rPr>
              <w:t>亚洲</w:t>
            </w:r>
            <w:r w:rsidRPr="007B3988">
              <w:rPr>
                <w:rFonts w:ascii="Arial" w:eastAsiaTheme="minorEastAsia" w:hAnsi="Arial" w:cs="Arial"/>
              </w:rPr>
              <w:t>)</w:t>
            </w:r>
            <w:r w:rsidRPr="007B3988">
              <w:rPr>
                <w:rFonts w:ascii="Arial" w:eastAsiaTheme="minorEastAsia" w:hAnsi="Arial" w:cs="Arial" w:hint="eastAsia"/>
              </w:rPr>
              <w:t>有限公司同时作为基金登记机构为本基金提供登记服务。本基金的内地代理人委托内地登记结算机构为内地投资者办理账户开立、基金投资的登记和托管、份额转换和过户、内地投资者名册的管理、申购和赎回的清算和交收等服务。</w:t>
            </w:r>
          </w:p>
          <w:p w:rsidR="007F1C9F" w:rsidRPr="007B3988" w:rsidRDefault="007F1C9F" w:rsidP="001F2D78">
            <w:pPr>
              <w:pStyle w:val="ssPara1"/>
              <w:spacing w:before="60" w:after="120"/>
              <w:ind w:firstLineChars="200" w:firstLine="400"/>
              <w:rPr>
                <w:rFonts w:asciiTheme="minorEastAsia" w:eastAsia="PMingLiU" w:hAnsiTheme="minorEastAsia" w:cs="Arial"/>
                <w:i/>
                <w:sz w:val="20"/>
                <w:szCs w:val="20"/>
                <w:u w:val="single"/>
              </w:rPr>
            </w:pPr>
            <w:r w:rsidRPr="007B3988">
              <w:rPr>
                <w:rFonts w:asciiTheme="minorEastAsia" w:eastAsiaTheme="minorEastAsia" w:hAnsiTheme="minorEastAsia" w:cs="Arial" w:hint="eastAsia"/>
                <w:i/>
                <w:sz w:val="20"/>
                <w:szCs w:val="20"/>
                <w:u w:val="single"/>
              </w:rPr>
              <w:t>资料查询和发送</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内地投资者可通过内地销售机构网站、客服电话等方式向内地销售机构定制和查询对账单。</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内地投资者应就具体对账单的形式和服务方式向内地销售机构查询。</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内地销售机构亦将以不定期的方式向内地投资者发送的基金资讯材料，如本基金的运作情况回顾等。</w:t>
            </w:r>
          </w:p>
          <w:p w:rsidR="007F1C9F" w:rsidRPr="007B3988" w:rsidRDefault="007F1C9F" w:rsidP="001F2D78">
            <w:pPr>
              <w:pStyle w:val="ssPara1"/>
              <w:spacing w:before="60" w:after="120"/>
              <w:ind w:firstLineChars="200" w:firstLine="400"/>
              <w:rPr>
                <w:rFonts w:asciiTheme="minorEastAsia" w:eastAsia="PMingLiU" w:hAnsiTheme="minorEastAsia" w:cs="Arial"/>
                <w:i/>
                <w:sz w:val="20"/>
                <w:szCs w:val="20"/>
                <w:u w:val="single"/>
              </w:rPr>
            </w:pPr>
            <w:r w:rsidRPr="007B3988">
              <w:rPr>
                <w:rFonts w:asciiTheme="minorEastAsia" w:eastAsiaTheme="minorEastAsia" w:hAnsiTheme="minorEastAsia" w:cs="Arial" w:hint="eastAsia"/>
                <w:i/>
                <w:sz w:val="20"/>
                <w:szCs w:val="20"/>
                <w:u w:val="single"/>
              </w:rPr>
              <w:t>查询、建议或投诉</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内地投资者如就本基金有任何查询或投诉需求，可通过客服热线电话、信函及电子邮件等形式联络内地代理人或内地销售机构。内地代理人或内地销售机构将根据就本基金所收到的查询或投诉的性质以口头或书面形式在合理可行情况下尽快处理。</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内地代理人客服热线：</w:t>
            </w:r>
            <w:r w:rsidRPr="007B3988">
              <w:rPr>
                <w:rFonts w:ascii="Arial" w:eastAsiaTheme="minorEastAsia" w:hAnsi="Arial" w:cs="Arial"/>
              </w:rPr>
              <w:t>95105568</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lang w:eastAsia="zh-TW"/>
              </w:rPr>
            </w:pPr>
            <w:r w:rsidRPr="007B3988">
              <w:rPr>
                <w:rFonts w:ascii="Arial" w:eastAsiaTheme="minorEastAsia" w:hAnsi="Arial" w:cs="Arial" w:hint="eastAsia"/>
                <w:lang w:eastAsia="zh-TW"/>
              </w:rPr>
              <w:t>内地代理人公司网址：</w:t>
            </w:r>
            <w:r w:rsidRPr="007B3988">
              <w:rPr>
                <w:rFonts w:ascii="Arial" w:eastAsiaTheme="minorEastAsia" w:hAnsi="Arial" w:cs="Arial"/>
                <w:lang w:eastAsia="zh-TW"/>
              </w:rPr>
              <w:t>http://www.bosera.com</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lang w:eastAsia="zh-TW"/>
              </w:rPr>
            </w:pPr>
            <w:r w:rsidRPr="007B3988">
              <w:rPr>
                <w:rFonts w:ascii="Arial" w:eastAsiaTheme="minorEastAsia" w:hAnsi="Arial" w:cs="Arial" w:hint="eastAsia"/>
                <w:lang w:eastAsia="zh-TW"/>
              </w:rPr>
              <w:t>内地代理人客服邮箱：</w:t>
            </w:r>
            <w:r w:rsidRPr="007B3988">
              <w:rPr>
                <w:rFonts w:ascii="Arial" w:eastAsiaTheme="minorEastAsia" w:hAnsi="Arial" w:cs="Arial"/>
                <w:lang w:eastAsia="zh-TW"/>
              </w:rPr>
              <w:t>service@bosera.com</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各内地销售机构的联系方式详见基金份额发售公告以及内地代理人网站的其他公告。</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基金管理人和内地代理人承诺将确保公平对待内地投资者，并按不低于香港投资者的服务标准为内地投资者提供服务。</w:t>
            </w:r>
          </w:p>
          <w:p w:rsidR="007F1C9F" w:rsidRPr="007B3988" w:rsidRDefault="001F2D78" w:rsidP="00A15384">
            <w:pPr>
              <w:pStyle w:val="ssPara1"/>
              <w:spacing w:before="60" w:after="120"/>
              <w:rPr>
                <w:rFonts w:asciiTheme="minorEastAsia" w:eastAsiaTheme="minorEastAsia" w:hAnsiTheme="minorEastAsia" w:cs="Arial"/>
                <w:b/>
                <w:sz w:val="20"/>
                <w:szCs w:val="20"/>
              </w:rPr>
            </w:pPr>
            <w:r w:rsidRPr="007B3988">
              <w:rPr>
                <w:rFonts w:asciiTheme="minorEastAsia" w:eastAsiaTheme="minorEastAsia" w:hAnsiTheme="minorEastAsia" w:cs="Arial" w:hint="eastAsia"/>
                <w:b/>
                <w:sz w:val="20"/>
                <w:szCs w:val="20"/>
              </w:rPr>
              <w:t>2、</w:t>
            </w:r>
            <w:r w:rsidR="007F1C9F" w:rsidRPr="007B3988">
              <w:rPr>
                <w:rFonts w:asciiTheme="minorEastAsia" w:eastAsiaTheme="minorEastAsia" w:hAnsiTheme="minorEastAsia" w:cs="Arial"/>
                <w:b/>
                <w:sz w:val="20"/>
                <w:szCs w:val="20"/>
              </w:rPr>
              <w:t>本基金在内地的信息披露</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lang w:eastAsia="zh-TW"/>
              </w:rPr>
              <w:t>本基金应予披露的基金信息应通过内地代理人的网站</w:t>
            </w:r>
            <w:r w:rsidRPr="007B3988">
              <w:rPr>
                <w:rFonts w:ascii="Arial" w:eastAsiaTheme="minorEastAsia" w:hAnsi="Arial" w:cs="Arial"/>
                <w:lang w:eastAsia="zh-TW"/>
              </w:rPr>
              <w:t>http://www.bosera.com</w:t>
            </w:r>
            <w:hyperlink w:history="1"/>
            <w:r w:rsidRPr="007B3988">
              <w:rPr>
                <w:rFonts w:ascii="Arial" w:eastAsiaTheme="minorEastAsia" w:hAnsi="Arial" w:cs="Arial"/>
                <w:lang w:eastAsia="zh-TW"/>
              </w:rPr>
              <w:t>等媒介披露，并保证投资者能够按照基金销售文件约定的时间和方式查阅或复制公开披露的信息资料。</w:t>
            </w:r>
            <w:r w:rsidRPr="007B3988">
              <w:rPr>
                <w:rFonts w:ascii="Arial" w:eastAsiaTheme="minorEastAsia" w:hAnsi="Arial" w:cs="Arial"/>
              </w:rPr>
              <w:t>除内地代理人的网站外，本</w:t>
            </w:r>
            <w:r w:rsidRPr="007B3988">
              <w:rPr>
                <w:rFonts w:ascii="Arial" w:eastAsiaTheme="minorEastAsia" w:hAnsi="Arial" w:cs="Arial"/>
              </w:rPr>
              <w:lastRenderedPageBreak/>
              <w:t>基金应予披露的基金信息也可通过中国证监会指定的全国性报刊进行披露。</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Arial" w:eastAsiaTheme="minorEastAsia" w:hAnsi="Arial" w:cs="Arial"/>
              </w:rPr>
            </w:pPr>
            <w:r w:rsidRPr="007B3988">
              <w:rPr>
                <w:rFonts w:ascii="Arial" w:eastAsiaTheme="minorEastAsia" w:hAnsi="Arial" w:cs="Arial" w:hint="eastAsia"/>
              </w:rPr>
              <w:t>基金管理人承诺并确保有关信息披露文件同时向内地投资者和香港投资者披露。</w:t>
            </w:r>
          </w:p>
          <w:p w:rsidR="007F1C9F" w:rsidRPr="007B3988" w:rsidRDefault="007F1C9F" w:rsidP="00081341">
            <w:pPr>
              <w:pStyle w:val="Style1"/>
              <w:tabs>
                <w:tab w:val="left" w:pos="350"/>
              </w:tabs>
              <w:topLinePunct/>
              <w:autoSpaceDE/>
              <w:autoSpaceDN/>
              <w:snapToGrid w:val="0"/>
              <w:spacing w:after="260" w:line="276" w:lineRule="auto"/>
              <w:ind w:leftChars="159" w:left="350" w:right="91" w:firstLineChars="7" w:firstLine="14"/>
              <w:jc w:val="both"/>
              <w:rPr>
                <w:rFonts w:asciiTheme="minorEastAsia" w:eastAsiaTheme="minorEastAsia" w:hAnsiTheme="minorEastAsia" w:cs="Arial"/>
              </w:rPr>
            </w:pPr>
            <w:r w:rsidRPr="007B3988">
              <w:rPr>
                <w:rFonts w:ascii="Arial" w:eastAsiaTheme="minorEastAsia" w:hAnsi="Arial" w:cs="Arial"/>
              </w:rPr>
              <w:t>有关进一步详情</w:t>
            </w:r>
            <w:r w:rsidRPr="007B3988">
              <w:rPr>
                <w:rFonts w:ascii="Arial" w:eastAsiaTheme="minorEastAsia" w:hAnsi="Arial" w:cs="Arial" w:hint="eastAsia"/>
              </w:rPr>
              <w:t>，</w:t>
            </w:r>
            <w:r w:rsidRPr="007B3988">
              <w:rPr>
                <w:rFonts w:ascii="Arial" w:eastAsiaTheme="minorEastAsia" w:hAnsi="Arial" w:cs="Arial"/>
              </w:rPr>
              <w:t>请参阅本基金招募说明书</w:t>
            </w:r>
            <w:r w:rsidRPr="007B3988">
              <w:rPr>
                <w:rFonts w:ascii="Arial" w:eastAsiaTheme="minorEastAsia" w:hAnsi="Arial" w:cs="Arial" w:hint="eastAsia"/>
              </w:rPr>
              <w:t>之</w:t>
            </w:r>
            <w:r w:rsidRPr="007B3988">
              <w:rPr>
                <w:rFonts w:ascii="Arial" w:eastAsiaTheme="minorEastAsia" w:hAnsi="Arial" w:cs="Arial"/>
              </w:rPr>
              <w:t>补充说明书</w:t>
            </w:r>
            <w:r w:rsidRPr="007B3988">
              <w:rPr>
                <w:rFonts w:ascii="Arial" w:eastAsiaTheme="minorEastAsia" w:hAnsi="Arial" w:cs="Arial" w:hint="eastAsia"/>
              </w:rPr>
              <w:t>“本基金在内地的信息披露</w:t>
            </w:r>
            <w:r w:rsidRPr="007B3988">
              <w:rPr>
                <w:rFonts w:ascii="Arial" w:eastAsiaTheme="minorEastAsia" w:hAnsi="Arial" w:cs="Arial"/>
              </w:rPr>
              <w:t>(</w:t>
            </w:r>
            <w:r w:rsidRPr="007B3988">
              <w:rPr>
                <w:rFonts w:ascii="Arial" w:eastAsiaTheme="minorEastAsia" w:hAnsi="Arial" w:cs="Arial"/>
              </w:rPr>
              <w:t>种类、时间和方式</w:t>
            </w:r>
            <w:r w:rsidRPr="007B3988">
              <w:rPr>
                <w:rFonts w:ascii="Arial" w:eastAsiaTheme="minorEastAsia" w:hAnsi="Arial" w:cs="Arial"/>
              </w:rPr>
              <w:t>)</w:t>
            </w:r>
            <w:r w:rsidRPr="007B3988">
              <w:rPr>
                <w:rFonts w:ascii="Arial" w:eastAsiaTheme="minorEastAsia" w:hAnsi="Arial" w:cs="Arial" w:hint="eastAsia"/>
              </w:rPr>
              <w:t>”一节。</w:t>
            </w:r>
          </w:p>
        </w:tc>
      </w:tr>
      <w:tr w:rsidR="007F1C9F" w:rsidRPr="005513CE" w:rsidTr="005F7DCC">
        <w:trPr>
          <w:trHeight w:val="1054"/>
        </w:trPr>
        <w:tc>
          <w:tcPr>
            <w:tcW w:w="9829" w:type="dxa"/>
            <w:gridSpan w:val="2"/>
            <w:tcBorders>
              <w:top w:val="single" w:sz="4" w:space="0" w:color="auto"/>
              <w:left w:val="single" w:sz="4" w:space="0" w:color="auto"/>
              <w:bottom w:val="single" w:sz="4" w:space="0" w:color="auto"/>
              <w:right w:val="single" w:sz="4" w:space="0" w:color="auto"/>
            </w:tcBorders>
            <w:shd w:val="clear" w:color="auto" w:fill="auto"/>
          </w:tcPr>
          <w:p w:rsidR="007F1C9F" w:rsidRPr="007B3988" w:rsidRDefault="007F1C9F" w:rsidP="00BB5DD2">
            <w:pPr>
              <w:pStyle w:val="ssPara1"/>
              <w:spacing w:before="60" w:after="120"/>
              <w:rPr>
                <w:rFonts w:eastAsia="PMingLiU" w:cs="Arial"/>
              </w:rPr>
            </w:pPr>
            <w:r w:rsidRPr="007B3988">
              <w:rPr>
                <w:rFonts w:cs="Arial" w:hint="eastAsia"/>
                <w:b/>
                <w:bCs/>
                <w:sz w:val="28"/>
                <w:szCs w:val="28"/>
              </w:rPr>
              <w:lastRenderedPageBreak/>
              <w:t>重要提示</w:t>
            </w:r>
          </w:p>
          <w:p w:rsidR="007F1C9F" w:rsidRPr="007B3988" w:rsidRDefault="007F1C9F" w:rsidP="005C604B">
            <w:pPr>
              <w:pStyle w:val="ssPara1"/>
              <w:spacing w:before="60" w:after="120"/>
              <w:rPr>
                <w:rFonts w:eastAsia="PMingLiU" w:cs="Arial"/>
                <w:sz w:val="20"/>
                <w:szCs w:val="20"/>
              </w:rPr>
            </w:pPr>
            <w:r w:rsidRPr="007B3988">
              <w:rPr>
                <w:rFonts w:cs="Arial" w:hint="eastAsia"/>
                <w:sz w:val="20"/>
                <w:szCs w:val="20"/>
              </w:rPr>
              <w:t>投资者如有疑问，应咨询专业意见。</w:t>
            </w:r>
          </w:p>
          <w:p w:rsidR="007F1C9F" w:rsidRPr="005513CE" w:rsidRDefault="007F1C9F">
            <w:pPr>
              <w:pStyle w:val="ssPara1"/>
              <w:spacing w:before="60" w:after="120"/>
              <w:rPr>
                <w:rFonts w:eastAsia="PMingLiU" w:cs="Arial"/>
                <w:sz w:val="20"/>
                <w:szCs w:val="20"/>
              </w:rPr>
            </w:pPr>
            <w:r w:rsidRPr="007B3988">
              <w:rPr>
                <w:rFonts w:cs="Arial" w:hint="eastAsia"/>
                <w:sz w:val="20"/>
                <w:szCs w:val="20"/>
              </w:rPr>
              <w:t>中国证监会概不就本概要的内容承担任何责任，亦不对其准确性或完整性发表任何陈述。</w:t>
            </w:r>
          </w:p>
        </w:tc>
      </w:tr>
    </w:tbl>
    <w:p w:rsidR="00546FD4" w:rsidRPr="005513CE" w:rsidRDefault="00546FD4" w:rsidP="00546FD4">
      <w:pPr>
        <w:rPr>
          <w:rFonts w:eastAsia="PMingLiU"/>
        </w:rPr>
      </w:pPr>
    </w:p>
    <w:sectPr w:rsidR="00546FD4" w:rsidRPr="005513CE" w:rsidSect="0073588A">
      <w:headerReference w:type="default" r:id="rId12"/>
      <w:footerReference w:type="even" r:id="rId13"/>
      <w:footerReference w:type="default" r:id="rId14"/>
      <w:footerReference w:type="first" r:id="rId15"/>
      <w:type w:val="continuous"/>
      <w:pgSz w:w="11907" w:h="16839" w:code="9"/>
      <w:pgMar w:top="1134" w:right="1191" w:bottom="567" w:left="1191" w:header="567" w:footer="624" w:gutter="0"/>
      <w:paperSrc w:first="257" w:other="257"/>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152901" w15:done="0"/>
  <w15:commentEx w15:paraId="080FE577" w15:done="0"/>
  <w15:commentEx w15:paraId="7EAC0554" w15:done="0"/>
  <w15:commentEx w15:paraId="48D16BAD" w15:done="0"/>
  <w15:commentEx w15:paraId="717F31C6" w15:done="0"/>
  <w15:commentEx w15:paraId="44E4C649" w15:done="0"/>
  <w15:commentEx w15:paraId="5879AB9F" w15:done="0"/>
  <w15:commentEx w15:paraId="3D854CF3" w15:done="0"/>
  <w15:commentEx w15:paraId="01D3F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52901" w16cid:durableId="21E4AAE0"/>
  <w16cid:commentId w16cid:paraId="080FE577" w16cid:durableId="21E4AAE1"/>
  <w16cid:commentId w16cid:paraId="7EAC0554" w16cid:durableId="21E4AAE2"/>
  <w16cid:commentId w16cid:paraId="48D16BAD" w16cid:durableId="21E4AAE3"/>
  <w16cid:commentId w16cid:paraId="717F31C6" w16cid:durableId="21E4AAE4"/>
  <w16cid:commentId w16cid:paraId="44E4C649" w16cid:durableId="21E4AAE5"/>
  <w16cid:commentId w16cid:paraId="5879AB9F" w16cid:durableId="21E4AAE6"/>
  <w16cid:commentId w16cid:paraId="3D854CF3" w16cid:durableId="21E4AAE7"/>
  <w16cid:commentId w16cid:paraId="01D3F7B9" w16cid:durableId="21E4AAE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7DB" w:rsidRDefault="009557DB">
      <w:r>
        <w:separator/>
      </w:r>
    </w:p>
  </w:endnote>
  <w:endnote w:type="continuationSeparator" w:id="1">
    <w:p w:rsidR="009557DB" w:rsidRDefault="009557DB">
      <w:r>
        <w:continuationSeparator/>
      </w:r>
    </w:p>
  </w:endnote>
  <w:endnote w:type="continuationNotice" w:id="2">
    <w:p w:rsidR="009557DB" w:rsidRDefault="009557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xpertSans-ExtraBold">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xpertSans-Ligh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B" w:rsidRDefault="00DB0AB2" w:rsidP="008E40DA">
    <w:pPr>
      <w:pStyle w:val="a4"/>
      <w:framePr w:wrap="around" w:vAnchor="text" w:hAnchor="margin" w:xAlign="center" w:y="1"/>
      <w:rPr>
        <w:rStyle w:val="a5"/>
      </w:rPr>
    </w:pPr>
    <w:r>
      <w:rPr>
        <w:rStyle w:val="a5"/>
      </w:rPr>
      <w:fldChar w:fldCharType="begin"/>
    </w:r>
    <w:r w:rsidR="00D9370B">
      <w:rPr>
        <w:rStyle w:val="a5"/>
      </w:rPr>
      <w:instrText xml:space="preserve">PAGE  </w:instrText>
    </w:r>
    <w:r>
      <w:rPr>
        <w:rStyle w:val="a5"/>
      </w:rPr>
      <w:fldChar w:fldCharType="separate"/>
    </w:r>
    <w:r w:rsidR="00D9370B" w:rsidRPr="00E21B93">
      <w:rPr>
        <w:rStyle w:val="a5"/>
        <w:rFonts w:eastAsia="宋体"/>
        <w:noProof/>
      </w:rPr>
      <w:t>1</w:t>
    </w:r>
    <w:r>
      <w:rPr>
        <w:rStyle w:val="a5"/>
      </w:rPr>
      <w:fldChar w:fldCharType="end"/>
    </w:r>
  </w:p>
  <w:p w:rsidR="00D9370B" w:rsidRDefault="00D937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B" w:rsidRPr="00372ED9" w:rsidRDefault="00D9370B" w:rsidP="00534850">
    <w:pPr>
      <w:pStyle w:val="a4"/>
      <w:tabs>
        <w:tab w:val="right" w:pos="9540"/>
      </w:tabs>
      <w:rPr>
        <w:sz w:val="14"/>
        <w:szCs w:val="14"/>
      </w:rPr>
    </w:pPr>
    <w:r w:rsidRPr="00372ED9">
      <w:rPr>
        <w:sz w:val="14"/>
        <w:szCs w:val="14"/>
      </w:rPr>
      <w:tab/>
    </w:r>
    <w:r w:rsidR="00DB0AB2">
      <w:rPr>
        <w:rStyle w:val="a5"/>
      </w:rPr>
      <w:fldChar w:fldCharType="begin"/>
    </w:r>
    <w:r>
      <w:rPr>
        <w:rStyle w:val="a5"/>
      </w:rPr>
      <w:instrText xml:space="preserve"> PAGE </w:instrText>
    </w:r>
    <w:r w:rsidR="00DB0AB2">
      <w:rPr>
        <w:rStyle w:val="a5"/>
      </w:rPr>
      <w:fldChar w:fldCharType="separate"/>
    </w:r>
    <w:r w:rsidR="00CA36F9">
      <w:rPr>
        <w:rStyle w:val="a5"/>
        <w:noProof/>
      </w:rPr>
      <w:t>2</w:t>
    </w:r>
    <w:r w:rsidR="00DB0AB2">
      <w:rPr>
        <w:rStyle w:val="a5"/>
      </w:rPr>
      <w:fldChar w:fldCharType="end"/>
    </w:r>
    <w:r w:rsidRPr="00372ED9">
      <w:rPr>
        <w:sz w:val="14"/>
        <w:szCs w:val="1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B" w:rsidRPr="007537E1" w:rsidRDefault="00D9370B">
    <w:pPr>
      <w:pStyle w:val="a4"/>
      <w:tabs>
        <w:tab w:val="clear" w:pos="4763"/>
        <w:tab w:val="clear" w:pos="9497"/>
        <w:tab w:val="right" w:pos="9540"/>
        <w:tab w:val="right" w:pos="9570"/>
      </w:tabs>
      <w:rPr>
        <w:rFonts w:eastAsia="PMingLiU"/>
        <w:lang w:eastAsia="zh-TW"/>
      </w:rPr>
    </w:pPr>
    <w:r w:rsidRPr="00955C2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7DB" w:rsidRDefault="009557DB">
      <w:r>
        <w:separator/>
      </w:r>
    </w:p>
  </w:footnote>
  <w:footnote w:type="continuationSeparator" w:id="1">
    <w:p w:rsidR="009557DB" w:rsidRDefault="009557DB">
      <w:r>
        <w:continuationSeparator/>
      </w:r>
    </w:p>
  </w:footnote>
  <w:footnote w:type="continuationNotice" w:id="2">
    <w:p w:rsidR="009557DB" w:rsidRDefault="009557DB"/>
  </w:footnote>
  <w:footnote w:id="3">
    <w:p w:rsidR="00D9370B" w:rsidRPr="00241BEF" w:rsidRDefault="00D9370B" w:rsidP="00F82908">
      <w:pPr>
        <w:pStyle w:val="ac"/>
        <w:ind w:left="200" w:hangingChars="100" w:hanging="200"/>
        <w:rPr>
          <w:lang w:val="en-US" w:eastAsia="zh-TW"/>
        </w:rPr>
      </w:pPr>
      <w:r w:rsidRPr="007713C9">
        <w:rPr>
          <w:rStyle w:val="ad"/>
          <w:vertAlign w:val="baseline"/>
        </w:rPr>
        <w:t>*</w:t>
      </w:r>
      <w:r w:rsidRPr="007713C9">
        <w:t xml:space="preserve"> </w:t>
      </w:r>
      <w:r w:rsidRPr="007713C9">
        <w:rPr>
          <w:rFonts w:hint="eastAsia"/>
        </w:rPr>
        <w:t>由于</w:t>
      </w:r>
      <w:r>
        <w:rPr>
          <w:rFonts w:hint="eastAsia"/>
        </w:rPr>
        <w:t>这些份额</w:t>
      </w:r>
      <w:r w:rsidRPr="007713C9">
        <w:rPr>
          <w:rFonts w:hint="eastAsia"/>
        </w:rPr>
        <w:t>类别</w:t>
      </w:r>
      <w:r>
        <w:rPr>
          <w:rFonts w:hint="eastAsia"/>
        </w:rPr>
        <w:t>尚属</w:t>
      </w:r>
      <w:r w:rsidRPr="007713C9">
        <w:rPr>
          <w:rFonts w:hint="eastAsia"/>
        </w:rPr>
        <w:t>新设，因此</w:t>
      </w:r>
      <w:r>
        <w:rPr>
          <w:rFonts w:hint="eastAsia"/>
        </w:rPr>
        <w:t>该等数据</w:t>
      </w:r>
      <w:r>
        <w:t>仅为</w:t>
      </w:r>
      <w:r>
        <w:rPr>
          <w:rFonts w:hint="eastAsia"/>
        </w:rPr>
        <w:t>估计</w:t>
      </w:r>
      <w:r>
        <w:t>，</w:t>
      </w:r>
      <w:r>
        <w:rPr>
          <w:rFonts w:hint="eastAsia"/>
        </w:rPr>
        <w:t>系根据</w:t>
      </w:r>
      <w:r>
        <w:rPr>
          <w:rFonts w:hint="eastAsia"/>
          <w:lang w:val="en-US"/>
        </w:rPr>
        <w:t>本基金</w:t>
      </w:r>
      <w:r>
        <w:rPr>
          <w:rFonts w:hint="eastAsia"/>
        </w:rPr>
        <w:t>各份额类别</w:t>
      </w:r>
      <w:r w:rsidRPr="007713C9">
        <w:rPr>
          <w:rFonts w:hint="eastAsia"/>
        </w:rPr>
        <w:t>估计</w:t>
      </w:r>
      <w:r>
        <w:rPr>
          <w:rFonts w:hint="eastAsia"/>
        </w:rPr>
        <w:t>的</w:t>
      </w:r>
      <w:r w:rsidRPr="007713C9">
        <w:rPr>
          <w:rFonts w:hint="eastAsia"/>
        </w:rPr>
        <w:t>应计</w:t>
      </w:r>
      <w:r>
        <w:rPr>
          <w:rFonts w:hint="eastAsia"/>
        </w:rPr>
        <w:t>经常</w:t>
      </w:r>
      <w:r w:rsidRPr="007713C9">
        <w:rPr>
          <w:rFonts w:hint="eastAsia"/>
        </w:rPr>
        <w:t>开支总额占</w:t>
      </w:r>
      <w:r w:rsidR="007C36D3">
        <w:rPr>
          <w:rFonts w:hint="eastAsia"/>
        </w:rPr>
        <w:t>本基金</w:t>
      </w:r>
      <w:r>
        <w:rPr>
          <w:rFonts w:hint="eastAsia"/>
        </w:rPr>
        <w:t>各份额类别</w:t>
      </w:r>
      <w:r w:rsidRPr="007713C9">
        <w:rPr>
          <w:rFonts w:hint="eastAsia"/>
        </w:rPr>
        <w:t>估计平均资产净值</w:t>
      </w:r>
      <w:r>
        <w:rPr>
          <w:rFonts w:hint="eastAsia"/>
        </w:rPr>
        <w:t>计算而得</w:t>
      </w:r>
      <w:r>
        <w:t>，</w:t>
      </w:r>
      <w:r>
        <w:rPr>
          <w:rFonts w:hint="eastAsia"/>
        </w:rPr>
        <w:t>以</w:t>
      </w:r>
      <w:r w:rsidRPr="007713C9">
        <w:rPr>
          <w:rFonts w:hint="eastAsia"/>
        </w:rPr>
        <w:t>百分比</w:t>
      </w:r>
      <w:r>
        <w:rPr>
          <w:rFonts w:hint="eastAsia"/>
        </w:rPr>
        <w:t>表示</w:t>
      </w:r>
      <w:r w:rsidRPr="007713C9">
        <w:rPr>
          <w:rFonts w:hint="eastAsia"/>
        </w:rPr>
        <w:t>。实际数字可能每年不同。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B" w:rsidRPr="00F10994" w:rsidRDefault="00D9370B" w:rsidP="008812C8">
    <w:pPr>
      <w:pStyle w:val="a6"/>
      <w:wordWrap w:val="0"/>
      <w:jc w:val="right"/>
      <w:rPr>
        <w:rFonts w:ascii="Calibri" w:hAnsi="Calibri" w:cs="Arial"/>
        <w:b/>
        <w:bCs/>
        <w:sz w:val="24"/>
        <w:szCs w:val="24"/>
        <w:lang w:val="en-US"/>
      </w:rPr>
    </w:pPr>
    <w:r w:rsidRPr="00E21B93">
      <w:rPr>
        <w:rFonts w:ascii="PMingLiU" w:hAnsi="PMingLiU" w:cs="Arial" w:hint="eastAsia"/>
        <w:sz w:val="32"/>
        <w:szCs w:val="32"/>
      </w:rPr>
      <w:t>博时</w:t>
    </w:r>
    <w:r w:rsidRPr="00E21B93">
      <w:rPr>
        <w:rFonts w:ascii="PMingLiU" w:hAnsi="PMingLiU" w:cs="Arial"/>
        <w:sz w:val="32"/>
        <w:szCs w:val="32"/>
      </w:rPr>
      <w:t>-</w:t>
    </w:r>
    <w:r w:rsidR="00F71A5D">
      <w:rPr>
        <w:rFonts w:ascii="PMingLiU" w:hAnsi="PMingLiU" w:cs="Arial" w:hint="eastAsia"/>
        <w:sz w:val="32"/>
        <w:szCs w:val="32"/>
      </w:rPr>
      <w:t>安本</w:t>
    </w:r>
    <w:r w:rsidRPr="00E21B93">
      <w:rPr>
        <w:rFonts w:ascii="PMingLiU" w:hAnsi="PMingLiU" w:cs="Arial" w:hint="eastAsia"/>
        <w:sz w:val="32"/>
        <w:szCs w:val="32"/>
      </w:rPr>
      <w:t>标准精选新兴市场债券基金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027"/>
    <w:multiLevelType w:val="multilevel"/>
    <w:tmpl w:val="36280AB6"/>
    <w:lvl w:ilvl="0">
      <w:start w:val="1"/>
      <w:numFmt w:val="none"/>
      <w:pStyle w:val="ssRestartSchedule"/>
      <w:suff w:val="nothing"/>
      <w:lvlText w:val=""/>
      <w:lvlJc w:val="left"/>
      <w:pPr>
        <w:ind w:left="0" w:firstLine="0"/>
      </w:pPr>
      <w:rPr>
        <w:rFonts w:hint="default"/>
      </w:rPr>
    </w:lvl>
    <w:lvl w:ilvl="1">
      <w:start w:val="1"/>
      <w:numFmt w:val="decimal"/>
      <w:pStyle w:val="ssqSchedule"/>
      <w:suff w:val="nothing"/>
      <w:lvlText w:val="schedule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6941B78"/>
    <w:multiLevelType w:val="multilevel"/>
    <w:tmpl w:val="71683E14"/>
    <w:lvl w:ilvl="0">
      <w:start w:val="1"/>
      <w:numFmt w:val="none"/>
      <w:pStyle w:val="ssRestartPart"/>
      <w:suff w:val="nothing"/>
      <w:lvlText w:val=""/>
      <w:lvlJc w:val="left"/>
      <w:pPr>
        <w:ind w:left="0" w:firstLine="0"/>
      </w:pPr>
      <w:rPr>
        <w:rFonts w:hint="default"/>
      </w:rPr>
    </w:lvl>
    <w:lvl w:ilvl="1">
      <w:start w:val="1"/>
      <w:numFmt w:val="decimal"/>
      <w:pStyle w:val="ssq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8112BBD"/>
    <w:multiLevelType w:val="hybridMultilevel"/>
    <w:tmpl w:val="7B3C0914"/>
    <w:lvl w:ilvl="0" w:tplc="5C6E7350">
      <w:start w:val="1"/>
      <w:numFmt w:val="bullet"/>
      <w:lvlText w:val=""/>
      <w:lvlJc w:val="left"/>
      <w:pPr>
        <w:tabs>
          <w:tab w:val="num" w:pos="507"/>
        </w:tabs>
        <w:ind w:left="50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1D665B"/>
    <w:multiLevelType w:val="hybridMultilevel"/>
    <w:tmpl w:val="3526795C"/>
    <w:lvl w:ilvl="0" w:tplc="D506F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929EF"/>
    <w:multiLevelType w:val="hybridMultilevel"/>
    <w:tmpl w:val="43DE22CA"/>
    <w:lvl w:ilvl="0" w:tplc="E94A41FC">
      <w:start w:val="1"/>
      <w:numFmt w:val="decimal"/>
      <w:lvlText w:val="%1."/>
      <w:lvlJc w:val="left"/>
      <w:pPr>
        <w:ind w:left="644" w:hanging="360"/>
      </w:pPr>
      <w:rPr>
        <w:rFonts w:ascii="Arial" w:hAnsi="Arial" w:cs="Arial"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0BC1122F"/>
    <w:multiLevelType w:val="hybridMultilevel"/>
    <w:tmpl w:val="98D82B0C"/>
    <w:lvl w:ilvl="0" w:tplc="417C9192">
      <w:start w:val="1"/>
      <w:numFmt w:val="chineseCountingThousand"/>
      <w:lvlText w:val="%1."/>
      <w:lvlJc w:val="left"/>
      <w:pPr>
        <w:ind w:left="480" w:hanging="480"/>
      </w:pPr>
      <w:rPr>
        <w:rFonts w:hint="eastAsia"/>
      </w:rPr>
    </w:lvl>
    <w:lvl w:ilvl="1" w:tplc="3F506DAC">
      <w:start w:val="1"/>
      <w:numFmt w:val="lowerLetter"/>
      <w:lvlText w:val="(%2)"/>
      <w:lvlJc w:val="left"/>
      <w:pPr>
        <w:ind w:left="840" w:hanging="420"/>
      </w:pPr>
      <w:rPr>
        <w:rFonts w:ascii="Arial" w:hAnsi="Arial" w:cs="Arial" w:hint="default"/>
      </w:rPr>
    </w:lvl>
    <w:lvl w:ilvl="2" w:tplc="E68046DC">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1F6712"/>
    <w:multiLevelType w:val="hybridMultilevel"/>
    <w:tmpl w:val="E51865B6"/>
    <w:lvl w:ilvl="0" w:tplc="71EE2802">
      <w:start w:val="1"/>
      <w:numFmt w:val="decimal"/>
      <w:lvlText w:val="%1."/>
      <w:lvlJc w:val="left"/>
      <w:pPr>
        <w:ind w:left="360" w:hanging="360"/>
      </w:pPr>
      <w:rPr>
        <w:rFonts w:ascii="Arial" w:eastAsia="宋体"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9929A7"/>
    <w:multiLevelType w:val="hybridMultilevel"/>
    <w:tmpl w:val="296C81A0"/>
    <w:lvl w:ilvl="0" w:tplc="5C6E735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9C0B6B"/>
    <w:multiLevelType w:val="hybridMultilevel"/>
    <w:tmpl w:val="644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CE5855"/>
    <w:multiLevelType w:val="hybridMultilevel"/>
    <w:tmpl w:val="F1783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C42099"/>
    <w:multiLevelType w:val="hybridMultilevel"/>
    <w:tmpl w:val="D982FF0A"/>
    <w:lvl w:ilvl="0" w:tplc="B7B65DD8">
      <w:start w:val="2004"/>
      <w:numFmt w:val="bullet"/>
      <w:lvlText w:val=""/>
      <w:lvlJc w:val="left"/>
      <w:pPr>
        <w:tabs>
          <w:tab w:val="num" w:pos="851"/>
        </w:tabs>
        <w:ind w:left="851" w:hanging="567"/>
      </w:pPr>
      <w:rPr>
        <w:rFonts w:ascii="Symbol" w:eastAsia="Batang" w:hAnsi="Symbol" w:hint="default"/>
        <w:b/>
        <w:sz w:val="18"/>
      </w:rPr>
    </w:lvl>
    <w:lvl w:ilvl="1" w:tplc="0C090003" w:tentative="1">
      <w:start w:val="1"/>
      <w:numFmt w:val="bullet"/>
      <w:lvlText w:val="o"/>
      <w:lvlJc w:val="left"/>
      <w:pPr>
        <w:tabs>
          <w:tab w:val="num" w:pos="1582"/>
        </w:tabs>
        <w:ind w:left="1582" w:hanging="360"/>
      </w:pPr>
      <w:rPr>
        <w:rFonts w:ascii="Courier New" w:hAnsi="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1">
    <w:nsid w:val="23CD3965"/>
    <w:multiLevelType w:val="hybridMultilevel"/>
    <w:tmpl w:val="39C839F6"/>
    <w:lvl w:ilvl="0" w:tplc="5C6E7350">
      <w:start w:val="1"/>
      <w:numFmt w:val="bullet"/>
      <w:lvlText w:val=""/>
      <w:lvlJc w:val="left"/>
      <w:pPr>
        <w:tabs>
          <w:tab w:val="num" w:pos="507"/>
        </w:tabs>
        <w:ind w:left="50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BB5951"/>
    <w:multiLevelType w:val="hybridMultilevel"/>
    <w:tmpl w:val="79A0904A"/>
    <w:lvl w:ilvl="0" w:tplc="5C6E735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C6771C"/>
    <w:multiLevelType w:val="multilevel"/>
    <w:tmpl w:val="7B3C0914"/>
    <w:lvl w:ilvl="0">
      <w:start w:val="1"/>
      <w:numFmt w:val="bullet"/>
      <w:lvlText w:val=""/>
      <w:lvlJc w:val="left"/>
      <w:pPr>
        <w:tabs>
          <w:tab w:val="num" w:pos="507"/>
        </w:tabs>
        <w:ind w:left="50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087586"/>
    <w:multiLevelType w:val="multilevel"/>
    <w:tmpl w:val="0409001D"/>
    <w:name w:val="Simmons&amp;Simm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E390F94"/>
    <w:multiLevelType w:val="hybridMultilevel"/>
    <w:tmpl w:val="621099FA"/>
    <w:lvl w:ilvl="0" w:tplc="754C62F2">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32565DAB"/>
    <w:multiLevelType w:val="hybridMultilevel"/>
    <w:tmpl w:val="D7C8CF8C"/>
    <w:lvl w:ilvl="0" w:tplc="68B8D5E0">
      <w:start w:val="1"/>
      <w:numFmt w:val="bullet"/>
      <w:lvlText w:val=""/>
      <w:lvlJc w:val="left"/>
      <w:pPr>
        <w:tabs>
          <w:tab w:val="num" w:pos="360"/>
        </w:tabs>
        <w:ind w:left="360" w:hanging="360"/>
      </w:pPr>
      <w:rPr>
        <w:rFonts w:ascii="Symbol" w:hAnsi="Symbol" w:hint="default"/>
        <w:color w:val="auto"/>
      </w:rPr>
    </w:lvl>
    <w:lvl w:ilvl="1" w:tplc="5C6E7350">
      <w:start w:val="1"/>
      <w:numFmt w:val="bullet"/>
      <w:lvlText w:val=""/>
      <w:lvlJc w:val="left"/>
      <w:pPr>
        <w:tabs>
          <w:tab w:val="num" w:pos="1477"/>
        </w:tabs>
        <w:ind w:left="1477" w:hanging="39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0E2470"/>
    <w:multiLevelType w:val="hybridMultilevel"/>
    <w:tmpl w:val="47945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232DDC"/>
    <w:multiLevelType w:val="multilevel"/>
    <w:tmpl w:val="0409001D"/>
    <w:name w:val="Simmons&amp;Simm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BB5FBE"/>
    <w:multiLevelType w:val="multilevel"/>
    <w:tmpl w:val="C5F49430"/>
    <w:lvl w:ilvl="0">
      <w:start w:val="1"/>
      <w:numFmt w:val="none"/>
      <w:pStyle w:val="ssRestartAppendix"/>
      <w:suff w:val="nothing"/>
      <w:lvlText w:val=""/>
      <w:lvlJc w:val="left"/>
      <w:pPr>
        <w:ind w:left="0" w:firstLine="0"/>
      </w:pPr>
      <w:rPr>
        <w:rFonts w:hint="default"/>
      </w:rPr>
    </w:lvl>
    <w:lvl w:ilvl="1">
      <w:start w:val="1"/>
      <w:numFmt w:val="decimal"/>
      <w:pStyle w:val="ssqAppendix"/>
      <w:suff w:val="nothing"/>
      <w:lvlText w:val="appendix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8F96FE3"/>
    <w:multiLevelType w:val="multilevel"/>
    <w:tmpl w:val="F5A0BBE2"/>
    <w:lvl w:ilvl="0">
      <w:start w:val="1"/>
      <w:numFmt w:val="none"/>
      <w:pStyle w:val="ssRestartExhibit"/>
      <w:suff w:val="nothing"/>
      <w:lvlText w:val=""/>
      <w:lvlJc w:val="left"/>
      <w:pPr>
        <w:ind w:left="0" w:firstLine="0"/>
      </w:pPr>
      <w:rPr>
        <w:rFonts w:hint="default"/>
      </w:rPr>
    </w:lvl>
    <w:lvl w:ilvl="1">
      <w:start w:val="1"/>
      <w:numFmt w:val="decimal"/>
      <w:pStyle w:val="ssqExhibit"/>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90B0FE2"/>
    <w:multiLevelType w:val="multilevel"/>
    <w:tmpl w:val="0409001D"/>
    <w:name w:val="Simmons&amp;Simm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3F0FBE"/>
    <w:multiLevelType w:val="hybridMultilevel"/>
    <w:tmpl w:val="1F822026"/>
    <w:lvl w:ilvl="0" w:tplc="5C6E7350">
      <w:start w:val="1"/>
      <w:numFmt w:val="bullet"/>
      <w:lvlText w:val=""/>
      <w:lvlJc w:val="left"/>
      <w:pPr>
        <w:tabs>
          <w:tab w:val="num" w:pos="507"/>
        </w:tabs>
        <w:ind w:left="507" w:hanging="397"/>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7F2AA5"/>
    <w:multiLevelType w:val="hybridMultilevel"/>
    <w:tmpl w:val="8A02D3E2"/>
    <w:lvl w:ilvl="0" w:tplc="055E58AE">
      <w:start w:val="1"/>
      <w:numFmt w:val="lowerRoman"/>
      <w:lvlText w:val="%1."/>
      <w:lvlJc w:val="left"/>
      <w:pPr>
        <w:ind w:left="1831" w:hanging="420"/>
      </w:pPr>
      <w:rPr>
        <w:rFonts w:hint="default"/>
        <w:b w:val="0"/>
        <w:lang w:val="en-US"/>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24">
    <w:nsid w:val="44386173"/>
    <w:multiLevelType w:val="hybridMultilevel"/>
    <w:tmpl w:val="AA0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8498D"/>
    <w:multiLevelType w:val="hybridMultilevel"/>
    <w:tmpl w:val="FA10CF62"/>
    <w:lvl w:ilvl="0" w:tplc="5C6E735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7DB4DC9"/>
    <w:multiLevelType w:val="hybridMultilevel"/>
    <w:tmpl w:val="E10655CC"/>
    <w:lvl w:ilvl="0" w:tplc="5C6E7350">
      <w:start w:val="1"/>
      <w:numFmt w:val="bullet"/>
      <w:lvlText w:val=""/>
      <w:lvlJc w:val="left"/>
      <w:pPr>
        <w:tabs>
          <w:tab w:val="num" w:pos="727"/>
        </w:tabs>
        <w:ind w:left="727" w:hanging="397"/>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7">
    <w:nsid w:val="4D685709"/>
    <w:multiLevelType w:val="hybridMultilevel"/>
    <w:tmpl w:val="7742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A6F9C"/>
    <w:multiLevelType w:val="multilevel"/>
    <w:tmpl w:val="0409001D"/>
    <w:name w:val="Simmons&amp;Simm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F344F4B"/>
    <w:multiLevelType w:val="hybridMultilevel"/>
    <w:tmpl w:val="51F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A1B41"/>
    <w:multiLevelType w:val="hybridMultilevel"/>
    <w:tmpl w:val="F0048884"/>
    <w:lvl w:ilvl="0" w:tplc="CF4295CC">
      <w:start w:val="1"/>
      <w:numFmt w:val="decimal"/>
      <w:lvlText w:val="%1."/>
      <w:lvlJc w:val="left"/>
      <w:pPr>
        <w:ind w:left="644" w:hanging="360"/>
      </w:pPr>
      <w:rPr>
        <w:rFonts w:ascii="Arial" w:hAnsi="Arial" w:cs="Arial"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535F2F9D"/>
    <w:multiLevelType w:val="hybridMultilevel"/>
    <w:tmpl w:val="E51865B6"/>
    <w:lvl w:ilvl="0" w:tplc="71EE2802">
      <w:start w:val="1"/>
      <w:numFmt w:val="decimal"/>
      <w:lvlText w:val="%1."/>
      <w:lvlJc w:val="left"/>
      <w:pPr>
        <w:ind w:left="360" w:hanging="360"/>
      </w:pPr>
      <w:rPr>
        <w:rFonts w:ascii="Arial" w:eastAsia="宋体"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9AC5A2B"/>
    <w:multiLevelType w:val="hybridMultilevel"/>
    <w:tmpl w:val="6750CDC6"/>
    <w:lvl w:ilvl="0" w:tplc="41968240">
      <w:start w:val="1"/>
      <w:numFmt w:val="lowerRoman"/>
      <w:lvlText w:val="(%1)"/>
      <w:lvlJc w:val="left"/>
      <w:pPr>
        <w:ind w:left="2705" w:hanging="7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33">
    <w:nsid w:val="59CF22B1"/>
    <w:multiLevelType w:val="hybridMultilevel"/>
    <w:tmpl w:val="124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CD2148"/>
    <w:multiLevelType w:val="hybridMultilevel"/>
    <w:tmpl w:val="6750CDC6"/>
    <w:lvl w:ilvl="0" w:tplc="41968240">
      <w:start w:val="1"/>
      <w:numFmt w:val="lowerRoman"/>
      <w:lvlText w:val="(%1)"/>
      <w:lvlJc w:val="left"/>
      <w:pPr>
        <w:ind w:left="2705" w:hanging="7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35">
    <w:nsid w:val="5CFD116C"/>
    <w:multiLevelType w:val="hybridMultilevel"/>
    <w:tmpl w:val="5AE2F33A"/>
    <w:lvl w:ilvl="0" w:tplc="BCF6D1BE">
      <w:start w:val="1"/>
      <w:numFmt w:val="decimal"/>
      <w:lvlText w:val="%1."/>
      <w:lvlJc w:val="left"/>
      <w:pPr>
        <w:ind w:left="502" w:hanging="360"/>
      </w:pPr>
      <w:rPr>
        <w:rFonts w:cs="Times New Roman"/>
        <w:b/>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6">
    <w:nsid w:val="5E802B7B"/>
    <w:multiLevelType w:val="hybridMultilevel"/>
    <w:tmpl w:val="767A8764"/>
    <w:lvl w:ilvl="0" w:tplc="68B8D5E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0835A1"/>
    <w:multiLevelType w:val="hybridMultilevel"/>
    <w:tmpl w:val="5DD07F2E"/>
    <w:lvl w:ilvl="0" w:tplc="5C6E7350">
      <w:start w:val="1"/>
      <w:numFmt w:val="bullet"/>
      <w:lvlText w:val=""/>
      <w:lvlJc w:val="left"/>
      <w:pPr>
        <w:tabs>
          <w:tab w:val="num" w:pos="507"/>
        </w:tabs>
        <w:ind w:left="507" w:hanging="397"/>
      </w:pPr>
      <w:rPr>
        <w:rFonts w:ascii="Symbol" w:hAnsi="Symbol" w:hint="default"/>
      </w:rPr>
    </w:lvl>
    <w:lvl w:ilvl="1" w:tplc="08090003" w:tentative="1">
      <w:start w:val="1"/>
      <w:numFmt w:val="bullet"/>
      <w:lvlText w:val="o"/>
      <w:lvlJc w:val="left"/>
      <w:pPr>
        <w:tabs>
          <w:tab w:val="num" w:pos="1550"/>
        </w:tabs>
        <w:ind w:left="1550" w:hanging="360"/>
      </w:pPr>
      <w:rPr>
        <w:rFonts w:ascii="Courier New" w:hAnsi="Courier New" w:cs="Courier New" w:hint="default"/>
      </w:rPr>
    </w:lvl>
    <w:lvl w:ilvl="2" w:tplc="08090005" w:tentative="1">
      <w:start w:val="1"/>
      <w:numFmt w:val="bullet"/>
      <w:lvlText w:val=""/>
      <w:lvlJc w:val="left"/>
      <w:pPr>
        <w:tabs>
          <w:tab w:val="num" w:pos="2270"/>
        </w:tabs>
        <w:ind w:left="2270" w:hanging="360"/>
      </w:pPr>
      <w:rPr>
        <w:rFonts w:ascii="Wingdings" w:hAnsi="Wingdings" w:hint="default"/>
      </w:rPr>
    </w:lvl>
    <w:lvl w:ilvl="3" w:tplc="08090001" w:tentative="1">
      <w:start w:val="1"/>
      <w:numFmt w:val="bullet"/>
      <w:lvlText w:val=""/>
      <w:lvlJc w:val="left"/>
      <w:pPr>
        <w:tabs>
          <w:tab w:val="num" w:pos="2990"/>
        </w:tabs>
        <w:ind w:left="2990" w:hanging="360"/>
      </w:pPr>
      <w:rPr>
        <w:rFonts w:ascii="Symbol" w:hAnsi="Symbol" w:hint="default"/>
      </w:rPr>
    </w:lvl>
    <w:lvl w:ilvl="4" w:tplc="08090003" w:tentative="1">
      <w:start w:val="1"/>
      <w:numFmt w:val="bullet"/>
      <w:lvlText w:val="o"/>
      <w:lvlJc w:val="left"/>
      <w:pPr>
        <w:tabs>
          <w:tab w:val="num" w:pos="3710"/>
        </w:tabs>
        <w:ind w:left="3710" w:hanging="360"/>
      </w:pPr>
      <w:rPr>
        <w:rFonts w:ascii="Courier New" w:hAnsi="Courier New" w:cs="Courier New" w:hint="default"/>
      </w:rPr>
    </w:lvl>
    <w:lvl w:ilvl="5" w:tplc="08090005" w:tentative="1">
      <w:start w:val="1"/>
      <w:numFmt w:val="bullet"/>
      <w:lvlText w:val=""/>
      <w:lvlJc w:val="left"/>
      <w:pPr>
        <w:tabs>
          <w:tab w:val="num" w:pos="4430"/>
        </w:tabs>
        <w:ind w:left="4430" w:hanging="360"/>
      </w:pPr>
      <w:rPr>
        <w:rFonts w:ascii="Wingdings" w:hAnsi="Wingdings" w:hint="default"/>
      </w:rPr>
    </w:lvl>
    <w:lvl w:ilvl="6" w:tplc="08090001" w:tentative="1">
      <w:start w:val="1"/>
      <w:numFmt w:val="bullet"/>
      <w:lvlText w:val=""/>
      <w:lvlJc w:val="left"/>
      <w:pPr>
        <w:tabs>
          <w:tab w:val="num" w:pos="5150"/>
        </w:tabs>
        <w:ind w:left="5150" w:hanging="360"/>
      </w:pPr>
      <w:rPr>
        <w:rFonts w:ascii="Symbol" w:hAnsi="Symbol" w:hint="default"/>
      </w:rPr>
    </w:lvl>
    <w:lvl w:ilvl="7" w:tplc="08090003" w:tentative="1">
      <w:start w:val="1"/>
      <w:numFmt w:val="bullet"/>
      <w:lvlText w:val="o"/>
      <w:lvlJc w:val="left"/>
      <w:pPr>
        <w:tabs>
          <w:tab w:val="num" w:pos="5870"/>
        </w:tabs>
        <w:ind w:left="5870" w:hanging="360"/>
      </w:pPr>
      <w:rPr>
        <w:rFonts w:ascii="Courier New" w:hAnsi="Courier New" w:cs="Courier New" w:hint="default"/>
      </w:rPr>
    </w:lvl>
    <w:lvl w:ilvl="8" w:tplc="08090005" w:tentative="1">
      <w:start w:val="1"/>
      <w:numFmt w:val="bullet"/>
      <w:lvlText w:val=""/>
      <w:lvlJc w:val="left"/>
      <w:pPr>
        <w:tabs>
          <w:tab w:val="num" w:pos="6590"/>
        </w:tabs>
        <w:ind w:left="6590" w:hanging="360"/>
      </w:pPr>
      <w:rPr>
        <w:rFonts w:ascii="Wingdings" w:hAnsi="Wingdings" w:hint="default"/>
      </w:rPr>
    </w:lvl>
  </w:abstractNum>
  <w:abstractNum w:abstractNumId="38">
    <w:nsid w:val="6D1878A5"/>
    <w:multiLevelType w:val="hybridMultilevel"/>
    <w:tmpl w:val="11265AA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8218EF"/>
    <w:multiLevelType w:val="hybridMultilevel"/>
    <w:tmpl w:val="6D0C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D4DF8"/>
    <w:multiLevelType w:val="hybridMultilevel"/>
    <w:tmpl w:val="EF30836A"/>
    <w:lvl w:ilvl="0" w:tplc="5C6E7350">
      <w:start w:val="1"/>
      <w:numFmt w:val="bullet"/>
      <w:lvlText w:val=""/>
      <w:lvlJc w:val="left"/>
      <w:pPr>
        <w:tabs>
          <w:tab w:val="num" w:pos="507"/>
        </w:tabs>
        <w:ind w:left="507" w:hanging="397"/>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2B37AC"/>
    <w:multiLevelType w:val="multilevel"/>
    <w:tmpl w:val="8B8853D2"/>
    <w:name w:val="Simmons&amp;Simmons"/>
    <w:lvl w:ilvl="0">
      <w:start w:val="1"/>
      <w:numFmt w:val="none"/>
      <w:pStyle w:val="ssRestartNumber"/>
      <w:suff w:val="nothing"/>
      <w:lvlText w:val=""/>
      <w:lvlJc w:val="left"/>
      <w:pPr>
        <w:ind w:left="0" w:firstLine="0"/>
      </w:pPr>
      <w:rPr>
        <w:rFonts w:hint="default"/>
      </w:rPr>
    </w:lvl>
    <w:lvl w:ilvl="1">
      <w:start w:val="1"/>
      <w:numFmt w:val="decimal"/>
      <w:pStyle w:val="1"/>
      <w:lvlText w:val="%2."/>
      <w:lvlJc w:val="left"/>
      <w:pPr>
        <w:tabs>
          <w:tab w:val="num" w:pos="709"/>
        </w:tabs>
        <w:ind w:left="709" w:hanging="709"/>
      </w:pPr>
      <w:rPr>
        <w:rFonts w:hint="default"/>
        <w:b w:val="0"/>
      </w:rPr>
    </w:lvl>
    <w:lvl w:ilvl="2">
      <w:start w:val="1"/>
      <w:numFmt w:val="decimal"/>
      <w:pStyle w:val="2"/>
      <w:lvlText w:val="%2.%3"/>
      <w:lvlJc w:val="left"/>
      <w:pPr>
        <w:tabs>
          <w:tab w:val="num" w:pos="709"/>
        </w:tabs>
        <w:ind w:left="709" w:hanging="709"/>
      </w:pPr>
      <w:rPr>
        <w:rFonts w:hint="default"/>
        <w:b w:val="0"/>
      </w:rPr>
    </w:lvl>
    <w:lvl w:ilvl="3">
      <w:start w:val="1"/>
      <w:numFmt w:val="upperLetter"/>
      <w:pStyle w:val="3"/>
      <w:lvlText w:val="(%4)"/>
      <w:lvlJc w:val="left"/>
      <w:pPr>
        <w:tabs>
          <w:tab w:val="num" w:pos="1418"/>
        </w:tabs>
        <w:ind w:left="1418" w:hanging="709"/>
      </w:pPr>
      <w:rPr>
        <w:rFonts w:hint="default"/>
        <w:b w:val="0"/>
      </w:rPr>
    </w:lvl>
    <w:lvl w:ilvl="4">
      <w:start w:val="1"/>
      <w:numFmt w:val="decimal"/>
      <w:pStyle w:val="4"/>
      <w:lvlText w:val="(%5)"/>
      <w:lvlJc w:val="left"/>
      <w:pPr>
        <w:tabs>
          <w:tab w:val="num" w:pos="1985"/>
        </w:tabs>
        <w:ind w:left="1985" w:hanging="567"/>
      </w:pPr>
      <w:rPr>
        <w:rFonts w:hint="default"/>
        <w:b w:val="0"/>
      </w:rPr>
    </w:lvl>
    <w:lvl w:ilvl="5">
      <w:start w:val="1"/>
      <w:numFmt w:val="lowerLetter"/>
      <w:pStyle w:val="5"/>
      <w:lvlText w:val="(%6)"/>
      <w:lvlJc w:val="left"/>
      <w:pPr>
        <w:tabs>
          <w:tab w:val="num" w:pos="2552"/>
        </w:tabs>
        <w:ind w:left="2552" w:hanging="567"/>
      </w:pPr>
      <w:rPr>
        <w:rFonts w:hint="default"/>
        <w:b w:val="0"/>
      </w:rPr>
    </w:lvl>
    <w:lvl w:ilvl="6">
      <w:start w:val="1"/>
      <w:numFmt w:val="lowerRoman"/>
      <w:pStyle w:val="6"/>
      <w:lvlText w:val="(%7)"/>
      <w:lvlJc w:val="left"/>
      <w:pPr>
        <w:tabs>
          <w:tab w:val="num" w:pos="3119"/>
        </w:tabs>
        <w:ind w:left="3119" w:hanging="567"/>
      </w:pPr>
      <w:rPr>
        <w:rFonts w:hint="default"/>
        <w:b w:val="0"/>
      </w:rPr>
    </w:lvl>
    <w:lvl w:ilvl="7">
      <w:start w:val="1"/>
      <w:numFmt w:val="none"/>
      <w:pStyle w:val="7"/>
      <w:suff w:val="nothing"/>
      <w:lvlText w:val=""/>
      <w:lvlJc w:val="left"/>
      <w:pPr>
        <w:ind w:left="0" w:firstLine="0"/>
      </w:pPr>
      <w:rPr>
        <w:rFonts w:hint="default"/>
        <w:b w:val="0"/>
      </w:rPr>
    </w:lvl>
    <w:lvl w:ilvl="8">
      <w:start w:val="1"/>
      <w:numFmt w:val="none"/>
      <w:pStyle w:val="8"/>
      <w:suff w:val="nothing"/>
      <w:lvlText w:val=""/>
      <w:lvlJc w:val="left"/>
      <w:pPr>
        <w:ind w:left="0" w:firstLine="0"/>
      </w:pPr>
      <w:rPr>
        <w:rFonts w:hint="default"/>
        <w:b w:val="0"/>
      </w:rPr>
    </w:lvl>
  </w:abstractNum>
  <w:abstractNum w:abstractNumId="42">
    <w:nsid w:val="75936426"/>
    <w:multiLevelType w:val="hybridMultilevel"/>
    <w:tmpl w:val="A3F8E17A"/>
    <w:lvl w:ilvl="0" w:tplc="5C6E7350">
      <w:start w:val="1"/>
      <w:numFmt w:val="bullet"/>
      <w:lvlText w:val=""/>
      <w:lvlJc w:val="left"/>
      <w:pPr>
        <w:tabs>
          <w:tab w:val="num" w:pos="727"/>
        </w:tabs>
        <w:ind w:left="727" w:hanging="397"/>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43">
    <w:nsid w:val="76B56203"/>
    <w:multiLevelType w:val="hybridMultilevel"/>
    <w:tmpl w:val="AC62A7BE"/>
    <w:lvl w:ilvl="0" w:tplc="68B8D5E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70001A3"/>
    <w:multiLevelType w:val="hybridMultilevel"/>
    <w:tmpl w:val="E18AEE04"/>
    <w:lvl w:ilvl="0" w:tplc="D3365D36">
      <w:start w:val="1"/>
      <w:numFmt w:val="decimal"/>
      <w:lvlText w:val="(%1)"/>
      <w:lvlJc w:val="left"/>
      <w:pPr>
        <w:ind w:left="1413" w:hanging="420"/>
      </w:pPr>
      <w:rPr>
        <w:rFonts w:cs="Times New Roman" w:hint="default"/>
        <w:b w:val="0"/>
      </w:rPr>
    </w:lvl>
    <w:lvl w:ilvl="1" w:tplc="04090019" w:tentative="1">
      <w:start w:val="1"/>
      <w:numFmt w:val="lowerLetter"/>
      <w:lvlText w:val="%2)"/>
      <w:lvlJc w:val="left"/>
      <w:pPr>
        <w:ind w:left="1833" w:hanging="420"/>
      </w:pPr>
    </w:lvl>
    <w:lvl w:ilvl="2" w:tplc="C8A4D736">
      <w:start w:val="1"/>
      <w:numFmt w:val="lowerRoman"/>
      <w:lvlText w:val="%3."/>
      <w:lvlJc w:val="left"/>
      <w:pPr>
        <w:ind w:left="1838" w:hanging="420"/>
      </w:pPr>
      <w:rPr>
        <w:rFonts w:ascii="Arial" w:hAnsi="Arial" w:cs="Arial" w:hint="default"/>
      </w:r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5">
    <w:nsid w:val="7C3C5D93"/>
    <w:multiLevelType w:val="hybridMultilevel"/>
    <w:tmpl w:val="48A2C7D8"/>
    <w:lvl w:ilvl="0" w:tplc="2D08EE22">
      <w:start w:val="1"/>
      <w:numFmt w:val="lowerLetter"/>
      <w:lvlText w:val="(%1)"/>
      <w:lvlJc w:val="left"/>
      <w:pPr>
        <w:ind w:left="880" w:hanging="420"/>
      </w:pPr>
      <w:rPr>
        <w:rFonts w:ascii="Arial" w:hAnsi="Arial" w:cs="Arial" w:hint="default"/>
      </w:rPr>
    </w:lvl>
    <w:lvl w:ilvl="1" w:tplc="04090019">
      <w:start w:val="1"/>
      <w:numFmt w:val="lowerLetter"/>
      <w:lvlText w:val="%2)"/>
      <w:lvlJc w:val="left"/>
      <w:pPr>
        <w:ind w:left="1300" w:hanging="420"/>
      </w:pPr>
    </w:lvl>
    <w:lvl w:ilvl="2" w:tplc="0409001B">
      <w:start w:val="1"/>
      <w:numFmt w:val="lowerRoman"/>
      <w:lvlText w:val="%3."/>
      <w:lvlJc w:val="right"/>
      <w:pPr>
        <w:ind w:left="1720" w:hanging="420"/>
      </w:pPr>
    </w:lvl>
    <w:lvl w:ilvl="3" w:tplc="0409000F">
      <w:start w:val="1"/>
      <w:numFmt w:val="decimal"/>
      <w:lvlText w:val="%4."/>
      <w:lvlJc w:val="left"/>
      <w:pPr>
        <w:ind w:left="2140" w:hanging="420"/>
      </w:pPr>
    </w:lvl>
    <w:lvl w:ilvl="4" w:tplc="04090019">
      <w:start w:val="1"/>
      <w:numFmt w:val="lowerLetter"/>
      <w:lvlText w:val="%5)"/>
      <w:lvlJc w:val="left"/>
      <w:pPr>
        <w:ind w:left="2560" w:hanging="420"/>
      </w:pPr>
    </w:lvl>
    <w:lvl w:ilvl="5" w:tplc="0409001B">
      <w:start w:val="1"/>
      <w:numFmt w:val="lowerRoman"/>
      <w:lvlText w:val="%6."/>
      <w:lvlJc w:val="right"/>
      <w:pPr>
        <w:ind w:left="2980" w:hanging="420"/>
      </w:pPr>
    </w:lvl>
    <w:lvl w:ilvl="6" w:tplc="0409000F">
      <w:start w:val="1"/>
      <w:numFmt w:val="decimal"/>
      <w:lvlText w:val="%7."/>
      <w:lvlJc w:val="left"/>
      <w:pPr>
        <w:ind w:left="3400" w:hanging="420"/>
      </w:pPr>
    </w:lvl>
    <w:lvl w:ilvl="7" w:tplc="04090019">
      <w:start w:val="1"/>
      <w:numFmt w:val="lowerLetter"/>
      <w:lvlText w:val="%8)"/>
      <w:lvlJc w:val="left"/>
      <w:pPr>
        <w:ind w:left="3820" w:hanging="420"/>
      </w:pPr>
    </w:lvl>
    <w:lvl w:ilvl="8" w:tplc="0409001B">
      <w:start w:val="1"/>
      <w:numFmt w:val="lowerRoman"/>
      <w:lvlText w:val="%9."/>
      <w:lvlJc w:val="right"/>
      <w:pPr>
        <w:ind w:left="4240" w:hanging="420"/>
      </w:pPr>
    </w:lvl>
  </w:abstractNum>
  <w:abstractNum w:abstractNumId="46">
    <w:nsid w:val="7DB85B3A"/>
    <w:multiLevelType w:val="hybridMultilevel"/>
    <w:tmpl w:val="868C1500"/>
    <w:lvl w:ilvl="0" w:tplc="04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F070AD3"/>
    <w:multiLevelType w:val="multilevel"/>
    <w:tmpl w:val="1F822026"/>
    <w:lvl w:ilvl="0">
      <w:start w:val="1"/>
      <w:numFmt w:val="bullet"/>
      <w:lvlText w:val=""/>
      <w:lvlJc w:val="left"/>
      <w:pPr>
        <w:tabs>
          <w:tab w:val="num" w:pos="507"/>
        </w:tabs>
        <w:ind w:left="507" w:hanging="39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
  </w:num>
  <w:num w:numId="3">
    <w:abstractNumId w:val="0"/>
  </w:num>
  <w:num w:numId="4">
    <w:abstractNumId w:val="20"/>
  </w:num>
  <w:num w:numId="5">
    <w:abstractNumId w:val="19"/>
  </w:num>
  <w:num w:numId="6">
    <w:abstractNumId w:val="46"/>
  </w:num>
  <w:num w:numId="7">
    <w:abstractNumId w:val="36"/>
  </w:num>
  <w:num w:numId="8">
    <w:abstractNumId w:val="43"/>
  </w:num>
  <w:num w:numId="9">
    <w:abstractNumId w:val="16"/>
  </w:num>
  <w:num w:numId="10">
    <w:abstractNumId w:val="25"/>
  </w:num>
  <w:num w:numId="11">
    <w:abstractNumId w:val="7"/>
  </w:num>
  <w:num w:numId="12">
    <w:abstractNumId w:val="12"/>
  </w:num>
  <w:num w:numId="13">
    <w:abstractNumId w:val="42"/>
  </w:num>
  <w:num w:numId="14">
    <w:abstractNumId w:val="26"/>
  </w:num>
  <w:num w:numId="15">
    <w:abstractNumId w:val="37"/>
  </w:num>
  <w:num w:numId="16">
    <w:abstractNumId w:val="11"/>
  </w:num>
  <w:num w:numId="17">
    <w:abstractNumId w:val="2"/>
  </w:num>
  <w:num w:numId="18">
    <w:abstractNumId w:val="13"/>
  </w:num>
  <w:num w:numId="19">
    <w:abstractNumId w:val="22"/>
  </w:num>
  <w:num w:numId="20">
    <w:abstractNumId w:val="47"/>
  </w:num>
  <w:num w:numId="21">
    <w:abstractNumId w:val="40"/>
  </w:num>
  <w:num w:numId="22">
    <w:abstractNumId w:val="9"/>
  </w:num>
  <w:num w:numId="23">
    <w:abstractNumId w:val="24"/>
  </w:num>
  <w:num w:numId="24">
    <w:abstractNumId w:val="17"/>
  </w:num>
  <w:num w:numId="25">
    <w:abstractNumId w:val="29"/>
  </w:num>
  <w:num w:numId="26">
    <w:abstractNumId w:val="3"/>
  </w:num>
  <w:num w:numId="27">
    <w:abstractNumId w:val="39"/>
  </w:num>
  <w:num w:numId="28">
    <w:abstractNumId w:val="27"/>
  </w:num>
  <w:num w:numId="29">
    <w:abstractNumId w:val="8"/>
  </w:num>
  <w:num w:numId="30">
    <w:abstractNumId w:val="33"/>
  </w:num>
  <w:num w:numId="31">
    <w:abstractNumId w:val="4"/>
  </w:num>
  <w:num w:numId="32">
    <w:abstractNumId w:val="35"/>
  </w:num>
  <w:num w:numId="33">
    <w:abstractNumId w:val="10"/>
  </w:num>
  <w:num w:numId="34">
    <w:abstractNumId w:val="38"/>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5"/>
  </w:num>
  <w:num w:numId="38">
    <w:abstractNumId w:val="23"/>
  </w:num>
  <w:num w:numId="39">
    <w:abstractNumId w:val="32"/>
  </w:num>
  <w:num w:numId="40">
    <w:abstractNumId w:val="44"/>
  </w:num>
  <w:num w:numId="41">
    <w:abstractNumId w:val="34"/>
  </w:num>
  <w:num w:numId="42">
    <w:abstractNumId w:val="30"/>
  </w:num>
  <w:num w:numId="43">
    <w:abstractNumId w:val="31"/>
  </w:num>
  <w:num w:numId="44">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Formatting/>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useFELayout/>
  </w:compat>
  <w:docVars>
    <w:docVar w:name="DocVars" w:val="&lt;?xml version=&quot;1.0&quot; encoding=&quot;utf-16&quot;?&gt;_x000d__x000a_&lt;SSDocument xmlns:xsi=&quot;http://www.w3.org/2001/XMLSchema-instance&quot; xmlns:xsd=&quot;http://www.w3.org/2001/XMLSchema&quot;&gt;_x000d__x000a_  &lt;ClosingSalutation&gt;yours sincerely&lt;/ClosingSalutation&gt;_x000d__x000a_  &lt;DocumentDate /&gt;_x000d__x000a_  &lt;HasCounterSig&gt;false&lt;/HasCounterSig&gt;_x000d__x000a_  &lt;CourtParties /&gt;_x000d__x000a_  &lt;CounterSig /&gt;_x000d__x000a_  &lt;PrimarySig /&gt;_x000d__x000a_  &lt;PrimarySigJobTitle /&gt;_x000d__x000a_  &lt;CounterSigJobTitle /&gt;_x000d__x000a_  &lt;Heading /&gt;_x000d__x000a_  &lt;Salutation /&gt;_x000d__x000a_  &lt;YourRef /&gt;_x000d__x000a_  &lt;Legends /&gt;_x000d__x000a_  &lt;CSlipAddressees /&gt;_x000d__x000a_  &lt;Addresses /&gt;_x000d__x000a_  &lt;DocType&gt;General&lt;/DocType&gt;_x000d__x000a_  &lt;Lang&gt;English&lt;/Lang&gt;_x000d__x000a_  &lt;OfficeLanguage&gt;English&lt;/OfficeLanguage&gt;_x000d__x000a_  &lt;Office&gt;London&lt;/Office&gt;_x000d__x000a_  &lt;AuthorName&gt;RUH&lt;/AuthorName&gt;_x000d__x000a_  &lt;AuthorInitials&gt;MKSN&lt;/AuthorInitials&gt;_x000d__x000a_  &lt;IsStandardDocument&gt;false&lt;/IsStandardDocument&gt;_x000d__x000a_  &lt;IsStandardSingleConvert&gt;false&lt;/IsStandardSingleConvert&gt;_x000d__x000a_  &lt;IsStandardBulkConvert&gt;false&lt;/IsStandardBulkConvert&gt;_x000d__x000a_  &lt;IsPMDocument&gt;false&lt;/IsPMDocument&gt;_x000d__x000a_  &lt;CCLocation&gt;EndofLetter&lt;/CCLocation&gt;_x000d__x000a_  &lt;InternationalTelephoneFormat&gt;true&lt;/InternationalTelephoneFormat&gt;_x000d__x000a_  &lt;DateFormat&gt;Text&lt;/DateFormat&gt;_x000d__x000a_  &lt;BlankDocument&gt;false&lt;/BlankDocument&gt;_x000d__x000a_  &lt;ShowDD&gt;false&lt;/ShowDD&gt;_x000d__x000a_  &lt;ShowPartner&gt;false&lt;/ShowPartner&gt;_x000d__x000a_  &lt;ShowEmail&gt;false&lt;/ShowEmail&gt;_x000d__x000a_  &lt;Email&gt;ROLFE.HAYDEN@SIMMONS-SIMMONS.COM&lt;/Email&gt;_x000d__x000a_  &lt;Draft&gt;false&lt;/Draft&gt;_x000d__x000a_  &lt;Engrossed&gt;false&lt;/Engrossed&gt;_x000d__x000a_  &lt;MaximumLegends&gt;5&lt;/MaximumLegends&gt;_x000d__x000a_  &lt;NumberOfFaxPages&gt;0&lt;/NumberOfFaxPages&gt;_x000d__x000a_  &lt;AgreementIsLR&gt;false&lt;/AgreementIsLR&gt;_x000d__x000a_  &lt;IsSimmons&gt;true&lt;/IsSimmons&gt;_x000d__x000a_  &lt;HasContents&gt;false&lt;/HasContents&gt;_x000d__x000a_  &lt;HasExecSummary&gt;false&lt;/HasExecSummary&gt;_x000d__x000a_  &lt;Parties /&gt;_x000d__x000a_  &lt;AgreementHasSummary&gt;false&lt;/AgreementHasSummary&gt;_x000d__x000a_  &lt;AgreementIsFreeform&gt;false&lt;/AgreementIsFreeform&gt;_x000d__x000a_  &lt;Conformed&gt;false&lt;/Conformed&gt;_x000d__x000a_  &lt;AutoDate&gt;false&lt;/AutoDate&gt;_x000d__x000a_  &lt;LabelHasAddress&gt;false&lt;/LabelHasAddress&gt;_x000d__x000a_  &lt;DD&gt;302&lt;/DD&gt;_x000d__x000a_  &lt;DF /&gt;_x000d__x000a_  &lt;ToCLevel&gt;0&lt;/ToCLevel&gt;_x000d__x000a_  &lt;ConvertedWord97Document&gt;false&lt;/ConvertedWord97Document&gt;_x000d__x000a_  &lt;CodeVersion&gt;1.2.52.0&lt;/CodeVersion&gt;_x000d__x000a_  &lt;Avocat&gt;false&lt;/Avocat&gt;_x000d__x000a_  &lt;ItalianCourtLined&gt;false&lt;/ItalianCourtLined&gt;_x000d__x000a_  &lt;ItalianCourtUnlined&gt;false&lt;/ItalianCourtUnlined&gt;_x000d__x000a_  &lt;NetherlandsToC&gt;false&lt;/NetherlandsToC&gt;_x000d__x000a_&lt;/SSDocument&gt;"/>
  </w:docVars>
  <w:rsids>
    <w:rsidRoot w:val="00CC71A9"/>
    <w:rsid w:val="00000B6A"/>
    <w:rsid w:val="000011E5"/>
    <w:rsid w:val="00002126"/>
    <w:rsid w:val="00002900"/>
    <w:rsid w:val="0000682A"/>
    <w:rsid w:val="000104C0"/>
    <w:rsid w:val="00011059"/>
    <w:rsid w:val="00015D86"/>
    <w:rsid w:val="0001745F"/>
    <w:rsid w:val="000176A7"/>
    <w:rsid w:val="00017EEE"/>
    <w:rsid w:val="00020A13"/>
    <w:rsid w:val="00021B8C"/>
    <w:rsid w:val="00023781"/>
    <w:rsid w:val="000243E4"/>
    <w:rsid w:val="00030FDF"/>
    <w:rsid w:val="0003162C"/>
    <w:rsid w:val="00031FB9"/>
    <w:rsid w:val="000322CC"/>
    <w:rsid w:val="00033386"/>
    <w:rsid w:val="00033B6E"/>
    <w:rsid w:val="00033DB7"/>
    <w:rsid w:val="000343E5"/>
    <w:rsid w:val="000347A7"/>
    <w:rsid w:val="000356CD"/>
    <w:rsid w:val="000358DD"/>
    <w:rsid w:val="00036A39"/>
    <w:rsid w:val="00042012"/>
    <w:rsid w:val="000433C6"/>
    <w:rsid w:val="000435E3"/>
    <w:rsid w:val="00043795"/>
    <w:rsid w:val="00044F9A"/>
    <w:rsid w:val="000457C1"/>
    <w:rsid w:val="00047FB1"/>
    <w:rsid w:val="00050051"/>
    <w:rsid w:val="00051AF5"/>
    <w:rsid w:val="000547B6"/>
    <w:rsid w:val="00055DEA"/>
    <w:rsid w:val="000567A4"/>
    <w:rsid w:val="00061AEA"/>
    <w:rsid w:val="00062E4D"/>
    <w:rsid w:val="00063DB3"/>
    <w:rsid w:val="00065766"/>
    <w:rsid w:val="00065F8D"/>
    <w:rsid w:val="00065F95"/>
    <w:rsid w:val="00066351"/>
    <w:rsid w:val="00070C84"/>
    <w:rsid w:val="00070EAE"/>
    <w:rsid w:val="00072993"/>
    <w:rsid w:val="000769DA"/>
    <w:rsid w:val="00077937"/>
    <w:rsid w:val="00081341"/>
    <w:rsid w:val="000822A9"/>
    <w:rsid w:val="00083975"/>
    <w:rsid w:val="00083BDB"/>
    <w:rsid w:val="00084143"/>
    <w:rsid w:val="00085439"/>
    <w:rsid w:val="000868B3"/>
    <w:rsid w:val="00087070"/>
    <w:rsid w:val="000909EF"/>
    <w:rsid w:val="00091FFF"/>
    <w:rsid w:val="00094FBA"/>
    <w:rsid w:val="000A0E19"/>
    <w:rsid w:val="000A197A"/>
    <w:rsid w:val="000A2543"/>
    <w:rsid w:val="000A28EB"/>
    <w:rsid w:val="000A2ED8"/>
    <w:rsid w:val="000A3FF8"/>
    <w:rsid w:val="000A4AB7"/>
    <w:rsid w:val="000A5872"/>
    <w:rsid w:val="000A6BB5"/>
    <w:rsid w:val="000A7E9B"/>
    <w:rsid w:val="000B112D"/>
    <w:rsid w:val="000B2389"/>
    <w:rsid w:val="000B2410"/>
    <w:rsid w:val="000B259F"/>
    <w:rsid w:val="000B3180"/>
    <w:rsid w:val="000B32D7"/>
    <w:rsid w:val="000B3C3A"/>
    <w:rsid w:val="000B4246"/>
    <w:rsid w:val="000B4252"/>
    <w:rsid w:val="000B4B14"/>
    <w:rsid w:val="000B4FE4"/>
    <w:rsid w:val="000B56EC"/>
    <w:rsid w:val="000B65E1"/>
    <w:rsid w:val="000B6643"/>
    <w:rsid w:val="000B6710"/>
    <w:rsid w:val="000B7075"/>
    <w:rsid w:val="000B7102"/>
    <w:rsid w:val="000C0C20"/>
    <w:rsid w:val="000C10B5"/>
    <w:rsid w:val="000C1E77"/>
    <w:rsid w:val="000C43D2"/>
    <w:rsid w:val="000C46C0"/>
    <w:rsid w:val="000C4A87"/>
    <w:rsid w:val="000C539C"/>
    <w:rsid w:val="000C5AEF"/>
    <w:rsid w:val="000C685C"/>
    <w:rsid w:val="000C76DD"/>
    <w:rsid w:val="000C7A43"/>
    <w:rsid w:val="000D034C"/>
    <w:rsid w:val="000D14BD"/>
    <w:rsid w:val="000D15AE"/>
    <w:rsid w:val="000D1887"/>
    <w:rsid w:val="000D3944"/>
    <w:rsid w:val="000D63F6"/>
    <w:rsid w:val="000D7187"/>
    <w:rsid w:val="000D74A9"/>
    <w:rsid w:val="000E0C26"/>
    <w:rsid w:val="000E2591"/>
    <w:rsid w:val="000E2F1C"/>
    <w:rsid w:val="000E34FB"/>
    <w:rsid w:val="000E5102"/>
    <w:rsid w:val="000F0ACB"/>
    <w:rsid w:val="000F0F52"/>
    <w:rsid w:val="000F1163"/>
    <w:rsid w:val="000F4064"/>
    <w:rsid w:val="000F44EA"/>
    <w:rsid w:val="000F4612"/>
    <w:rsid w:val="000F66A0"/>
    <w:rsid w:val="000F6910"/>
    <w:rsid w:val="00100787"/>
    <w:rsid w:val="00103251"/>
    <w:rsid w:val="00103899"/>
    <w:rsid w:val="00105987"/>
    <w:rsid w:val="00105A9F"/>
    <w:rsid w:val="00106E8D"/>
    <w:rsid w:val="00107C41"/>
    <w:rsid w:val="00107F3A"/>
    <w:rsid w:val="00110CF6"/>
    <w:rsid w:val="00110E27"/>
    <w:rsid w:val="001111AE"/>
    <w:rsid w:val="001114C2"/>
    <w:rsid w:val="00112D78"/>
    <w:rsid w:val="00113CCD"/>
    <w:rsid w:val="00113E0C"/>
    <w:rsid w:val="001140F4"/>
    <w:rsid w:val="001146C3"/>
    <w:rsid w:val="0011513D"/>
    <w:rsid w:val="0012035E"/>
    <w:rsid w:val="00122F1B"/>
    <w:rsid w:val="001232AF"/>
    <w:rsid w:val="00124780"/>
    <w:rsid w:val="00125C27"/>
    <w:rsid w:val="0013052D"/>
    <w:rsid w:val="00130B3D"/>
    <w:rsid w:val="001332E4"/>
    <w:rsid w:val="001336D4"/>
    <w:rsid w:val="001351D6"/>
    <w:rsid w:val="001356CB"/>
    <w:rsid w:val="001411F8"/>
    <w:rsid w:val="00141234"/>
    <w:rsid w:val="001424D3"/>
    <w:rsid w:val="00142BFA"/>
    <w:rsid w:val="00143B1F"/>
    <w:rsid w:val="001445B6"/>
    <w:rsid w:val="00144DF8"/>
    <w:rsid w:val="001500A2"/>
    <w:rsid w:val="00150862"/>
    <w:rsid w:val="0015086D"/>
    <w:rsid w:val="0015179A"/>
    <w:rsid w:val="00151C74"/>
    <w:rsid w:val="00152AE6"/>
    <w:rsid w:val="00152BF7"/>
    <w:rsid w:val="00154B80"/>
    <w:rsid w:val="00154E8A"/>
    <w:rsid w:val="001553A7"/>
    <w:rsid w:val="001562C7"/>
    <w:rsid w:val="00156E6C"/>
    <w:rsid w:val="001614E3"/>
    <w:rsid w:val="00163170"/>
    <w:rsid w:val="001631E0"/>
    <w:rsid w:val="00164689"/>
    <w:rsid w:val="00165118"/>
    <w:rsid w:val="00167BCC"/>
    <w:rsid w:val="00167DA9"/>
    <w:rsid w:val="0017281E"/>
    <w:rsid w:val="00176B2B"/>
    <w:rsid w:val="00176BFF"/>
    <w:rsid w:val="0018115A"/>
    <w:rsid w:val="00181613"/>
    <w:rsid w:val="00181676"/>
    <w:rsid w:val="001818A1"/>
    <w:rsid w:val="00182FEB"/>
    <w:rsid w:val="0018311E"/>
    <w:rsid w:val="00183F4B"/>
    <w:rsid w:val="0018426E"/>
    <w:rsid w:val="00184297"/>
    <w:rsid w:val="001845D7"/>
    <w:rsid w:val="001849CF"/>
    <w:rsid w:val="001929B6"/>
    <w:rsid w:val="00193A3C"/>
    <w:rsid w:val="00194FFA"/>
    <w:rsid w:val="0019692C"/>
    <w:rsid w:val="001A03F9"/>
    <w:rsid w:val="001A0F38"/>
    <w:rsid w:val="001A159A"/>
    <w:rsid w:val="001A3C96"/>
    <w:rsid w:val="001A4E28"/>
    <w:rsid w:val="001B1C12"/>
    <w:rsid w:val="001B40B7"/>
    <w:rsid w:val="001B479D"/>
    <w:rsid w:val="001B707B"/>
    <w:rsid w:val="001B73AE"/>
    <w:rsid w:val="001C2438"/>
    <w:rsid w:val="001C2902"/>
    <w:rsid w:val="001C61DD"/>
    <w:rsid w:val="001D09B2"/>
    <w:rsid w:val="001D0F84"/>
    <w:rsid w:val="001D2482"/>
    <w:rsid w:val="001D2984"/>
    <w:rsid w:val="001D3B88"/>
    <w:rsid w:val="001D3CC5"/>
    <w:rsid w:val="001D4654"/>
    <w:rsid w:val="001D4679"/>
    <w:rsid w:val="001D5220"/>
    <w:rsid w:val="001D6427"/>
    <w:rsid w:val="001D7CC9"/>
    <w:rsid w:val="001E0A8F"/>
    <w:rsid w:val="001E1CE3"/>
    <w:rsid w:val="001E32B7"/>
    <w:rsid w:val="001E62A7"/>
    <w:rsid w:val="001E64CB"/>
    <w:rsid w:val="001E6C59"/>
    <w:rsid w:val="001E741A"/>
    <w:rsid w:val="001E7449"/>
    <w:rsid w:val="001F0EC8"/>
    <w:rsid w:val="001F24FC"/>
    <w:rsid w:val="001F2D78"/>
    <w:rsid w:val="001F3546"/>
    <w:rsid w:val="001F3C58"/>
    <w:rsid w:val="001F4BB5"/>
    <w:rsid w:val="001F4C22"/>
    <w:rsid w:val="001F5B9F"/>
    <w:rsid w:val="001F608A"/>
    <w:rsid w:val="002019F9"/>
    <w:rsid w:val="00203C94"/>
    <w:rsid w:val="00207271"/>
    <w:rsid w:val="00210883"/>
    <w:rsid w:val="002118F5"/>
    <w:rsid w:val="00211E23"/>
    <w:rsid w:val="00212AF6"/>
    <w:rsid w:val="00214D2D"/>
    <w:rsid w:val="002166BB"/>
    <w:rsid w:val="00216D38"/>
    <w:rsid w:val="00216EF3"/>
    <w:rsid w:val="002173AB"/>
    <w:rsid w:val="00220826"/>
    <w:rsid w:val="00221E7B"/>
    <w:rsid w:val="00224FDC"/>
    <w:rsid w:val="002267FB"/>
    <w:rsid w:val="00226CD9"/>
    <w:rsid w:val="00230474"/>
    <w:rsid w:val="00230E31"/>
    <w:rsid w:val="002327F0"/>
    <w:rsid w:val="00233221"/>
    <w:rsid w:val="002335CF"/>
    <w:rsid w:val="002351C2"/>
    <w:rsid w:val="0023644C"/>
    <w:rsid w:val="002368A0"/>
    <w:rsid w:val="00241BEF"/>
    <w:rsid w:val="00241E5D"/>
    <w:rsid w:val="00243FCA"/>
    <w:rsid w:val="00245334"/>
    <w:rsid w:val="002453F3"/>
    <w:rsid w:val="0024540E"/>
    <w:rsid w:val="00245A2B"/>
    <w:rsid w:val="00250334"/>
    <w:rsid w:val="00252776"/>
    <w:rsid w:val="00254BCD"/>
    <w:rsid w:val="00254E7A"/>
    <w:rsid w:val="0025554D"/>
    <w:rsid w:val="002562A1"/>
    <w:rsid w:val="00257908"/>
    <w:rsid w:val="0026062F"/>
    <w:rsid w:val="00261A6C"/>
    <w:rsid w:val="0026264D"/>
    <w:rsid w:val="00263D35"/>
    <w:rsid w:val="002651D6"/>
    <w:rsid w:val="0026587C"/>
    <w:rsid w:val="00265C62"/>
    <w:rsid w:val="00265F84"/>
    <w:rsid w:val="00267293"/>
    <w:rsid w:val="00267394"/>
    <w:rsid w:val="00270C71"/>
    <w:rsid w:val="00271D69"/>
    <w:rsid w:val="002723E9"/>
    <w:rsid w:val="00272604"/>
    <w:rsid w:val="00272ACD"/>
    <w:rsid w:val="00275164"/>
    <w:rsid w:val="0027675F"/>
    <w:rsid w:val="00280436"/>
    <w:rsid w:val="0028067F"/>
    <w:rsid w:val="002808D0"/>
    <w:rsid w:val="0028158A"/>
    <w:rsid w:val="00283475"/>
    <w:rsid w:val="00283AE2"/>
    <w:rsid w:val="0028631D"/>
    <w:rsid w:val="00291366"/>
    <w:rsid w:val="00292B25"/>
    <w:rsid w:val="00292DA6"/>
    <w:rsid w:val="00296C16"/>
    <w:rsid w:val="00297406"/>
    <w:rsid w:val="002A01D0"/>
    <w:rsid w:val="002A3F86"/>
    <w:rsid w:val="002A4384"/>
    <w:rsid w:val="002A4656"/>
    <w:rsid w:val="002A490D"/>
    <w:rsid w:val="002A4E7D"/>
    <w:rsid w:val="002A4F4B"/>
    <w:rsid w:val="002A699A"/>
    <w:rsid w:val="002A73F7"/>
    <w:rsid w:val="002A7557"/>
    <w:rsid w:val="002A7578"/>
    <w:rsid w:val="002B04B5"/>
    <w:rsid w:val="002B26C1"/>
    <w:rsid w:val="002B4EEC"/>
    <w:rsid w:val="002B54CA"/>
    <w:rsid w:val="002B5727"/>
    <w:rsid w:val="002B6807"/>
    <w:rsid w:val="002B697F"/>
    <w:rsid w:val="002C0B1E"/>
    <w:rsid w:val="002C0FD2"/>
    <w:rsid w:val="002C1266"/>
    <w:rsid w:val="002C176B"/>
    <w:rsid w:val="002C6D9F"/>
    <w:rsid w:val="002C6DB6"/>
    <w:rsid w:val="002C6ED3"/>
    <w:rsid w:val="002C7B4B"/>
    <w:rsid w:val="002D217A"/>
    <w:rsid w:val="002D3CBD"/>
    <w:rsid w:val="002D3D8F"/>
    <w:rsid w:val="002D46A2"/>
    <w:rsid w:val="002D63BE"/>
    <w:rsid w:val="002E0B5E"/>
    <w:rsid w:val="002E168B"/>
    <w:rsid w:val="002E1CEE"/>
    <w:rsid w:val="002E25BA"/>
    <w:rsid w:val="002E3B46"/>
    <w:rsid w:val="002F16FB"/>
    <w:rsid w:val="002F196B"/>
    <w:rsid w:val="002F4C3F"/>
    <w:rsid w:val="002F5FBD"/>
    <w:rsid w:val="002F6093"/>
    <w:rsid w:val="002F632A"/>
    <w:rsid w:val="00304372"/>
    <w:rsid w:val="003059CC"/>
    <w:rsid w:val="003069E3"/>
    <w:rsid w:val="00311D91"/>
    <w:rsid w:val="0031369F"/>
    <w:rsid w:val="0031651E"/>
    <w:rsid w:val="00316ACD"/>
    <w:rsid w:val="00321C80"/>
    <w:rsid w:val="0032247C"/>
    <w:rsid w:val="00322813"/>
    <w:rsid w:val="00324FA7"/>
    <w:rsid w:val="003260F3"/>
    <w:rsid w:val="00327C46"/>
    <w:rsid w:val="003317A3"/>
    <w:rsid w:val="0033379E"/>
    <w:rsid w:val="00333900"/>
    <w:rsid w:val="00333C06"/>
    <w:rsid w:val="0033402C"/>
    <w:rsid w:val="00334FFA"/>
    <w:rsid w:val="00335676"/>
    <w:rsid w:val="00336D9F"/>
    <w:rsid w:val="00337B90"/>
    <w:rsid w:val="00340463"/>
    <w:rsid w:val="00340CEA"/>
    <w:rsid w:val="00341B70"/>
    <w:rsid w:val="003425E1"/>
    <w:rsid w:val="00342A33"/>
    <w:rsid w:val="00342EB2"/>
    <w:rsid w:val="00343238"/>
    <w:rsid w:val="00343AB9"/>
    <w:rsid w:val="003444EB"/>
    <w:rsid w:val="00344B1E"/>
    <w:rsid w:val="0034549E"/>
    <w:rsid w:val="003454C1"/>
    <w:rsid w:val="003459D1"/>
    <w:rsid w:val="00345D81"/>
    <w:rsid w:val="0035013B"/>
    <w:rsid w:val="003503E9"/>
    <w:rsid w:val="00350FCD"/>
    <w:rsid w:val="00352F2E"/>
    <w:rsid w:val="00353F0E"/>
    <w:rsid w:val="0036048A"/>
    <w:rsid w:val="00361618"/>
    <w:rsid w:val="00361807"/>
    <w:rsid w:val="003638A6"/>
    <w:rsid w:val="00364BDE"/>
    <w:rsid w:val="00365546"/>
    <w:rsid w:val="00372B66"/>
    <w:rsid w:val="00372ED9"/>
    <w:rsid w:val="00373A1B"/>
    <w:rsid w:val="00373E75"/>
    <w:rsid w:val="003743F5"/>
    <w:rsid w:val="003743F9"/>
    <w:rsid w:val="00374D99"/>
    <w:rsid w:val="00374EB5"/>
    <w:rsid w:val="003757DD"/>
    <w:rsid w:val="0037581F"/>
    <w:rsid w:val="00376C03"/>
    <w:rsid w:val="003777F4"/>
    <w:rsid w:val="00382DC4"/>
    <w:rsid w:val="0038315D"/>
    <w:rsid w:val="00383380"/>
    <w:rsid w:val="0038339A"/>
    <w:rsid w:val="0038430C"/>
    <w:rsid w:val="0038456A"/>
    <w:rsid w:val="00386816"/>
    <w:rsid w:val="00386F52"/>
    <w:rsid w:val="003904F2"/>
    <w:rsid w:val="00391FF6"/>
    <w:rsid w:val="00392736"/>
    <w:rsid w:val="00393436"/>
    <w:rsid w:val="003935C0"/>
    <w:rsid w:val="0039371C"/>
    <w:rsid w:val="00393BFE"/>
    <w:rsid w:val="00394443"/>
    <w:rsid w:val="003960EF"/>
    <w:rsid w:val="00396380"/>
    <w:rsid w:val="00396787"/>
    <w:rsid w:val="003A1536"/>
    <w:rsid w:val="003A19EA"/>
    <w:rsid w:val="003A204E"/>
    <w:rsid w:val="003A23F9"/>
    <w:rsid w:val="003A2C3A"/>
    <w:rsid w:val="003A2EFA"/>
    <w:rsid w:val="003A4CA3"/>
    <w:rsid w:val="003A67F5"/>
    <w:rsid w:val="003A6827"/>
    <w:rsid w:val="003A726D"/>
    <w:rsid w:val="003A750A"/>
    <w:rsid w:val="003A78CE"/>
    <w:rsid w:val="003A7C3D"/>
    <w:rsid w:val="003A7CED"/>
    <w:rsid w:val="003B147E"/>
    <w:rsid w:val="003B2760"/>
    <w:rsid w:val="003B2D4E"/>
    <w:rsid w:val="003B5150"/>
    <w:rsid w:val="003B6669"/>
    <w:rsid w:val="003B77CF"/>
    <w:rsid w:val="003C03F0"/>
    <w:rsid w:val="003C18CC"/>
    <w:rsid w:val="003C3A64"/>
    <w:rsid w:val="003C4FDE"/>
    <w:rsid w:val="003C55E8"/>
    <w:rsid w:val="003C757E"/>
    <w:rsid w:val="003D09E0"/>
    <w:rsid w:val="003D0BB7"/>
    <w:rsid w:val="003D1617"/>
    <w:rsid w:val="003D1880"/>
    <w:rsid w:val="003D3DB3"/>
    <w:rsid w:val="003D41A6"/>
    <w:rsid w:val="003D43C9"/>
    <w:rsid w:val="003D5F31"/>
    <w:rsid w:val="003D6073"/>
    <w:rsid w:val="003D629B"/>
    <w:rsid w:val="003D65A1"/>
    <w:rsid w:val="003D6904"/>
    <w:rsid w:val="003D7E13"/>
    <w:rsid w:val="003E0B16"/>
    <w:rsid w:val="003E10F9"/>
    <w:rsid w:val="003E156A"/>
    <w:rsid w:val="003E2094"/>
    <w:rsid w:val="003E2885"/>
    <w:rsid w:val="003E2FA3"/>
    <w:rsid w:val="003E45C4"/>
    <w:rsid w:val="003E4786"/>
    <w:rsid w:val="003E6009"/>
    <w:rsid w:val="003E6562"/>
    <w:rsid w:val="003E65B1"/>
    <w:rsid w:val="003E6CA6"/>
    <w:rsid w:val="003F0714"/>
    <w:rsid w:val="003F09CB"/>
    <w:rsid w:val="003F1BA8"/>
    <w:rsid w:val="003F23AF"/>
    <w:rsid w:val="003F3583"/>
    <w:rsid w:val="003F37C6"/>
    <w:rsid w:val="003F5268"/>
    <w:rsid w:val="003F5DB1"/>
    <w:rsid w:val="003F685A"/>
    <w:rsid w:val="003F7583"/>
    <w:rsid w:val="00400B5E"/>
    <w:rsid w:val="00401059"/>
    <w:rsid w:val="0040230D"/>
    <w:rsid w:val="00402E7E"/>
    <w:rsid w:val="004036B2"/>
    <w:rsid w:val="004068E9"/>
    <w:rsid w:val="00407040"/>
    <w:rsid w:val="004074BF"/>
    <w:rsid w:val="004078F9"/>
    <w:rsid w:val="00412A02"/>
    <w:rsid w:val="00413FF4"/>
    <w:rsid w:val="00414D6E"/>
    <w:rsid w:val="00415DC9"/>
    <w:rsid w:val="004210BD"/>
    <w:rsid w:val="00421427"/>
    <w:rsid w:val="00421AD2"/>
    <w:rsid w:val="004254B3"/>
    <w:rsid w:val="0042735D"/>
    <w:rsid w:val="004277B5"/>
    <w:rsid w:val="00427AEE"/>
    <w:rsid w:val="00431F7A"/>
    <w:rsid w:val="00432A64"/>
    <w:rsid w:val="00433C19"/>
    <w:rsid w:val="00435A78"/>
    <w:rsid w:val="00440E81"/>
    <w:rsid w:val="00441D29"/>
    <w:rsid w:val="00442713"/>
    <w:rsid w:val="004431FF"/>
    <w:rsid w:val="004447CF"/>
    <w:rsid w:val="0044546F"/>
    <w:rsid w:val="00445DBA"/>
    <w:rsid w:val="00446096"/>
    <w:rsid w:val="004463C1"/>
    <w:rsid w:val="00446B29"/>
    <w:rsid w:val="00447129"/>
    <w:rsid w:val="00450F65"/>
    <w:rsid w:val="0045150C"/>
    <w:rsid w:val="00451BB3"/>
    <w:rsid w:val="00451E5D"/>
    <w:rsid w:val="00452163"/>
    <w:rsid w:val="00453BFF"/>
    <w:rsid w:val="00460AC2"/>
    <w:rsid w:val="00461425"/>
    <w:rsid w:val="00461684"/>
    <w:rsid w:val="00461C24"/>
    <w:rsid w:val="004623B9"/>
    <w:rsid w:val="004638E0"/>
    <w:rsid w:val="00464BE7"/>
    <w:rsid w:val="00465EB7"/>
    <w:rsid w:val="004667A9"/>
    <w:rsid w:val="00467BDC"/>
    <w:rsid w:val="00471CA6"/>
    <w:rsid w:val="00472155"/>
    <w:rsid w:val="0047300F"/>
    <w:rsid w:val="00473730"/>
    <w:rsid w:val="00473DF2"/>
    <w:rsid w:val="004740E3"/>
    <w:rsid w:val="004757D2"/>
    <w:rsid w:val="004760BD"/>
    <w:rsid w:val="004761FA"/>
    <w:rsid w:val="00476200"/>
    <w:rsid w:val="0048103E"/>
    <w:rsid w:val="00481A10"/>
    <w:rsid w:val="004832BD"/>
    <w:rsid w:val="0048345D"/>
    <w:rsid w:val="00483578"/>
    <w:rsid w:val="004870D2"/>
    <w:rsid w:val="00487683"/>
    <w:rsid w:val="004906D2"/>
    <w:rsid w:val="00490E8D"/>
    <w:rsid w:val="00491220"/>
    <w:rsid w:val="0049147E"/>
    <w:rsid w:val="00491691"/>
    <w:rsid w:val="00491BF0"/>
    <w:rsid w:val="004934DB"/>
    <w:rsid w:val="004944EC"/>
    <w:rsid w:val="004948C9"/>
    <w:rsid w:val="00495282"/>
    <w:rsid w:val="004964D6"/>
    <w:rsid w:val="00496BA9"/>
    <w:rsid w:val="004978C2"/>
    <w:rsid w:val="004A124E"/>
    <w:rsid w:val="004A2ACC"/>
    <w:rsid w:val="004A2DA6"/>
    <w:rsid w:val="004A2DA8"/>
    <w:rsid w:val="004A3593"/>
    <w:rsid w:val="004A5725"/>
    <w:rsid w:val="004A59FC"/>
    <w:rsid w:val="004A5B32"/>
    <w:rsid w:val="004A601B"/>
    <w:rsid w:val="004A74A3"/>
    <w:rsid w:val="004B01B6"/>
    <w:rsid w:val="004B0922"/>
    <w:rsid w:val="004B28D5"/>
    <w:rsid w:val="004B3F12"/>
    <w:rsid w:val="004B56F8"/>
    <w:rsid w:val="004B6FA0"/>
    <w:rsid w:val="004C0800"/>
    <w:rsid w:val="004C27B3"/>
    <w:rsid w:val="004C3DCE"/>
    <w:rsid w:val="004C5035"/>
    <w:rsid w:val="004C6BFA"/>
    <w:rsid w:val="004C7CDC"/>
    <w:rsid w:val="004C7CF7"/>
    <w:rsid w:val="004D1E3A"/>
    <w:rsid w:val="004D2F04"/>
    <w:rsid w:val="004D3FB5"/>
    <w:rsid w:val="004D5554"/>
    <w:rsid w:val="004D6DD1"/>
    <w:rsid w:val="004D7F7E"/>
    <w:rsid w:val="004E05BB"/>
    <w:rsid w:val="004E0D6A"/>
    <w:rsid w:val="004E2013"/>
    <w:rsid w:val="004E352B"/>
    <w:rsid w:val="004E372D"/>
    <w:rsid w:val="004E6826"/>
    <w:rsid w:val="004E7735"/>
    <w:rsid w:val="004E7C54"/>
    <w:rsid w:val="004F34CB"/>
    <w:rsid w:val="004F4DE1"/>
    <w:rsid w:val="004F5180"/>
    <w:rsid w:val="004F69BD"/>
    <w:rsid w:val="00501423"/>
    <w:rsid w:val="00502278"/>
    <w:rsid w:val="00503C45"/>
    <w:rsid w:val="005117EF"/>
    <w:rsid w:val="00511C1A"/>
    <w:rsid w:val="005142B1"/>
    <w:rsid w:val="00515185"/>
    <w:rsid w:val="00515FE5"/>
    <w:rsid w:val="00520069"/>
    <w:rsid w:val="00520988"/>
    <w:rsid w:val="00521E79"/>
    <w:rsid w:val="00522B2D"/>
    <w:rsid w:val="00522DE7"/>
    <w:rsid w:val="00524042"/>
    <w:rsid w:val="00530CAB"/>
    <w:rsid w:val="00532910"/>
    <w:rsid w:val="00532AC7"/>
    <w:rsid w:val="005346F0"/>
    <w:rsid w:val="00534782"/>
    <w:rsid w:val="00534850"/>
    <w:rsid w:val="00534B4B"/>
    <w:rsid w:val="0053523A"/>
    <w:rsid w:val="005358EF"/>
    <w:rsid w:val="00536AED"/>
    <w:rsid w:val="00537631"/>
    <w:rsid w:val="005423DF"/>
    <w:rsid w:val="005437CB"/>
    <w:rsid w:val="005451A1"/>
    <w:rsid w:val="00545677"/>
    <w:rsid w:val="00545999"/>
    <w:rsid w:val="00546FD4"/>
    <w:rsid w:val="00547CF8"/>
    <w:rsid w:val="005502DD"/>
    <w:rsid w:val="00550CFC"/>
    <w:rsid w:val="005513CE"/>
    <w:rsid w:val="00551F36"/>
    <w:rsid w:val="00552BAD"/>
    <w:rsid w:val="005549EC"/>
    <w:rsid w:val="00556B38"/>
    <w:rsid w:val="0055712C"/>
    <w:rsid w:val="005614E3"/>
    <w:rsid w:val="005616B5"/>
    <w:rsid w:val="00561B6D"/>
    <w:rsid w:val="00562E7A"/>
    <w:rsid w:val="00563DF7"/>
    <w:rsid w:val="005641DA"/>
    <w:rsid w:val="005658E8"/>
    <w:rsid w:val="00565A2C"/>
    <w:rsid w:val="00565B37"/>
    <w:rsid w:val="00567918"/>
    <w:rsid w:val="005715EB"/>
    <w:rsid w:val="00571EBA"/>
    <w:rsid w:val="005725A8"/>
    <w:rsid w:val="00574F37"/>
    <w:rsid w:val="00576979"/>
    <w:rsid w:val="005776E3"/>
    <w:rsid w:val="0057780B"/>
    <w:rsid w:val="0057781E"/>
    <w:rsid w:val="0058104F"/>
    <w:rsid w:val="00582527"/>
    <w:rsid w:val="00586A93"/>
    <w:rsid w:val="00586DB1"/>
    <w:rsid w:val="005872F8"/>
    <w:rsid w:val="0059147E"/>
    <w:rsid w:val="00592263"/>
    <w:rsid w:val="005931C7"/>
    <w:rsid w:val="00593B86"/>
    <w:rsid w:val="00594B19"/>
    <w:rsid w:val="0059628E"/>
    <w:rsid w:val="00596794"/>
    <w:rsid w:val="0059791E"/>
    <w:rsid w:val="005A248A"/>
    <w:rsid w:val="005A2D18"/>
    <w:rsid w:val="005A2F16"/>
    <w:rsid w:val="005A350D"/>
    <w:rsid w:val="005A3857"/>
    <w:rsid w:val="005A3DCB"/>
    <w:rsid w:val="005A4B7A"/>
    <w:rsid w:val="005A4BB2"/>
    <w:rsid w:val="005A5F16"/>
    <w:rsid w:val="005A5F6E"/>
    <w:rsid w:val="005A79DF"/>
    <w:rsid w:val="005B0AF1"/>
    <w:rsid w:val="005B2150"/>
    <w:rsid w:val="005B242A"/>
    <w:rsid w:val="005B558E"/>
    <w:rsid w:val="005B6479"/>
    <w:rsid w:val="005C0249"/>
    <w:rsid w:val="005C16AE"/>
    <w:rsid w:val="005C17C8"/>
    <w:rsid w:val="005C2D0F"/>
    <w:rsid w:val="005C2D8A"/>
    <w:rsid w:val="005C3CD6"/>
    <w:rsid w:val="005C3DBE"/>
    <w:rsid w:val="005C42A8"/>
    <w:rsid w:val="005C604B"/>
    <w:rsid w:val="005C6275"/>
    <w:rsid w:val="005C7514"/>
    <w:rsid w:val="005D01A5"/>
    <w:rsid w:val="005D0F60"/>
    <w:rsid w:val="005D2A33"/>
    <w:rsid w:val="005D2E33"/>
    <w:rsid w:val="005D36F7"/>
    <w:rsid w:val="005D3C55"/>
    <w:rsid w:val="005D4350"/>
    <w:rsid w:val="005D6AA0"/>
    <w:rsid w:val="005E394E"/>
    <w:rsid w:val="005E4355"/>
    <w:rsid w:val="005E4EE1"/>
    <w:rsid w:val="005E66F3"/>
    <w:rsid w:val="005E7B30"/>
    <w:rsid w:val="005F161F"/>
    <w:rsid w:val="005F21FB"/>
    <w:rsid w:val="005F6C2E"/>
    <w:rsid w:val="005F7DCC"/>
    <w:rsid w:val="00600A0A"/>
    <w:rsid w:val="00600FF5"/>
    <w:rsid w:val="0060106A"/>
    <w:rsid w:val="00603083"/>
    <w:rsid w:val="006049CB"/>
    <w:rsid w:val="0060623F"/>
    <w:rsid w:val="00607C10"/>
    <w:rsid w:val="00607F11"/>
    <w:rsid w:val="00612F5A"/>
    <w:rsid w:val="006130E0"/>
    <w:rsid w:val="00613FFE"/>
    <w:rsid w:val="00614F55"/>
    <w:rsid w:val="006162D0"/>
    <w:rsid w:val="00616463"/>
    <w:rsid w:val="00617DA6"/>
    <w:rsid w:val="006210B4"/>
    <w:rsid w:val="0062201D"/>
    <w:rsid w:val="00623862"/>
    <w:rsid w:val="00623BD7"/>
    <w:rsid w:val="00623EE6"/>
    <w:rsid w:val="006254A8"/>
    <w:rsid w:val="00626594"/>
    <w:rsid w:val="00630E2E"/>
    <w:rsid w:val="00633920"/>
    <w:rsid w:val="00633FDB"/>
    <w:rsid w:val="006369BF"/>
    <w:rsid w:val="00636C98"/>
    <w:rsid w:val="006371BB"/>
    <w:rsid w:val="00637891"/>
    <w:rsid w:val="006401B4"/>
    <w:rsid w:val="00641FEE"/>
    <w:rsid w:val="006436BF"/>
    <w:rsid w:val="006453B5"/>
    <w:rsid w:val="006478B9"/>
    <w:rsid w:val="00647B19"/>
    <w:rsid w:val="0065089C"/>
    <w:rsid w:val="00650C17"/>
    <w:rsid w:val="0065303D"/>
    <w:rsid w:val="0065502B"/>
    <w:rsid w:val="0065552A"/>
    <w:rsid w:val="006569C0"/>
    <w:rsid w:val="00656A8E"/>
    <w:rsid w:val="00656F0D"/>
    <w:rsid w:val="00657269"/>
    <w:rsid w:val="00661153"/>
    <w:rsid w:val="00661320"/>
    <w:rsid w:val="006626C7"/>
    <w:rsid w:val="0066348F"/>
    <w:rsid w:val="00663FB8"/>
    <w:rsid w:val="0066438B"/>
    <w:rsid w:val="0066478D"/>
    <w:rsid w:val="00664B09"/>
    <w:rsid w:val="006657A7"/>
    <w:rsid w:val="00666E4B"/>
    <w:rsid w:val="006679A5"/>
    <w:rsid w:val="006702AC"/>
    <w:rsid w:val="00670C54"/>
    <w:rsid w:val="0067194D"/>
    <w:rsid w:val="00671976"/>
    <w:rsid w:val="00671F46"/>
    <w:rsid w:val="0067330F"/>
    <w:rsid w:val="00677971"/>
    <w:rsid w:val="00681A9F"/>
    <w:rsid w:val="00681E72"/>
    <w:rsid w:val="0068443E"/>
    <w:rsid w:val="006870AB"/>
    <w:rsid w:val="006873C7"/>
    <w:rsid w:val="0069006A"/>
    <w:rsid w:val="00690A3F"/>
    <w:rsid w:val="006919DF"/>
    <w:rsid w:val="006929B2"/>
    <w:rsid w:val="00692C29"/>
    <w:rsid w:val="00696F43"/>
    <w:rsid w:val="00696FE7"/>
    <w:rsid w:val="00697440"/>
    <w:rsid w:val="00697FF0"/>
    <w:rsid w:val="006A0190"/>
    <w:rsid w:val="006A2272"/>
    <w:rsid w:val="006A2695"/>
    <w:rsid w:val="006A6C89"/>
    <w:rsid w:val="006A7270"/>
    <w:rsid w:val="006A76F5"/>
    <w:rsid w:val="006A7974"/>
    <w:rsid w:val="006A7F42"/>
    <w:rsid w:val="006B3A73"/>
    <w:rsid w:val="006B4C07"/>
    <w:rsid w:val="006B7370"/>
    <w:rsid w:val="006B7644"/>
    <w:rsid w:val="006C07DE"/>
    <w:rsid w:val="006C1E15"/>
    <w:rsid w:val="006C235D"/>
    <w:rsid w:val="006C29A5"/>
    <w:rsid w:val="006C4A5F"/>
    <w:rsid w:val="006C6977"/>
    <w:rsid w:val="006C6D59"/>
    <w:rsid w:val="006C6FE4"/>
    <w:rsid w:val="006C777E"/>
    <w:rsid w:val="006D10CF"/>
    <w:rsid w:val="006D14D9"/>
    <w:rsid w:val="006D383F"/>
    <w:rsid w:val="006D3BE4"/>
    <w:rsid w:val="006D563E"/>
    <w:rsid w:val="006D5688"/>
    <w:rsid w:val="006D7E50"/>
    <w:rsid w:val="006E1076"/>
    <w:rsid w:val="006E15B2"/>
    <w:rsid w:val="006E16EE"/>
    <w:rsid w:val="006E2508"/>
    <w:rsid w:val="006E3D1D"/>
    <w:rsid w:val="006E3DB3"/>
    <w:rsid w:val="006E58D8"/>
    <w:rsid w:val="006E7A5C"/>
    <w:rsid w:val="006F3781"/>
    <w:rsid w:val="006F3A13"/>
    <w:rsid w:val="006F42E6"/>
    <w:rsid w:val="006F5CF1"/>
    <w:rsid w:val="006F70B0"/>
    <w:rsid w:val="006F77A8"/>
    <w:rsid w:val="006F7D24"/>
    <w:rsid w:val="00700B8B"/>
    <w:rsid w:val="00701A00"/>
    <w:rsid w:val="0070317A"/>
    <w:rsid w:val="00703E5B"/>
    <w:rsid w:val="007053B1"/>
    <w:rsid w:val="00705676"/>
    <w:rsid w:val="00705D71"/>
    <w:rsid w:val="007074F6"/>
    <w:rsid w:val="00711A95"/>
    <w:rsid w:val="00713A35"/>
    <w:rsid w:val="0071520F"/>
    <w:rsid w:val="007172F1"/>
    <w:rsid w:val="00721D6C"/>
    <w:rsid w:val="00723003"/>
    <w:rsid w:val="0072394A"/>
    <w:rsid w:val="00723DF3"/>
    <w:rsid w:val="00727017"/>
    <w:rsid w:val="0072754A"/>
    <w:rsid w:val="007276A1"/>
    <w:rsid w:val="00727A51"/>
    <w:rsid w:val="0073152B"/>
    <w:rsid w:val="00731A7D"/>
    <w:rsid w:val="00732667"/>
    <w:rsid w:val="0073468A"/>
    <w:rsid w:val="00734ADD"/>
    <w:rsid w:val="00734F83"/>
    <w:rsid w:val="0073588A"/>
    <w:rsid w:val="0074132C"/>
    <w:rsid w:val="007444A2"/>
    <w:rsid w:val="00746554"/>
    <w:rsid w:val="00747901"/>
    <w:rsid w:val="00750C5B"/>
    <w:rsid w:val="00752529"/>
    <w:rsid w:val="007537E1"/>
    <w:rsid w:val="007540EB"/>
    <w:rsid w:val="007549BE"/>
    <w:rsid w:val="0075591E"/>
    <w:rsid w:val="00756C10"/>
    <w:rsid w:val="007578BF"/>
    <w:rsid w:val="00761A8A"/>
    <w:rsid w:val="007638FD"/>
    <w:rsid w:val="007641C7"/>
    <w:rsid w:val="00764350"/>
    <w:rsid w:val="00765C3B"/>
    <w:rsid w:val="007713C9"/>
    <w:rsid w:val="007716A9"/>
    <w:rsid w:val="007721F0"/>
    <w:rsid w:val="007764AC"/>
    <w:rsid w:val="00776CB6"/>
    <w:rsid w:val="00776E8C"/>
    <w:rsid w:val="00776EC9"/>
    <w:rsid w:val="00776FF6"/>
    <w:rsid w:val="007778C8"/>
    <w:rsid w:val="00782000"/>
    <w:rsid w:val="00783EC4"/>
    <w:rsid w:val="00784376"/>
    <w:rsid w:val="0078603E"/>
    <w:rsid w:val="007905EC"/>
    <w:rsid w:val="00790F6B"/>
    <w:rsid w:val="00791D87"/>
    <w:rsid w:val="0079214C"/>
    <w:rsid w:val="0079345A"/>
    <w:rsid w:val="0079403C"/>
    <w:rsid w:val="0079442D"/>
    <w:rsid w:val="007977AF"/>
    <w:rsid w:val="007A3BE9"/>
    <w:rsid w:val="007A3F9A"/>
    <w:rsid w:val="007A5916"/>
    <w:rsid w:val="007A593A"/>
    <w:rsid w:val="007B0522"/>
    <w:rsid w:val="007B062D"/>
    <w:rsid w:val="007B06AE"/>
    <w:rsid w:val="007B3988"/>
    <w:rsid w:val="007B43C9"/>
    <w:rsid w:val="007B5E33"/>
    <w:rsid w:val="007B6AEF"/>
    <w:rsid w:val="007C067D"/>
    <w:rsid w:val="007C1BF1"/>
    <w:rsid w:val="007C36D3"/>
    <w:rsid w:val="007C398D"/>
    <w:rsid w:val="007C453B"/>
    <w:rsid w:val="007C5BD0"/>
    <w:rsid w:val="007C5C26"/>
    <w:rsid w:val="007C62BB"/>
    <w:rsid w:val="007C63CC"/>
    <w:rsid w:val="007D0546"/>
    <w:rsid w:val="007D09DD"/>
    <w:rsid w:val="007D133D"/>
    <w:rsid w:val="007D1652"/>
    <w:rsid w:val="007D1B05"/>
    <w:rsid w:val="007D40AC"/>
    <w:rsid w:val="007D657B"/>
    <w:rsid w:val="007E0EE0"/>
    <w:rsid w:val="007E5DA2"/>
    <w:rsid w:val="007E62B7"/>
    <w:rsid w:val="007F0231"/>
    <w:rsid w:val="007F042C"/>
    <w:rsid w:val="007F1C9F"/>
    <w:rsid w:val="007F524A"/>
    <w:rsid w:val="007F59DC"/>
    <w:rsid w:val="007F6935"/>
    <w:rsid w:val="007F6DD5"/>
    <w:rsid w:val="008020A3"/>
    <w:rsid w:val="00802FBC"/>
    <w:rsid w:val="00803EEF"/>
    <w:rsid w:val="008042A8"/>
    <w:rsid w:val="00805F4C"/>
    <w:rsid w:val="00810847"/>
    <w:rsid w:val="00810C52"/>
    <w:rsid w:val="008130B6"/>
    <w:rsid w:val="00813106"/>
    <w:rsid w:val="008149EF"/>
    <w:rsid w:val="00814AB0"/>
    <w:rsid w:val="00815416"/>
    <w:rsid w:val="00816865"/>
    <w:rsid w:val="00817EA3"/>
    <w:rsid w:val="00820D2C"/>
    <w:rsid w:val="00822556"/>
    <w:rsid w:val="00823CAD"/>
    <w:rsid w:val="008245ED"/>
    <w:rsid w:val="00824858"/>
    <w:rsid w:val="00824B1C"/>
    <w:rsid w:val="008255A1"/>
    <w:rsid w:val="0082681B"/>
    <w:rsid w:val="00826CA8"/>
    <w:rsid w:val="008270F1"/>
    <w:rsid w:val="008276B6"/>
    <w:rsid w:val="008277E3"/>
    <w:rsid w:val="008308A8"/>
    <w:rsid w:val="00832DCC"/>
    <w:rsid w:val="008333CF"/>
    <w:rsid w:val="008344AB"/>
    <w:rsid w:val="00835DFB"/>
    <w:rsid w:val="00836487"/>
    <w:rsid w:val="00837953"/>
    <w:rsid w:val="00837F54"/>
    <w:rsid w:val="00843202"/>
    <w:rsid w:val="008435F0"/>
    <w:rsid w:val="00843629"/>
    <w:rsid w:val="00843BBA"/>
    <w:rsid w:val="008442A3"/>
    <w:rsid w:val="00845B6D"/>
    <w:rsid w:val="00846C5D"/>
    <w:rsid w:val="00846DDA"/>
    <w:rsid w:val="0084707E"/>
    <w:rsid w:val="008477D9"/>
    <w:rsid w:val="00847C0E"/>
    <w:rsid w:val="008510A6"/>
    <w:rsid w:val="00851253"/>
    <w:rsid w:val="00852805"/>
    <w:rsid w:val="00852E52"/>
    <w:rsid w:val="00853253"/>
    <w:rsid w:val="008549C7"/>
    <w:rsid w:val="00854D65"/>
    <w:rsid w:val="00855CFF"/>
    <w:rsid w:val="00855D8F"/>
    <w:rsid w:val="00856540"/>
    <w:rsid w:val="00856734"/>
    <w:rsid w:val="00856AA3"/>
    <w:rsid w:val="00857288"/>
    <w:rsid w:val="00857564"/>
    <w:rsid w:val="008578AC"/>
    <w:rsid w:val="00857A67"/>
    <w:rsid w:val="00862085"/>
    <w:rsid w:val="0086324F"/>
    <w:rsid w:val="00863CA0"/>
    <w:rsid w:val="00863F43"/>
    <w:rsid w:val="00863FDC"/>
    <w:rsid w:val="0086521F"/>
    <w:rsid w:val="008652D3"/>
    <w:rsid w:val="00865C99"/>
    <w:rsid w:val="00865EBE"/>
    <w:rsid w:val="0087183D"/>
    <w:rsid w:val="0087228C"/>
    <w:rsid w:val="00872304"/>
    <w:rsid w:val="0087368E"/>
    <w:rsid w:val="0087496F"/>
    <w:rsid w:val="00876FC1"/>
    <w:rsid w:val="00877FAD"/>
    <w:rsid w:val="0088028A"/>
    <w:rsid w:val="008809CA"/>
    <w:rsid w:val="008812C8"/>
    <w:rsid w:val="00881847"/>
    <w:rsid w:val="00881C59"/>
    <w:rsid w:val="00881DD8"/>
    <w:rsid w:val="00882AA6"/>
    <w:rsid w:val="008844C4"/>
    <w:rsid w:val="00885984"/>
    <w:rsid w:val="00890C7A"/>
    <w:rsid w:val="008916E6"/>
    <w:rsid w:val="00891EE9"/>
    <w:rsid w:val="00892022"/>
    <w:rsid w:val="00895B98"/>
    <w:rsid w:val="008A2A14"/>
    <w:rsid w:val="008A2B36"/>
    <w:rsid w:val="008A41AB"/>
    <w:rsid w:val="008A4494"/>
    <w:rsid w:val="008A51E6"/>
    <w:rsid w:val="008B15F0"/>
    <w:rsid w:val="008B4826"/>
    <w:rsid w:val="008B55A3"/>
    <w:rsid w:val="008B65C5"/>
    <w:rsid w:val="008B7323"/>
    <w:rsid w:val="008C0ABB"/>
    <w:rsid w:val="008C0B56"/>
    <w:rsid w:val="008C2E48"/>
    <w:rsid w:val="008C300F"/>
    <w:rsid w:val="008C32E4"/>
    <w:rsid w:val="008C42B8"/>
    <w:rsid w:val="008C59E2"/>
    <w:rsid w:val="008C6C67"/>
    <w:rsid w:val="008C7A24"/>
    <w:rsid w:val="008C7B41"/>
    <w:rsid w:val="008C7DC9"/>
    <w:rsid w:val="008D2894"/>
    <w:rsid w:val="008D355A"/>
    <w:rsid w:val="008D38DC"/>
    <w:rsid w:val="008D4250"/>
    <w:rsid w:val="008D5FFA"/>
    <w:rsid w:val="008D6B05"/>
    <w:rsid w:val="008D7082"/>
    <w:rsid w:val="008E01E0"/>
    <w:rsid w:val="008E109E"/>
    <w:rsid w:val="008E1123"/>
    <w:rsid w:val="008E113F"/>
    <w:rsid w:val="008E177C"/>
    <w:rsid w:val="008E21C1"/>
    <w:rsid w:val="008E40DA"/>
    <w:rsid w:val="008E4B7F"/>
    <w:rsid w:val="008E4E6C"/>
    <w:rsid w:val="008E5562"/>
    <w:rsid w:val="008E574D"/>
    <w:rsid w:val="008F1491"/>
    <w:rsid w:val="008F1ED9"/>
    <w:rsid w:val="008F333E"/>
    <w:rsid w:val="008F5AB3"/>
    <w:rsid w:val="009007B7"/>
    <w:rsid w:val="009007C3"/>
    <w:rsid w:val="00900B6B"/>
    <w:rsid w:val="00900E5C"/>
    <w:rsid w:val="00901386"/>
    <w:rsid w:val="00903654"/>
    <w:rsid w:val="00903B54"/>
    <w:rsid w:val="00904712"/>
    <w:rsid w:val="00906B93"/>
    <w:rsid w:val="00906CBB"/>
    <w:rsid w:val="00906CE1"/>
    <w:rsid w:val="00907019"/>
    <w:rsid w:val="0090768A"/>
    <w:rsid w:val="009079B4"/>
    <w:rsid w:val="0091002E"/>
    <w:rsid w:val="009112CD"/>
    <w:rsid w:val="00912992"/>
    <w:rsid w:val="00913163"/>
    <w:rsid w:val="00913EAD"/>
    <w:rsid w:val="00913F5F"/>
    <w:rsid w:val="00915880"/>
    <w:rsid w:val="00916D9B"/>
    <w:rsid w:val="00920DD2"/>
    <w:rsid w:val="009231E2"/>
    <w:rsid w:val="00923D85"/>
    <w:rsid w:val="009248A4"/>
    <w:rsid w:val="009268B7"/>
    <w:rsid w:val="009269E5"/>
    <w:rsid w:val="00927B8B"/>
    <w:rsid w:val="0093049B"/>
    <w:rsid w:val="00930709"/>
    <w:rsid w:val="00931105"/>
    <w:rsid w:val="00934DB6"/>
    <w:rsid w:val="009358C6"/>
    <w:rsid w:val="00935E5D"/>
    <w:rsid w:val="0093658E"/>
    <w:rsid w:val="009365EB"/>
    <w:rsid w:val="00936CDF"/>
    <w:rsid w:val="009379C7"/>
    <w:rsid w:val="009404D8"/>
    <w:rsid w:val="00940819"/>
    <w:rsid w:val="00940F4B"/>
    <w:rsid w:val="00941478"/>
    <w:rsid w:val="0094372C"/>
    <w:rsid w:val="00943AA0"/>
    <w:rsid w:val="00944DC7"/>
    <w:rsid w:val="009453B2"/>
    <w:rsid w:val="00946C4F"/>
    <w:rsid w:val="00947F73"/>
    <w:rsid w:val="00951C67"/>
    <w:rsid w:val="00951DCC"/>
    <w:rsid w:val="0095544A"/>
    <w:rsid w:val="0095576A"/>
    <w:rsid w:val="009557DB"/>
    <w:rsid w:val="00955C20"/>
    <w:rsid w:val="00955D18"/>
    <w:rsid w:val="00956AC9"/>
    <w:rsid w:val="00960C91"/>
    <w:rsid w:val="00960E67"/>
    <w:rsid w:val="00961BDC"/>
    <w:rsid w:val="00962100"/>
    <w:rsid w:val="00962AEF"/>
    <w:rsid w:val="00962BAE"/>
    <w:rsid w:val="00962BBE"/>
    <w:rsid w:val="00963110"/>
    <w:rsid w:val="0096318F"/>
    <w:rsid w:val="00964857"/>
    <w:rsid w:val="00964C46"/>
    <w:rsid w:val="00966344"/>
    <w:rsid w:val="00966893"/>
    <w:rsid w:val="00966E08"/>
    <w:rsid w:val="00970BB1"/>
    <w:rsid w:val="009718CC"/>
    <w:rsid w:val="00973FFC"/>
    <w:rsid w:val="009746B6"/>
    <w:rsid w:val="009751FE"/>
    <w:rsid w:val="00975260"/>
    <w:rsid w:val="00975962"/>
    <w:rsid w:val="00976B12"/>
    <w:rsid w:val="009800B8"/>
    <w:rsid w:val="009816B6"/>
    <w:rsid w:val="0098332C"/>
    <w:rsid w:val="00984478"/>
    <w:rsid w:val="009844F6"/>
    <w:rsid w:val="00984AE6"/>
    <w:rsid w:val="009856DD"/>
    <w:rsid w:val="009859AD"/>
    <w:rsid w:val="00985AFC"/>
    <w:rsid w:val="00987601"/>
    <w:rsid w:val="00990ADD"/>
    <w:rsid w:val="009911D0"/>
    <w:rsid w:val="00991969"/>
    <w:rsid w:val="009925F7"/>
    <w:rsid w:val="00992762"/>
    <w:rsid w:val="00992E0C"/>
    <w:rsid w:val="00993479"/>
    <w:rsid w:val="00993A0B"/>
    <w:rsid w:val="009944B8"/>
    <w:rsid w:val="0099506E"/>
    <w:rsid w:val="0099530F"/>
    <w:rsid w:val="00996174"/>
    <w:rsid w:val="00996768"/>
    <w:rsid w:val="009A068C"/>
    <w:rsid w:val="009A1565"/>
    <w:rsid w:val="009A216F"/>
    <w:rsid w:val="009A2200"/>
    <w:rsid w:val="009A306D"/>
    <w:rsid w:val="009A37F9"/>
    <w:rsid w:val="009A47CD"/>
    <w:rsid w:val="009A77A3"/>
    <w:rsid w:val="009B1205"/>
    <w:rsid w:val="009B3509"/>
    <w:rsid w:val="009B4192"/>
    <w:rsid w:val="009B7351"/>
    <w:rsid w:val="009C04E7"/>
    <w:rsid w:val="009C1BAD"/>
    <w:rsid w:val="009C1C9A"/>
    <w:rsid w:val="009C27EF"/>
    <w:rsid w:val="009C355F"/>
    <w:rsid w:val="009C3891"/>
    <w:rsid w:val="009C3F46"/>
    <w:rsid w:val="009C561F"/>
    <w:rsid w:val="009C666C"/>
    <w:rsid w:val="009C6A97"/>
    <w:rsid w:val="009C6DA5"/>
    <w:rsid w:val="009C744B"/>
    <w:rsid w:val="009D00BC"/>
    <w:rsid w:val="009D044E"/>
    <w:rsid w:val="009D10D6"/>
    <w:rsid w:val="009D1B21"/>
    <w:rsid w:val="009D2B95"/>
    <w:rsid w:val="009D31AA"/>
    <w:rsid w:val="009D4C60"/>
    <w:rsid w:val="009D551D"/>
    <w:rsid w:val="009E04FE"/>
    <w:rsid w:val="009E090C"/>
    <w:rsid w:val="009E1545"/>
    <w:rsid w:val="009E257C"/>
    <w:rsid w:val="009E2662"/>
    <w:rsid w:val="009E39CB"/>
    <w:rsid w:val="009E7125"/>
    <w:rsid w:val="009E7C68"/>
    <w:rsid w:val="009F0DF8"/>
    <w:rsid w:val="009F40FB"/>
    <w:rsid w:val="009F4A40"/>
    <w:rsid w:val="009F500B"/>
    <w:rsid w:val="009F635D"/>
    <w:rsid w:val="009F6D77"/>
    <w:rsid w:val="009F6EB2"/>
    <w:rsid w:val="009F791B"/>
    <w:rsid w:val="009F7DEF"/>
    <w:rsid w:val="00A0024D"/>
    <w:rsid w:val="00A00882"/>
    <w:rsid w:val="00A0294E"/>
    <w:rsid w:val="00A10B5B"/>
    <w:rsid w:val="00A11A52"/>
    <w:rsid w:val="00A11E72"/>
    <w:rsid w:val="00A1217A"/>
    <w:rsid w:val="00A12A8E"/>
    <w:rsid w:val="00A131BA"/>
    <w:rsid w:val="00A1477B"/>
    <w:rsid w:val="00A149FC"/>
    <w:rsid w:val="00A15384"/>
    <w:rsid w:val="00A16441"/>
    <w:rsid w:val="00A178BE"/>
    <w:rsid w:val="00A2146B"/>
    <w:rsid w:val="00A2170A"/>
    <w:rsid w:val="00A22DBD"/>
    <w:rsid w:val="00A23EE6"/>
    <w:rsid w:val="00A247DC"/>
    <w:rsid w:val="00A2773E"/>
    <w:rsid w:val="00A30151"/>
    <w:rsid w:val="00A31596"/>
    <w:rsid w:val="00A35414"/>
    <w:rsid w:val="00A35C8B"/>
    <w:rsid w:val="00A3773B"/>
    <w:rsid w:val="00A40B8D"/>
    <w:rsid w:val="00A42225"/>
    <w:rsid w:val="00A436FA"/>
    <w:rsid w:val="00A44CB1"/>
    <w:rsid w:val="00A47E78"/>
    <w:rsid w:val="00A53DAE"/>
    <w:rsid w:val="00A54024"/>
    <w:rsid w:val="00A56398"/>
    <w:rsid w:val="00A57069"/>
    <w:rsid w:val="00A579F9"/>
    <w:rsid w:val="00A60309"/>
    <w:rsid w:val="00A6148C"/>
    <w:rsid w:val="00A61BBE"/>
    <w:rsid w:val="00A62607"/>
    <w:rsid w:val="00A63DC2"/>
    <w:rsid w:val="00A65665"/>
    <w:rsid w:val="00A6625D"/>
    <w:rsid w:val="00A665D8"/>
    <w:rsid w:val="00A6664C"/>
    <w:rsid w:val="00A672EA"/>
    <w:rsid w:val="00A67402"/>
    <w:rsid w:val="00A67562"/>
    <w:rsid w:val="00A73978"/>
    <w:rsid w:val="00A76A6C"/>
    <w:rsid w:val="00A80124"/>
    <w:rsid w:val="00A80EF8"/>
    <w:rsid w:val="00A823D2"/>
    <w:rsid w:val="00A84587"/>
    <w:rsid w:val="00A84F95"/>
    <w:rsid w:val="00A852A7"/>
    <w:rsid w:val="00A8688A"/>
    <w:rsid w:val="00A87850"/>
    <w:rsid w:val="00A909CF"/>
    <w:rsid w:val="00A90BE5"/>
    <w:rsid w:val="00A94A3B"/>
    <w:rsid w:val="00A95497"/>
    <w:rsid w:val="00AA0989"/>
    <w:rsid w:val="00AA224D"/>
    <w:rsid w:val="00AA2479"/>
    <w:rsid w:val="00AA2E6B"/>
    <w:rsid w:val="00AA31B6"/>
    <w:rsid w:val="00AA4FEE"/>
    <w:rsid w:val="00AA5507"/>
    <w:rsid w:val="00AA6B55"/>
    <w:rsid w:val="00AA6CD6"/>
    <w:rsid w:val="00AB1F61"/>
    <w:rsid w:val="00AB262D"/>
    <w:rsid w:val="00AB5AB5"/>
    <w:rsid w:val="00AB67F5"/>
    <w:rsid w:val="00AB6DAA"/>
    <w:rsid w:val="00AC069C"/>
    <w:rsid w:val="00AC11E9"/>
    <w:rsid w:val="00AC1560"/>
    <w:rsid w:val="00AC1805"/>
    <w:rsid w:val="00AC30CC"/>
    <w:rsid w:val="00AC4392"/>
    <w:rsid w:val="00AC4AA5"/>
    <w:rsid w:val="00AC4E27"/>
    <w:rsid w:val="00AC55A7"/>
    <w:rsid w:val="00AC60E3"/>
    <w:rsid w:val="00AC70B6"/>
    <w:rsid w:val="00AD0031"/>
    <w:rsid w:val="00AD00DB"/>
    <w:rsid w:val="00AD0A17"/>
    <w:rsid w:val="00AD0BBB"/>
    <w:rsid w:val="00AD10DA"/>
    <w:rsid w:val="00AD1B18"/>
    <w:rsid w:val="00AD3689"/>
    <w:rsid w:val="00AD41AD"/>
    <w:rsid w:val="00AD495A"/>
    <w:rsid w:val="00AD6C70"/>
    <w:rsid w:val="00AE00C2"/>
    <w:rsid w:val="00AE14CD"/>
    <w:rsid w:val="00AE2572"/>
    <w:rsid w:val="00AE395B"/>
    <w:rsid w:val="00AE4D3E"/>
    <w:rsid w:val="00AE60A4"/>
    <w:rsid w:val="00AE7C63"/>
    <w:rsid w:val="00AF0C21"/>
    <w:rsid w:val="00AF1D58"/>
    <w:rsid w:val="00AF230D"/>
    <w:rsid w:val="00AF3073"/>
    <w:rsid w:val="00AF4124"/>
    <w:rsid w:val="00AF484F"/>
    <w:rsid w:val="00AF584D"/>
    <w:rsid w:val="00AF6DC8"/>
    <w:rsid w:val="00AF6E72"/>
    <w:rsid w:val="00AF776B"/>
    <w:rsid w:val="00B0320A"/>
    <w:rsid w:val="00B03556"/>
    <w:rsid w:val="00B035B1"/>
    <w:rsid w:val="00B03BFA"/>
    <w:rsid w:val="00B04B3E"/>
    <w:rsid w:val="00B04BB0"/>
    <w:rsid w:val="00B04E08"/>
    <w:rsid w:val="00B07105"/>
    <w:rsid w:val="00B1030E"/>
    <w:rsid w:val="00B1151C"/>
    <w:rsid w:val="00B11B8B"/>
    <w:rsid w:val="00B12717"/>
    <w:rsid w:val="00B133D4"/>
    <w:rsid w:val="00B139BF"/>
    <w:rsid w:val="00B13ED5"/>
    <w:rsid w:val="00B1517C"/>
    <w:rsid w:val="00B168C5"/>
    <w:rsid w:val="00B173C7"/>
    <w:rsid w:val="00B179C7"/>
    <w:rsid w:val="00B20460"/>
    <w:rsid w:val="00B20C94"/>
    <w:rsid w:val="00B2109B"/>
    <w:rsid w:val="00B277E0"/>
    <w:rsid w:val="00B301F9"/>
    <w:rsid w:val="00B30703"/>
    <w:rsid w:val="00B30CA9"/>
    <w:rsid w:val="00B30D47"/>
    <w:rsid w:val="00B3223C"/>
    <w:rsid w:val="00B347C5"/>
    <w:rsid w:val="00B373CC"/>
    <w:rsid w:val="00B378A2"/>
    <w:rsid w:val="00B43C9B"/>
    <w:rsid w:val="00B45420"/>
    <w:rsid w:val="00B47F69"/>
    <w:rsid w:val="00B5199E"/>
    <w:rsid w:val="00B51B82"/>
    <w:rsid w:val="00B60F8C"/>
    <w:rsid w:val="00B6129A"/>
    <w:rsid w:val="00B625F5"/>
    <w:rsid w:val="00B63AB8"/>
    <w:rsid w:val="00B664A7"/>
    <w:rsid w:val="00B67BF3"/>
    <w:rsid w:val="00B71BDE"/>
    <w:rsid w:val="00B729DE"/>
    <w:rsid w:val="00B7485D"/>
    <w:rsid w:val="00B757F6"/>
    <w:rsid w:val="00B77AB3"/>
    <w:rsid w:val="00B80FB7"/>
    <w:rsid w:val="00B834BF"/>
    <w:rsid w:val="00B85547"/>
    <w:rsid w:val="00B8564C"/>
    <w:rsid w:val="00B85A65"/>
    <w:rsid w:val="00B87FAE"/>
    <w:rsid w:val="00B967F6"/>
    <w:rsid w:val="00B96FEB"/>
    <w:rsid w:val="00B97A8A"/>
    <w:rsid w:val="00BA18A3"/>
    <w:rsid w:val="00BA22BC"/>
    <w:rsid w:val="00BA23B9"/>
    <w:rsid w:val="00BA3AAB"/>
    <w:rsid w:val="00BA4B6A"/>
    <w:rsid w:val="00BA58EE"/>
    <w:rsid w:val="00BB0418"/>
    <w:rsid w:val="00BB1920"/>
    <w:rsid w:val="00BB2968"/>
    <w:rsid w:val="00BB4855"/>
    <w:rsid w:val="00BB5830"/>
    <w:rsid w:val="00BB5D55"/>
    <w:rsid w:val="00BB5DD2"/>
    <w:rsid w:val="00BB6981"/>
    <w:rsid w:val="00BB6FD9"/>
    <w:rsid w:val="00BC0463"/>
    <w:rsid w:val="00BC0C6B"/>
    <w:rsid w:val="00BC1357"/>
    <w:rsid w:val="00BC1A73"/>
    <w:rsid w:val="00BC1C01"/>
    <w:rsid w:val="00BC23A0"/>
    <w:rsid w:val="00BC32D1"/>
    <w:rsid w:val="00BC35AD"/>
    <w:rsid w:val="00BC387A"/>
    <w:rsid w:val="00BC477A"/>
    <w:rsid w:val="00BC5122"/>
    <w:rsid w:val="00BC56DC"/>
    <w:rsid w:val="00BC6EFF"/>
    <w:rsid w:val="00BD0407"/>
    <w:rsid w:val="00BD09F4"/>
    <w:rsid w:val="00BD166F"/>
    <w:rsid w:val="00BD1947"/>
    <w:rsid w:val="00BD2F7A"/>
    <w:rsid w:val="00BD3A3A"/>
    <w:rsid w:val="00BD4219"/>
    <w:rsid w:val="00BD44EA"/>
    <w:rsid w:val="00BD5385"/>
    <w:rsid w:val="00BD5520"/>
    <w:rsid w:val="00BD6333"/>
    <w:rsid w:val="00BE050B"/>
    <w:rsid w:val="00BE0805"/>
    <w:rsid w:val="00BE0F13"/>
    <w:rsid w:val="00BE1661"/>
    <w:rsid w:val="00BE2757"/>
    <w:rsid w:val="00BE31BD"/>
    <w:rsid w:val="00BE3AD9"/>
    <w:rsid w:val="00BE3D75"/>
    <w:rsid w:val="00BE541A"/>
    <w:rsid w:val="00BE55CE"/>
    <w:rsid w:val="00BE6B73"/>
    <w:rsid w:val="00BE75EB"/>
    <w:rsid w:val="00BF037D"/>
    <w:rsid w:val="00BF0CE8"/>
    <w:rsid w:val="00BF11A7"/>
    <w:rsid w:val="00BF17BC"/>
    <w:rsid w:val="00BF205F"/>
    <w:rsid w:val="00BF4E91"/>
    <w:rsid w:val="00BF5F48"/>
    <w:rsid w:val="00BF6BA6"/>
    <w:rsid w:val="00BF738F"/>
    <w:rsid w:val="00C01D4A"/>
    <w:rsid w:val="00C0224D"/>
    <w:rsid w:val="00C03392"/>
    <w:rsid w:val="00C040AC"/>
    <w:rsid w:val="00C04F6E"/>
    <w:rsid w:val="00C066F9"/>
    <w:rsid w:val="00C067D1"/>
    <w:rsid w:val="00C06C78"/>
    <w:rsid w:val="00C07EE3"/>
    <w:rsid w:val="00C10DFE"/>
    <w:rsid w:val="00C11F8D"/>
    <w:rsid w:val="00C12618"/>
    <w:rsid w:val="00C12B3B"/>
    <w:rsid w:val="00C141A4"/>
    <w:rsid w:val="00C17011"/>
    <w:rsid w:val="00C17412"/>
    <w:rsid w:val="00C17863"/>
    <w:rsid w:val="00C2036C"/>
    <w:rsid w:val="00C2065E"/>
    <w:rsid w:val="00C21888"/>
    <w:rsid w:val="00C224F1"/>
    <w:rsid w:val="00C22523"/>
    <w:rsid w:val="00C22AFC"/>
    <w:rsid w:val="00C2392E"/>
    <w:rsid w:val="00C23EB8"/>
    <w:rsid w:val="00C2530A"/>
    <w:rsid w:val="00C25663"/>
    <w:rsid w:val="00C25AAE"/>
    <w:rsid w:val="00C25BBB"/>
    <w:rsid w:val="00C27A44"/>
    <w:rsid w:val="00C30500"/>
    <w:rsid w:val="00C32E41"/>
    <w:rsid w:val="00C33FAE"/>
    <w:rsid w:val="00C36E98"/>
    <w:rsid w:val="00C3702A"/>
    <w:rsid w:val="00C40A68"/>
    <w:rsid w:val="00C40B88"/>
    <w:rsid w:val="00C40F87"/>
    <w:rsid w:val="00C414BA"/>
    <w:rsid w:val="00C414C4"/>
    <w:rsid w:val="00C41512"/>
    <w:rsid w:val="00C44850"/>
    <w:rsid w:val="00C44A21"/>
    <w:rsid w:val="00C45063"/>
    <w:rsid w:val="00C45338"/>
    <w:rsid w:val="00C461AF"/>
    <w:rsid w:val="00C46588"/>
    <w:rsid w:val="00C465F4"/>
    <w:rsid w:val="00C46BA0"/>
    <w:rsid w:val="00C5291B"/>
    <w:rsid w:val="00C53B17"/>
    <w:rsid w:val="00C53CD2"/>
    <w:rsid w:val="00C54327"/>
    <w:rsid w:val="00C55845"/>
    <w:rsid w:val="00C56368"/>
    <w:rsid w:val="00C6019E"/>
    <w:rsid w:val="00C625B2"/>
    <w:rsid w:val="00C65A20"/>
    <w:rsid w:val="00C67598"/>
    <w:rsid w:val="00C700FF"/>
    <w:rsid w:val="00C70D14"/>
    <w:rsid w:val="00C70E38"/>
    <w:rsid w:val="00C71B5E"/>
    <w:rsid w:val="00C739B0"/>
    <w:rsid w:val="00C7534B"/>
    <w:rsid w:val="00C80C80"/>
    <w:rsid w:val="00C81146"/>
    <w:rsid w:val="00C81AF4"/>
    <w:rsid w:val="00C81BEB"/>
    <w:rsid w:val="00C8297E"/>
    <w:rsid w:val="00C83671"/>
    <w:rsid w:val="00C8399B"/>
    <w:rsid w:val="00C84D28"/>
    <w:rsid w:val="00C8514D"/>
    <w:rsid w:val="00C873E0"/>
    <w:rsid w:val="00C87D4B"/>
    <w:rsid w:val="00C90AD3"/>
    <w:rsid w:val="00C90CCC"/>
    <w:rsid w:val="00C918E5"/>
    <w:rsid w:val="00C9275A"/>
    <w:rsid w:val="00C93F1D"/>
    <w:rsid w:val="00C94006"/>
    <w:rsid w:val="00C953C2"/>
    <w:rsid w:val="00C954EB"/>
    <w:rsid w:val="00C97E20"/>
    <w:rsid w:val="00CA0F09"/>
    <w:rsid w:val="00CA1169"/>
    <w:rsid w:val="00CA1FD4"/>
    <w:rsid w:val="00CA2564"/>
    <w:rsid w:val="00CA2740"/>
    <w:rsid w:val="00CA36F9"/>
    <w:rsid w:val="00CA50B7"/>
    <w:rsid w:val="00CA72B8"/>
    <w:rsid w:val="00CB0200"/>
    <w:rsid w:val="00CB0D03"/>
    <w:rsid w:val="00CB128F"/>
    <w:rsid w:val="00CB1491"/>
    <w:rsid w:val="00CB18A6"/>
    <w:rsid w:val="00CB1ADD"/>
    <w:rsid w:val="00CB1CFB"/>
    <w:rsid w:val="00CB257C"/>
    <w:rsid w:val="00CB458F"/>
    <w:rsid w:val="00CB485C"/>
    <w:rsid w:val="00CB4899"/>
    <w:rsid w:val="00CB5E3E"/>
    <w:rsid w:val="00CB5EEB"/>
    <w:rsid w:val="00CB6A70"/>
    <w:rsid w:val="00CC380C"/>
    <w:rsid w:val="00CC3AA1"/>
    <w:rsid w:val="00CC60EC"/>
    <w:rsid w:val="00CC71A9"/>
    <w:rsid w:val="00CD2678"/>
    <w:rsid w:val="00CD349B"/>
    <w:rsid w:val="00CD3975"/>
    <w:rsid w:val="00CD4E27"/>
    <w:rsid w:val="00CD56BC"/>
    <w:rsid w:val="00CD62A2"/>
    <w:rsid w:val="00CD6F36"/>
    <w:rsid w:val="00CE0467"/>
    <w:rsid w:val="00CE08C2"/>
    <w:rsid w:val="00CE1487"/>
    <w:rsid w:val="00CE477E"/>
    <w:rsid w:val="00CE759B"/>
    <w:rsid w:val="00CF0D51"/>
    <w:rsid w:val="00CF18A8"/>
    <w:rsid w:val="00CF1EDF"/>
    <w:rsid w:val="00CF384F"/>
    <w:rsid w:val="00CF3B70"/>
    <w:rsid w:val="00CF3EE1"/>
    <w:rsid w:val="00CF45DD"/>
    <w:rsid w:val="00CF5596"/>
    <w:rsid w:val="00CF58D6"/>
    <w:rsid w:val="00CF68B9"/>
    <w:rsid w:val="00CF6BFB"/>
    <w:rsid w:val="00CF7A86"/>
    <w:rsid w:val="00D02132"/>
    <w:rsid w:val="00D03EC0"/>
    <w:rsid w:val="00D03FF3"/>
    <w:rsid w:val="00D04CE9"/>
    <w:rsid w:val="00D07B52"/>
    <w:rsid w:val="00D103F3"/>
    <w:rsid w:val="00D108D8"/>
    <w:rsid w:val="00D10D65"/>
    <w:rsid w:val="00D1161F"/>
    <w:rsid w:val="00D11759"/>
    <w:rsid w:val="00D12DE4"/>
    <w:rsid w:val="00D144A3"/>
    <w:rsid w:val="00D14B21"/>
    <w:rsid w:val="00D1530E"/>
    <w:rsid w:val="00D163E3"/>
    <w:rsid w:val="00D17A2E"/>
    <w:rsid w:val="00D17B33"/>
    <w:rsid w:val="00D23315"/>
    <w:rsid w:val="00D23DA8"/>
    <w:rsid w:val="00D25F57"/>
    <w:rsid w:val="00D27AAA"/>
    <w:rsid w:val="00D31623"/>
    <w:rsid w:val="00D32728"/>
    <w:rsid w:val="00D338A7"/>
    <w:rsid w:val="00D3404E"/>
    <w:rsid w:val="00D34161"/>
    <w:rsid w:val="00D35348"/>
    <w:rsid w:val="00D356E9"/>
    <w:rsid w:val="00D35D7F"/>
    <w:rsid w:val="00D3766D"/>
    <w:rsid w:val="00D40068"/>
    <w:rsid w:val="00D40140"/>
    <w:rsid w:val="00D4028E"/>
    <w:rsid w:val="00D40982"/>
    <w:rsid w:val="00D429BE"/>
    <w:rsid w:val="00D42A96"/>
    <w:rsid w:val="00D43089"/>
    <w:rsid w:val="00D434AA"/>
    <w:rsid w:val="00D439E5"/>
    <w:rsid w:val="00D440D7"/>
    <w:rsid w:val="00D44BE9"/>
    <w:rsid w:val="00D45727"/>
    <w:rsid w:val="00D46315"/>
    <w:rsid w:val="00D475D0"/>
    <w:rsid w:val="00D50AAD"/>
    <w:rsid w:val="00D50CAD"/>
    <w:rsid w:val="00D5152C"/>
    <w:rsid w:val="00D51A80"/>
    <w:rsid w:val="00D51D30"/>
    <w:rsid w:val="00D52B63"/>
    <w:rsid w:val="00D5365C"/>
    <w:rsid w:val="00D54E30"/>
    <w:rsid w:val="00D551E5"/>
    <w:rsid w:val="00D571E6"/>
    <w:rsid w:val="00D57B39"/>
    <w:rsid w:val="00D6218D"/>
    <w:rsid w:val="00D625AA"/>
    <w:rsid w:val="00D6296F"/>
    <w:rsid w:val="00D65AB1"/>
    <w:rsid w:val="00D66688"/>
    <w:rsid w:val="00D67541"/>
    <w:rsid w:val="00D67A8C"/>
    <w:rsid w:val="00D703E2"/>
    <w:rsid w:val="00D7574B"/>
    <w:rsid w:val="00D758D1"/>
    <w:rsid w:val="00D75D6A"/>
    <w:rsid w:val="00D80974"/>
    <w:rsid w:val="00D81536"/>
    <w:rsid w:val="00D81FAD"/>
    <w:rsid w:val="00D825C5"/>
    <w:rsid w:val="00D82ECB"/>
    <w:rsid w:val="00D83A11"/>
    <w:rsid w:val="00D83E6C"/>
    <w:rsid w:val="00D85214"/>
    <w:rsid w:val="00D86336"/>
    <w:rsid w:val="00D86511"/>
    <w:rsid w:val="00D873FE"/>
    <w:rsid w:val="00D87DE9"/>
    <w:rsid w:val="00D87E7F"/>
    <w:rsid w:val="00D904ED"/>
    <w:rsid w:val="00D91DA9"/>
    <w:rsid w:val="00D924BB"/>
    <w:rsid w:val="00D93006"/>
    <w:rsid w:val="00D9370B"/>
    <w:rsid w:val="00D93776"/>
    <w:rsid w:val="00D95DAE"/>
    <w:rsid w:val="00D95EB9"/>
    <w:rsid w:val="00D96346"/>
    <w:rsid w:val="00DA22F2"/>
    <w:rsid w:val="00DA35F3"/>
    <w:rsid w:val="00DA4E6D"/>
    <w:rsid w:val="00DA5619"/>
    <w:rsid w:val="00DA5B10"/>
    <w:rsid w:val="00DA7EA3"/>
    <w:rsid w:val="00DB0AB2"/>
    <w:rsid w:val="00DB27DE"/>
    <w:rsid w:val="00DB3E85"/>
    <w:rsid w:val="00DB4195"/>
    <w:rsid w:val="00DB5AE2"/>
    <w:rsid w:val="00DB6D5B"/>
    <w:rsid w:val="00DC0C39"/>
    <w:rsid w:val="00DC3D0E"/>
    <w:rsid w:val="00DC4CA5"/>
    <w:rsid w:val="00DC5774"/>
    <w:rsid w:val="00DC596D"/>
    <w:rsid w:val="00DC6DE4"/>
    <w:rsid w:val="00DC6E6F"/>
    <w:rsid w:val="00DC6F5B"/>
    <w:rsid w:val="00DC7437"/>
    <w:rsid w:val="00DC750A"/>
    <w:rsid w:val="00DD1352"/>
    <w:rsid w:val="00DD30D8"/>
    <w:rsid w:val="00DD7238"/>
    <w:rsid w:val="00DE0627"/>
    <w:rsid w:val="00DE1D6B"/>
    <w:rsid w:val="00DE209B"/>
    <w:rsid w:val="00DE2369"/>
    <w:rsid w:val="00DE24B3"/>
    <w:rsid w:val="00DE2B09"/>
    <w:rsid w:val="00DE2D90"/>
    <w:rsid w:val="00DE4329"/>
    <w:rsid w:val="00DF0920"/>
    <w:rsid w:val="00DF186E"/>
    <w:rsid w:val="00DF199F"/>
    <w:rsid w:val="00DF21F0"/>
    <w:rsid w:val="00DF2AD5"/>
    <w:rsid w:val="00DF3EF0"/>
    <w:rsid w:val="00DF3FB5"/>
    <w:rsid w:val="00DF4663"/>
    <w:rsid w:val="00DF6C97"/>
    <w:rsid w:val="00DF795F"/>
    <w:rsid w:val="00E039B1"/>
    <w:rsid w:val="00E059F3"/>
    <w:rsid w:val="00E078B3"/>
    <w:rsid w:val="00E130F6"/>
    <w:rsid w:val="00E1419E"/>
    <w:rsid w:val="00E14C77"/>
    <w:rsid w:val="00E15BF4"/>
    <w:rsid w:val="00E16EBF"/>
    <w:rsid w:val="00E17D06"/>
    <w:rsid w:val="00E2032F"/>
    <w:rsid w:val="00E214EB"/>
    <w:rsid w:val="00E21B93"/>
    <w:rsid w:val="00E24437"/>
    <w:rsid w:val="00E24AEA"/>
    <w:rsid w:val="00E2676F"/>
    <w:rsid w:val="00E26F68"/>
    <w:rsid w:val="00E3229F"/>
    <w:rsid w:val="00E33A6A"/>
    <w:rsid w:val="00E33CFD"/>
    <w:rsid w:val="00E34C58"/>
    <w:rsid w:val="00E36F1F"/>
    <w:rsid w:val="00E37D07"/>
    <w:rsid w:val="00E40DC6"/>
    <w:rsid w:val="00E439A2"/>
    <w:rsid w:val="00E446DB"/>
    <w:rsid w:val="00E44704"/>
    <w:rsid w:val="00E45CD1"/>
    <w:rsid w:val="00E5150B"/>
    <w:rsid w:val="00E51E33"/>
    <w:rsid w:val="00E5232E"/>
    <w:rsid w:val="00E52386"/>
    <w:rsid w:val="00E52719"/>
    <w:rsid w:val="00E554DE"/>
    <w:rsid w:val="00E55C4D"/>
    <w:rsid w:val="00E56991"/>
    <w:rsid w:val="00E57B5F"/>
    <w:rsid w:val="00E60245"/>
    <w:rsid w:val="00E603B9"/>
    <w:rsid w:val="00E633C7"/>
    <w:rsid w:val="00E63A86"/>
    <w:rsid w:val="00E642C8"/>
    <w:rsid w:val="00E6520D"/>
    <w:rsid w:val="00E65486"/>
    <w:rsid w:val="00E7152E"/>
    <w:rsid w:val="00E71A72"/>
    <w:rsid w:val="00E747F5"/>
    <w:rsid w:val="00E76345"/>
    <w:rsid w:val="00E77161"/>
    <w:rsid w:val="00E77598"/>
    <w:rsid w:val="00E80EE9"/>
    <w:rsid w:val="00E82315"/>
    <w:rsid w:val="00E837A0"/>
    <w:rsid w:val="00E837EA"/>
    <w:rsid w:val="00E860AE"/>
    <w:rsid w:val="00E9151A"/>
    <w:rsid w:val="00E94EDE"/>
    <w:rsid w:val="00EA135C"/>
    <w:rsid w:val="00EA48E1"/>
    <w:rsid w:val="00EA69C3"/>
    <w:rsid w:val="00EA791B"/>
    <w:rsid w:val="00EB1903"/>
    <w:rsid w:val="00EB2B52"/>
    <w:rsid w:val="00EB2DCE"/>
    <w:rsid w:val="00EB5B28"/>
    <w:rsid w:val="00EB6142"/>
    <w:rsid w:val="00EB6151"/>
    <w:rsid w:val="00EB7842"/>
    <w:rsid w:val="00EC0214"/>
    <w:rsid w:val="00EC146C"/>
    <w:rsid w:val="00EC2F2F"/>
    <w:rsid w:val="00EC3348"/>
    <w:rsid w:val="00EC3785"/>
    <w:rsid w:val="00EC3FB0"/>
    <w:rsid w:val="00EC509A"/>
    <w:rsid w:val="00EC5747"/>
    <w:rsid w:val="00EC700E"/>
    <w:rsid w:val="00ED017E"/>
    <w:rsid w:val="00ED067C"/>
    <w:rsid w:val="00ED2213"/>
    <w:rsid w:val="00ED2B11"/>
    <w:rsid w:val="00ED31EC"/>
    <w:rsid w:val="00ED3310"/>
    <w:rsid w:val="00ED5006"/>
    <w:rsid w:val="00ED6A82"/>
    <w:rsid w:val="00ED72BC"/>
    <w:rsid w:val="00EE07D8"/>
    <w:rsid w:val="00EE07E7"/>
    <w:rsid w:val="00EE15DC"/>
    <w:rsid w:val="00EE19B6"/>
    <w:rsid w:val="00EE4BE9"/>
    <w:rsid w:val="00EE58F2"/>
    <w:rsid w:val="00EE5AA1"/>
    <w:rsid w:val="00EE6583"/>
    <w:rsid w:val="00EF0F0F"/>
    <w:rsid w:val="00EF1B96"/>
    <w:rsid w:val="00EF23CE"/>
    <w:rsid w:val="00EF5146"/>
    <w:rsid w:val="00EF5F95"/>
    <w:rsid w:val="00EF6FB6"/>
    <w:rsid w:val="00F00DE7"/>
    <w:rsid w:val="00F02BE9"/>
    <w:rsid w:val="00F02E7A"/>
    <w:rsid w:val="00F040AB"/>
    <w:rsid w:val="00F04541"/>
    <w:rsid w:val="00F05D67"/>
    <w:rsid w:val="00F07576"/>
    <w:rsid w:val="00F10555"/>
    <w:rsid w:val="00F10651"/>
    <w:rsid w:val="00F10994"/>
    <w:rsid w:val="00F11E4A"/>
    <w:rsid w:val="00F15E73"/>
    <w:rsid w:val="00F16AFD"/>
    <w:rsid w:val="00F170E5"/>
    <w:rsid w:val="00F1726A"/>
    <w:rsid w:val="00F20F5A"/>
    <w:rsid w:val="00F23AA0"/>
    <w:rsid w:val="00F24C1C"/>
    <w:rsid w:val="00F2568A"/>
    <w:rsid w:val="00F277EE"/>
    <w:rsid w:val="00F27FC5"/>
    <w:rsid w:val="00F327AE"/>
    <w:rsid w:val="00F328B9"/>
    <w:rsid w:val="00F3291C"/>
    <w:rsid w:val="00F340F6"/>
    <w:rsid w:val="00F351EA"/>
    <w:rsid w:val="00F36CFB"/>
    <w:rsid w:val="00F37C78"/>
    <w:rsid w:val="00F37D69"/>
    <w:rsid w:val="00F4135F"/>
    <w:rsid w:val="00F424F9"/>
    <w:rsid w:val="00F4474A"/>
    <w:rsid w:val="00F46005"/>
    <w:rsid w:val="00F46264"/>
    <w:rsid w:val="00F47475"/>
    <w:rsid w:val="00F47498"/>
    <w:rsid w:val="00F50334"/>
    <w:rsid w:val="00F50654"/>
    <w:rsid w:val="00F527A1"/>
    <w:rsid w:val="00F528AC"/>
    <w:rsid w:val="00F53CC6"/>
    <w:rsid w:val="00F53E73"/>
    <w:rsid w:val="00F56088"/>
    <w:rsid w:val="00F60560"/>
    <w:rsid w:val="00F6080E"/>
    <w:rsid w:val="00F61D67"/>
    <w:rsid w:val="00F63A48"/>
    <w:rsid w:val="00F645FD"/>
    <w:rsid w:val="00F647A1"/>
    <w:rsid w:val="00F6480C"/>
    <w:rsid w:val="00F64D22"/>
    <w:rsid w:val="00F70329"/>
    <w:rsid w:val="00F70581"/>
    <w:rsid w:val="00F7088A"/>
    <w:rsid w:val="00F70D3C"/>
    <w:rsid w:val="00F71606"/>
    <w:rsid w:val="00F71A5D"/>
    <w:rsid w:val="00F731D8"/>
    <w:rsid w:val="00F750BE"/>
    <w:rsid w:val="00F753EE"/>
    <w:rsid w:val="00F76EC3"/>
    <w:rsid w:val="00F7797F"/>
    <w:rsid w:val="00F8096F"/>
    <w:rsid w:val="00F81FD6"/>
    <w:rsid w:val="00F82908"/>
    <w:rsid w:val="00F83BB9"/>
    <w:rsid w:val="00F85201"/>
    <w:rsid w:val="00F855DB"/>
    <w:rsid w:val="00F85B5B"/>
    <w:rsid w:val="00F85F2E"/>
    <w:rsid w:val="00F861C9"/>
    <w:rsid w:val="00F870F2"/>
    <w:rsid w:val="00F87BF1"/>
    <w:rsid w:val="00F9118D"/>
    <w:rsid w:val="00F91F89"/>
    <w:rsid w:val="00F94293"/>
    <w:rsid w:val="00F946E3"/>
    <w:rsid w:val="00F95ACC"/>
    <w:rsid w:val="00F96D05"/>
    <w:rsid w:val="00FA03C9"/>
    <w:rsid w:val="00FA054C"/>
    <w:rsid w:val="00FA099F"/>
    <w:rsid w:val="00FA0E49"/>
    <w:rsid w:val="00FA361F"/>
    <w:rsid w:val="00FA386B"/>
    <w:rsid w:val="00FA39E5"/>
    <w:rsid w:val="00FA3E8B"/>
    <w:rsid w:val="00FA4A82"/>
    <w:rsid w:val="00FA4B5A"/>
    <w:rsid w:val="00FA5D9E"/>
    <w:rsid w:val="00FA6AAB"/>
    <w:rsid w:val="00FB00BD"/>
    <w:rsid w:val="00FB0301"/>
    <w:rsid w:val="00FB12A0"/>
    <w:rsid w:val="00FB1E34"/>
    <w:rsid w:val="00FB207D"/>
    <w:rsid w:val="00FB2864"/>
    <w:rsid w:val="00FB4E88"/>
    <w:rsid w:val="00FB515F"/>
    <w:rsid w:val="00FB53CD"/>
    <w:rsid w:val="00FB64FD"/>
    <w:rsid w:val="00FC1160"/>
    <w:rsid w:val="00FC41B8"/>
    <w:rsid w:val="00FC662B"/>
    <w:rsid w:val="00FD0197"/>
    <w:rsid w:val="00FD0D0C"/>
    <w:rsid w:val="00FD312F"/>
    <w:rsid w:val="00FD4363"/>
    <w:rsid w:val="00FD68B7"/>
    <w:rsid w:val="00FD6D11"/>
    <w:rsid w:val="00FD7B5A"/>
    <w:rsid w:val="00FE030D"/>
    <w:rsid w:val="00FE1B93"/>
    <w:rsid w:val="00FE2D64"/>
    <w:rsid w:val="00FE2DC3"/>
    <w:rsid w:val="00FE46FF"/>
    <w:rsid w:val="00FE4F16"/>
    <w:rsid w:val="00FE5642"/>
    <w:rsid w:val="00FE75B9"/>
    <w:rsid w:val="00FF003E"/>
    <w:rsid w:val="00FF041F"/>
    <w:rsid w:val="00FF0466"/>
    <w:rsid w:val="00FF0B25"/>
    <w:rsid w:val="00FF1395"/>
    <w:rsid w:val="00FF31D8"/>
    <w:rsid w:val="00FF3CF3"/>
    <w:rsid w:val="00FF4420"/>
    <w:rsid w:val="00FF4CEA"/>
    <w:rsid w:val="00FF58A5"/>
    <w:rsid w:val="00FF6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20"/>
    <w:pPr>
      <w:jc w:val="both"/>
    </w:pPr>
    <w:rPr>
      <w:rFonts w:ascii="Arial" w:hAnsi="Arial"/>
      <w:sz w:val="22"/>
      <w:szCs w:val="22"/>
    </w:rPr>
  </w:style>
  <w:style w:type="paragraph" w:styleId="1">
    <w:name w:val="heading 1"/>
    <w:basedOn w:val="a"/>
    <w:next w:val="ssPara1"/>
    <w:qFormat/>
    <w:rsid w:val="00955C20"/>
    <w:pPr>
      <w:keepNext/>
      <w:widowControl w:val="0"/>
      <w:numPr>
        <w:ilvl w:val="1"/>
        <w:numId w:val="1"/>
      </w:numPr>
      <w:spacing w:after="260"/>
      <w:outlineLvl w:val="0"/>
    </w:pPr>
    <w:rPr>
      <w:rFonts w:cs="Arial"/>
      <w:b/>
      <w:bCs/>
      <w:kern w:val="32"/>
      <w:szCs w:val="32"/>
      <w:u w:val="single"/>
    </w:rPr>
  </w:style>
  <w:style w:type="paragraph" w:styleId="2">
    <w:name w:val="heading 2"/>
    <w:basedOn w:val="a"/>
    <w:next w:val="ssPara2"/>
    <w:qFormat/>
    <w:rsid w:val="00955C20"/>
    <w:pPr>
      <w:keepNext/>
      <w:widowControl w:val="0"/>
      <w:numPr>
        <w:ilvl w:val="2"/>
        <w:numId w:val="1"/>
      </w:numPr>
      <w:spacing w:after="260"/>
      <w:outlineLvl w:val="1"/>
    </w:pPr>
    <w:rPr>
      <w:rFonts w:cs="Arial"/>
      <w:b/>
      <w:bCs/>
      <w:iCs/>
    </w:rPr>
  </w:style>
  <w:style w:type="paragraph" w:styleId="3">
    <w:name w:val="heading 3"/>
    <w:basedOn w:val="a"/>
    <w:next w:val="ssPara3"/>
    <w:qFormat/>
    <w:rsid w:val="00955C20"/>
    <w:pPr>
      <w:keepNext/>
      <w:widowControl w:val="0"/>
      <w:numPr>
        <w:ilvl w:val="3"/>
        <w:numId w:val="1"/>
      </w:numPr>
      <w:spacing w:after="260"/>
      <w:outlineLvl w:val="2"/>
    </w:pPr>
    <w:rPr>
      <w:rFonts w:cs="Arial"/>
      <w:b/>
      <w:bCs/>
      <w:szCs w:val="26"/>
    </w:rPr>
  </w:style>
  <w:style w:type="paragraph" w:styleId="4">
    <w:name w:val="heading 4"/>
    <w:basedOn w:val="a"/>
    <w:next w:val="ssPara4"/>
    <w:qFormat/>
    <w:rsid w:val="00955C20"/>
    <w:pPr>
      <w:keepNext/>
      <w:widowControl w:val="0"/>
      <w:numPr>
        <w:ilvl w:val="4"/>
        <w:numId w:val="1"/>
      </w:numPr>
      <w:spacing w:after="260"/>
      <w:outlineLvl w:val="3"/>
    </w:pPr>
    <w:rPr>
      <w:b/>
      <w:bCs/>
      <w:szCs w:val="28"/>
    </w:rPr>
  </w:style>
  <w:style w:type="paragraph" w:styleId="5">
    <w:name w:val="heading 5"/>
    <w:basedOn w:val="a"/>
    <w:next w:val="ssPara5"/>
    <w:qFormat/>
    <w:rsid w:val="00955C20"/>
    <w:pPr>
      <w:keepNext/>
      <w:widowControl w:val="0"/>
      <w:numPr>
        <w:ilvl w:val="5"/>
        <w:numId w:val="1"/>
      </w:numPr>
      <w:spacing w:after="260"/>
      <w:outlineLvl w:val="4"/>
    </w:pPr>
    <w:rPr>
      <w:b/>
      <w:bCs/>
      <w:iCs/>
    </w:rPr>
  </w:style>
  <w:style w:type="paragraph" w:styleId="6">
    <w:name w:val="heading 6"/>
    <w:basedOn w:val="a"/>
    <w:next w:val="ssPara6"/>
    <w:qFormat/>
    <w:rsid w:val="00955C20"/>
    <w:pPr>
      <w:keepNext/>
      <w:widowControl w:val="0"/>
      <w:numPr>
        <w:ilvl w:val="6"/>
        <w:numId w:val="1"/>
      </w:numPr>
      <w:spacing w:after="260"/>
      <w:outlineLvl w:val="5"/>
    </w:pPr>
    <w:rPr>
      <w:b/>
      <w:bCs/>
    </w:rPr>
  </w:style>
  <w:style w:type="paragraph" w:styleId="7">
    <w:name w:val="heading 7"/>
    <w:basedOn w:val="a"/>
    <w:next w:val="a"/>
    <w:qFormat/>
    <w:rsid w:val="00955C20"/>
    <w:pPr>
      <w:numPr>
        <w:ilvl w:val="7"/>
        <w:numId w:val="1"/>
      </w:numPr>
      <w:outlineLvl w:val="6"/>
    </w:pPr>
    <w:rPr>
      <w:szCs w:val="24"/>
    </w:rPr>
  </w:style>
  <w:style w:type="paragraph" w:styleId="8">
    <w:name w:val="heading 8"/>
    <w:basedOn w:val="a"/>
    <w:next w:val="a"/>
    <w:qFormat/>
    <w:rsid w:val="00955C20"/>
    <w:pPr>
      <w:numPr>
        <w:ilvl w:val="8"/>
        <w:numId w:val="1"/>
      </w:numPr>
      <w:outlineLvl w:val="7"/>
    </w:pPr>
    <w:rPr>
      <w:iCs/>
      <w:szCs w:val="24"/>
    </w:rPr>
  </w:style>
  <w:style w:type="paragraph" w:styleId="9">
    <w:name w:val="heading 9"/>
    <w:basedOn w:val="a"/>
    <w:next w:val="a"/>
    <w:qFormat/>
    <w:rsid w:val="00955C20"/>
    <w:pPr>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449"/>
    <w:tblPr>
      <w:tblInd w:w="0" w:type="dxa"/>
      <w:tblCellMar>
        <w:top w:w="0" w:type="dxa"/>
        <w:left w:w="108" w:type="dxa"/>
        <w:bottom w:w="0" w:type="dxa"/>
        <w:right w:w="108" w:type="dxa"/>
      </w:tblCellMar>
    </w:tblPr>
  </w:style>
  <w:style w:type="paragraph" w:styleId="a4">
    <w:name w:val="footer"/>
    <w:basedOn w:val="a"/>
    <w:link w:val="Char"/>
    <w:rsid w:val="00955C20"/>
    <w:pPr>
      <w:tabs>
        <w:tab w:val="center" w:pos="4763"/>
        <w:tab w:val="right" w:pos="9497"/>
      </w:tabs>
      <w:spacing w:line="260" w:lineRule="atLeast"/>
    </w:pPr>
    <w:rPr>
      <w:rFonts w:eastAsia="Times New Roman"/>
      <w:sz w:val="12"/>
      <w:szCs w:val="20"/>
    </w:rPr>
  </w:style>
  <w:style w:type="character" w:styleId="a5">
    <w:name w:val="page number"/>
    <w:basedOn w:val="a0"/>
    <w:rsid w:val="00955C20"/>
    <w:rPr>
      <w:rFonts w:ascii="Arial" w:hAnsi="Arial"/>
      <w:sz w:val="20"/>
    </w:rPr>
  </w:style>
  <w:style w:type="character" w:customStyle="1" w:styleId="Char">
    <w:name w:val="页脚 Char"/>
    <w:basedOn w:val="a0"/>
    <w:link w:val="a4"/>
    <w:rsid w:val="00955C20"/>
    <w:rPr>
      <w:rFonts w:ascii="Arial" w:hAnsi="Arial"/>
      <w:sz w:val="12"/>
      <w:lang w:val="en-GB" w:eastAsia="zh-CN" w:bidi="ar-SA"/>
    </w:rPr>
  </w:style>
  <w:style w:type="paragraph" w:customStyle="1" w:styleId="ssPara1">
    <w:name w:val="ssPara1"/>
    <w:basedOn w:val="a"/>
    <w:link w:val="ssPara1Char"/>
    <w:qFormat/>
    <w:rsid w:val="00955C20"/>
    <w:pPr>
      <w:spacing w:after="260"/>
    </w:pPr>
  </w:style>
  <w:style w:type="paragraph" w:customStyle="1" w:styleId="ssPara2">
    <w:name w:val="ssPara2"/>
    <w:basedOn w:val="a"/>
    <w:rsid w:val="00955C20"/>
    <w:pPr>
      <w:spacing w:after="260"/>
      <w:ind w:left="709"/>
    </w:pPr>
  </w:style>
  <w:style w:type="paragraph" w:customStyle="1" w:styleId="ssPara3">
    <w:name w:val="ssPara3"/>
    <w:basedOn w:val="a"/>
    <w:rsid w:val="00955C20"/>
    <w:pPr>
      <w:spacing w:after="260"/>
      <w:ind w:left="1418"/>
    </w:pPr>
  </w:style>
  <w:style w:type="paragraph" w:customStyle="1" w:styleId="ssPara4">
    <w:name w:val="ssPara4"/>
    <w:basedOn w:val="a"/>
    <w:rsid w:val="00955C20"/>
    <w:pPr>
      <w:spacing w:after="260"/>
      <w:ind w:left="1985"/>
    </w:pPr>
  </w:style>
  <w:style w:type="paragraph" w:customStyle="1" w:styleId="ssPara5">
    <w:name w:val="ssPara5"/>
    <w:basedOn w:val="a"/>
    <w:rsid w:val="00955C20"/>
    <w:pPr>
      <w:spacing w:after="260"/>
      <w:ind w:left="2552"/>
    </w:pPr>
  </w:style>
  <w:style w:type="paragraph" w:customStyle="1" w:styleId="ssPara6">
    <w:name w:val="ssPara6"/>
    <w:basedOn w:val="a"/>
    <w:rsid w:val="00955C20"/>
    <w:pPr>
      <w:spacing w:after="260"/>
      <w:ind w:left="3119"/>
    </w:pPr>
  </w:style>
  <w:style w:type="paragraph" w:customStyle="1" w:styleId="ssNoHeading1">
    <w:name w:val="ssNoHeading1"/>
    <w:basedOn w:val="1"/>
    <w:rsid w:val="00955C20"/>
    <w:pPr>
      <w:keepNext w:val="0"/>
      <w:widowControl/>
    </w:pPr>
    <w:rPr>
      <w:b w:val="0"/>
      <w:szCs w:val="22"/>
      <w:u w:val="none"/>
    </w:rPr>
  </w:style>
  <w:style w:type="paragraph" w:customStyle="1" w:styleId="ssNoHeading2">
    <w:name w:val="ssNoHeading2"/>
    <w:basedOn w:val="2"/>
    <w:rsid w:val="00955C20"/>
    <w:pPr>
      <w:keepNext w:val="0"/>
      <w:widowControl/>
    </w:pPr>
    <w:rPr>
      <w:b w:val="0"/>
    </w:rPr>
  </w:style>
  <w:style w:type="paragraph" w:customStyle="1" w:styleId="ssNoHeading3">
    <w:name w:val="ssNoHeading3"/>
    <w:basedOn w:val="3"/>
    <w:rsid w:val="00955C20"/>
    <w:pPr>
      <w:keepNext w:val="0"/>
      <w:widowControl/>
    </w:pPr>
    <w:rPr>
      <w:b w:val="0"/>
    </w:rPr>
  </w:style>
  <w:style w:type="paragraph" w:customStyle="1" w:styleId="ssNoHeading4">
    <w:name w:val="ssNoHeading4"/>
    <w:basedOn w:val="4"/>
    <w:rsid w:val="00955C20"/>
    <w:pPr>
      <w:keepNext w:val="0"/>
      <w:widowControl/>
    </w:pPr>
    <w:rPr>
      <w:b w:val="0"/>
    </w:rPr>
  </w:style>
  <w:style w:type="paragraph" w:customStyle="1" w:styleId="ssNoHeading5">
    <w:name w:val="ssNoHeading5"/>
    <w:basedOn w:val="5"/>
    <w:rsid w:val="00955C20"/>
    <w:pPr>
      <w:keepNext w:val="0"/>
      <w:widowControl/>
    </w:pPr>
    <w:rPr>
      <w:b w:val="0"/>
    </w:rPr>
  </w:style>
  <w:style w:type="paragraph" w:customStyle="1" w:styleId="ssNoHeading6">
    <w:name w:val="ssNoHeading6"/>
    <w:basedOn w:val="6"/>
    <w:rsid w:val="00955C20"/>
    <w:pPr>
      <w:keepNext w:val="0"/>
      <w:widowControl/>
    </w:pPr>
    <w:rPr>
      <w:b w:val="0"/>
    </w:rPr>
  </w:style>
  <w:style w:type="paragraph" w:customStyle="1" w:styleId="ssRestartNumber">
    <w:name w:val="ssRestartNumber"/>
    <w:basedOn w:val="a"/>
    <w:next w:val="ssPara1"/>
    <w:rsid w:val="00955C20"/>
    <w:pPr>
      <w:numPr>
        <w:numId w:val="1"/>
      </w:numPr>
    </w:pPr>
    <w:rPr>
      <w:color w:val="FF0000"/>
    </w:rPr>
  </w:style>
  <w:style w:type="paragraph" w:customStyle="1" w:styleId="ssqPart">
    <w:name w:val="ssqPart"/>
    <w:basedOn w:val="a"/>
    <w:next w:val="ssPara1"/>
    <w:rsid w:val="00955C20"/>
    <w:pPr>
      <w:numPr>
        <w:ilvl w:val="1"/>
        <w:numId w:val="2"/>
      </w:numPr>
      <w:spacing w:after="260"/>
      <w:jc w:val="center"/>
    </w:pPr>
    <w:rPr>
      <w:b/>
      <w:caps/>
    </w:rPr>
  </w:style>
  <w:style w:type="paragraph" w:customStyle="1" w:styleId="ssRestartPart">
    <w:name w:val="ssRestartPart"/>
    <w:basedOn w:val="a"/>
    <w:next w:val="ssPara1"/>
    <w:rsid w:val="00955C20"/>
    <w:pPr>
      <w:numPr>
        <w:numId w:val="2"/>
      </w:numPr>
    </w:pPr>
    <w:rPr>
      <w:color w:val="FF0000"/>
    </w:rPr>
  </w:style>
  <w:style w:type="paragraph" w:customStyle="1" w:styleId="ssRestartSchedule">
    <w:name w:val="ssRestartSchedule"/>
    <w:basedOn w:val="a"/>
    <w:next w:val="ssPara1"/>
    <w:rsid w:val="00955C20"/>
    <w:pPr>
      <w:numPr>
        <w:numId w:val="3"/>
      </w:numPr>
    </w:pPr>
    <w:rPr>
      <w:color w:val="FF0000"/>
    </w:rPr>
  </w:style>
  <w:style w:type="paragraph" w:customStyle="1" w:styleId="ssqSchedule">
    <w:name w:val="ssqSchedule"/>
    <w:basedOn w:val="a"/>
    <w:next w:val="ssPara1"/>
    <w:rsid w:val="00955C20"/>
    <w:pPr>
      <w:numPr>
        <w:ilvl w:val="1"/>
        <w:numId w:val="3"/>
      </w:numPr>
      <w:spacing w:after="260"/>
      <w:jc w:val="center"/>
    </w:pPr>
    <w:rPr>
      <w:b/>
      <w:caps/>
    </w:rPr>
  </w:style>
  <w:style w:type="paragraph" w:customStyle="1" w:styleId="ssqExhibit">
    <w:name w:val="ssqExhibit"/>
    <w:basedOn w:val="a"/>
    <w:next w:val="ssPara1"/>
    <w:rsid w:val="00955C20"/>
    <w:pPr>
      <w:numPr>
        <w:ilvl w:val="1"/>
        <w:numId w:val="4"/>
      </w:numPr>
      <w:spacing w:after="260"/>
      <w:jc w:val="center"/>
    </w:pPr>
    <w:rPr>
      <w:b/>
      <w:caps/>
    </w:rPr>
  </w:style>
  <w:style w:type="paragraph" w:customStyle="1" w:styleId="ssRestartExhibit">
    <w:name w:val="ssRestartExhibit"/>
    <w:basedOn w:val="a"/>
    <w:next w:val="ssPara1"/>
    <w:rsid w:val="00955C20"/>
    <w:pPr>
      <w:numPr>
        <w:numId w:val="4"/>
      </w:numPr>
    </w:pPr>
    <w:rPr>
      <w:color w:val="FF0000"/>
    </w:rPr>
  </w:style>
  <w:style w:type="paragraph" w:customStyle="1" w:styleId="ssqToCAdd">
    <w:name w:val="ssqToCAdd"/>
    <w:basedOn w:val="ssPara1"/>
    <w:next w:val="ssPara1"/>
    <w:rsid w:val="00955C20"/>
  </w:style>
  <w:style w:type="paragraph" w:customStyle="1" w:styleId="ssqAppendix">
    <w:name w:val="ssqAppendix"/>
    <w:basedOn w:val="a"/>
    <w:next w:val="ssPara1"/>
    <w:rsid w:val="00955C20"/>
    <w:pPr>
      <w:numPr>
        <w:ilvl w:val="1"/>
        <w:numId w:val="5"/>
      </w:numPr>
      <w:spacing w:after="260"/>
      <w:jc w:val="center"/>
    </w:pPr>
    <w:rPr>
      <w:b/>
      <w:caps/>
    </w:rPr>
  </w:style>
  <w:style w:type="paragraph" w:customStyle="1" w:styleId="ssRestartAppendix">
    <w:name w:val="ssRestartAppendix"/>
    <w:basedOn w:val="a"/>
    <w:next w:val="ssPara1"/>
    <w:rsid w:val="00955C20"/>
    <w:pPr>
      <w:numPr>
        <w:numId w:val="5"/>
      </w:numPr>
    </w:pPr>
    <w:rPr>
      <w:color w:val="FF0000"/>
    </w:rPr>
  </w:style>
  <w:style w:type="paragraph" w:styleId="10">
    <w:name w:val="toc 1"/>
    <w:basedOn w:val="a"/>
    <w:next w:val="a"/>
    <w:autoRedefine/>
    <w:semiHidden/>
    <w:rsid w:val="00955C20"/>
    <w:pPr>
      <w:tabs>
        <w:tab w:val="right" w:leader="dot" w:pos="9497"/>
      </w:tabs>
      <w:spacing w:before="220"/>
      <w:ind w:left="709" w:right="595" w:hanging="709"/>
    </w:pPr>
  </w:style>
  <w:style w:type="paragraph" w:styleId="20">
    <w:name w:val="toc 2"/>
    <w:basedOn w:val="a"/>
    <w:next w:val="a"/>
    <w:autoRedefine/>
    <w:semiHidden/>
    <w:rsid w:val="00955C20"/>
    <w:pPr>
      <w:tabs>
        <w:tab w:val="right" w:leader="dot" w:pos="9497"/>
      </w:tabs>
      <w:ind w:left="1418" w:right="595" w:hanging="709"/>
    </w:pPr>
  </w:style>
  <w:style w:type="paragraph" w:styleId="30">
    <w:name w:val="toc 3"/>
    <w:basedOn w:val="a"/>
    <w:next w:val="a"/>
    <w:autoRedefine/>
    <w:semiHidden/>
    <w:rsid w:val="00955C20"/>
    <w:pPr>
      <w:tabs>
        <w:tab w:val="right" w:leader="dot" w:pos="9497"/>
      </w:tabs>
      <w:ind w:left="2127" w:right="595" w:hanging="709"/>
    </w:pPr>
  </w:style>
  <w:style w:type="paragraph" w:styleId="40">
    <w:name w:val="toc 4"/>
    <w:basedOn w:val="a"/>
    <w:next w:val="a"/>
    <w:autoRedefine/>
    <w:semiHidden/>
    <w:rsid w:val="00955C20"/>
    <w:pPr>
      <w:tabs>
        <w:tab w:val="right" w:leader="dot" w:pos="9497"/>
      </w:tabs>
      <w:ind w:left="2694" w:right="595" w:hanging="709"/>
    </w:pPr>
  </w:style>
  <w:style w:type="character" w:customStyle="1" w:styleId="ssPara1Char">
    <w:name w:val="ssPara1 Char"/>
    <w:basedOn w:val="a0"/>
    <w:link w:val="ssPara1"/>
    <w:rsid w:val="003D41A6"/>
    <w:rPr>
      <w:rFonts w:ascii="Arial" w:eastAsia="宋体" w:hAnsi="Arial"/>
      <w:sz w:val="22"/>
      <w:szCs w:val="22"/>
      <w:lang w:val="en-GB" w:eastAsia="zh-CN" w:bidi="ar-SA"/>
    </w:rPr>
  </w:style>
  <w:style w:type="paragraph" w:styleId="a6">
    <w:name w:val="header"/>
    <w:basedOn w:val="a"/>
    <w:rsid w:val="00534850"/>
    <w:pPr>
      <w:tabs>
        <w:tab w:val="center" w:pos="4153"/>
        <w:tab w:val="right" w:pos="8306"/>
      </w:tabs>
    </w:pPr>
  </w:style>
  <w:style w:type="paragraph" w:styleId="a7">
    <w:name w:val="Balloon Text"/>
    <w:basedOn w:val="a"/>
    <w:semiHidden/>
    <w:rsid w:val="001140F4"/>
    <w:rPr>
      <w:rFonts w:ascii="Tahoma" w:hAnsi="Tahoma" w:cs="Tahoma"/>
      <w:sz w:val="16"/>
      <w:szCs w:val="16"/>
    </w:rPr>
  </w:style>
  <w:style w:type="paragraph" w:customStyle="1" w:styleId="Esubhead">
    <w:name w:val="E_subhead"/>
    <w:basedOn w:val="a"/>
    <w:rsid w:val="004D6DD1"/>
    <w:pPr>
      <w:widowControl w:val="0"/>
      <w:suppressAutoHyphens/>
      <w:autoSpaceDE w:val="0"/>
      <w:autoSpaceDN w:val="0"/>
      <w:adjustRightInd w:val="0"/>
      <w:spacing w:before="68" w:line="290" w:lineRule="atLeast"/>
      <w:textAlignment w:val="center"/>
    </w:pPr>
    <w:rPr>
      <w:rFonts w:ascii="ExpertSans-ExtraBold" w:eastAsia="PMingLiU" w:hAnsi="ExpertSans-ExtraBold" w:cs="ExpertSans-ExtraBold"/>
      <w:b/>
      <w:bCs/>
      <w:color w:val="000000"/>
      <w:sz w:val="24"/>
      <w:szCs w:val="24"/>
      <w:lang w:eastAsia="zh-TW" w:bidi="hi-IN"/>
    </w:rPr>
  </w:style>
  <w:style w:type="paragraph" w:customStyle="1" w:styleId="Ebodytab0">
    <w:name w:val="E_body tab 0"/>
    <w:basedOn w:val="a"/>
    <w:rsid w:val="004D6DD1"/>
    <w:pPr>
      <w:widowControl w:val="0"/>
      <w:tabs>
        <w:tab w:val="left" w:pos="397"/>
        <w:tab w:val="left" w:pos="794"/>
        <w:tab w:val="left" w:pos="1191"/>
        <w:tab w:val="left" w:pos="1587"/>
      </w:tabs>
      <w:suppressAutoHyphens/>
      <w:autoSpaceDE w:val="0"/>
      <w:autoSpaceDN w:val="0"/>
      <w:adjustRightInd w:val="0"/>
      <w:spacing w:line="280" w:lineRule="atLeast"/>
      <w:ind w:left="397" w:hanging="397"/>
      <w:textAlignment w:val="center"/>
    </w:pPr>
    <w:rPr>
      <w:rFonts w:ascii="ExpertSans-Light" w:eastAsia="PMingLiU" w:hAnsi="ExpertSans-Light" w:cs="ExpertSans-Light"/>
      <w:color w:val="000000"/>
      <w:spacing w:val="2"/>
      <w:sz w:val="18"/>
      <w:szCs w:val="18"/>
      <w:lang w:eastAsia="zh-TW" w:bidi="hi-IN"/>
    </w:rPr>
  </w:style>
  <w:style w:type="character" w:styleId="a8">
    <w:name w:val="annotation reference"/>
    <w:basedOn w:val="a0"/>
    <w:rsid w:val="0094372C"/>
    <w:rPr>
      <w:sz w:val="16"/>
      <w:szCs w:val="16"/>
    </w:rPr>
  </w:style>
  <w:style w:type="paragraph" w:styleId="a9">
    <w:name w:val="annotation text"/>
    <w:basedOn w:val="a"/>
    <w:link w:val="Char0"/>
    <w:rsid w:val="0094372C"/>
    <w:rPr>
      <w:sz w:val="20"/>
      <w:szCs w:val="20"/>
    </w:rPr>
  </w:style>
  <w:style w:type="paragraph" w:styleId="aa">
    <w:name w:val="annotation subject"/>
    <w:basedOn w:val="a9"/>
    <w:next w:val="a9"/>
    <w:link w:val="Char1"/>
    <w:rsid w:val="0094372C"/>
    <w:rPr>
      <w:b/>
      <w:bCs/>
    </w:rPr>
  </w:style>
  <w:style w:type="character" w:styleId="ab">
    <w:name w:val="Hyperlink"/>
    <w:basedOn w:val="a0"/>
    <w:rsid w:val="004667A9"/>
    <w:rPr>
      <w:color w:val="0000FF"/>
      <w:u w:val="single"/>
    </w:rPr>
  </w:style>
  <w:style w:type="paragraph" w:customStyle="1" w:styleId="11">
    <w:name w:val="修订1"/>
    <w:hidden/>
    <w:uiPriority w:val="99"/>
    <w:semiHidden/>
    <w:rsid w:val="00947F73"/>
    <w:rPr>
      <w:rFonts w:ascii="Arial" w:hAnsi="Arial"/>
      <w:sz w:val="22"/>
      <w:szCs w:val="22"/>
    </w:rPr>
  </w:style>
  <w:style w:type="paragraph" w:styleId="ac">
    <w:name w:val="footnote text"/>
    <w:basedOn w:val="a"/>
    <w:link w:val="Char2"/>
    <w:rsid w:val="00731A7D"/>
    <w:rPr>
      <w:sz w:val="20"/>
      <w:szCs w:val="20"/>
    </w:rPr>
  </w:style>
  <w:style w:type="character" w:customStyle="1" w:styleId="Char2">
    <w:name w:val="脚注文本 Char"/>
    <w:basedOn w:val="a0"/>
    <w:link w:val="ac"/>
    <w:rsid w:val="00731A7D"/>
    <w:rPr>
      <w:rFonts w:ascii="Arial" w:hAnsi="Arial"/>
    </w:rPr>
  </w:style>
  <w:style w:type="character" w:styleId="ad">
    <w:name w:val="footnote reference"/>
    <w:rsid w:val="00731A7D"/>
    <w:rPr>
      <w:vertAlign w:val="superscript"/>
    </w:rPr>
  </w:style>
  <w:style w:type="paragraph" w:styleId="ae">
    <w:name w:val="Revision"/>
    <w:hidden/>
    <w:uiPriority w:val="99"/>
    <w:semiHidden/>
    <w:rsid w:val="00D625AA"/>
    <w:rPr>
      <w:rFonts w:ascii="Arial" w:hAnsi="Arial"/>
      <w:sz w:val="22"/>
      <w:szCs w:val="22"/>
    </w:rPr>
  </w:style>
  <w:style w:type="character" w:customStyle="1" w:styleId="DeltaViewInsertion">
    <w:name w:val="DeltaView Insertion"/>
    <w:uiPriority w:val="99"/>
    <w:rsid w:val="009A77A3"/>
    <w:rPr>
      <w:color w:val="0000FF"/>
      <w:spacing w:val="0"/>
      <w:u w:val="double"/>
    </w:rPr>
  </w:style>
  <w:style w:type="paragraph" w:styleId="af">
    <w:name w:val="List Paragraph"/>
    <w:basedOn w:val="a"/>
    <w:uiPriority w:val="34"/>
    <w:qFormat/>
    <w:rsid w:val="008B4826"/>
    <w:pPr>
      <w:ind w:left="720"/>
      <w:contextualSpacing/>
    </w:pPr>
  </w:style>
  <w:style w:type="paragraph" w:styleId="af0">
    <w:name w:val="endnote text"/>
    <w:basedOn w:val="a"/>
    <w:link w:val="Char3"/>
    <w:semiHidden/>
    <w:unhideWhenUsed/>
    <w:rsid w:val="00BF17BC"/>
    <w:rPr>
      <w:sz w:val="20"/>
      <w:szCs w:val="20"/>
    </w:rPr>
  </w:style>
  <w:style w:type="character" w:customStyle="1" w:styleId="Char3">
    <w:name w:val="尾注文本 Char"/>
    <w:basedOn w:val="a0"/>
    <w:link w:val="af0"/>
    <w:semiHidden/>
    <w:rsid w:val="00BF17BC"/>
    <w:rPr>
      <w:rFonts w:ascii="Arial" w:hAnsi="Arial"/>
    </w:rPr>
  </w:style>
  <w:style w:type="character" w:styleId="af1">
    <w:name w:val="endnote reference"/>
    <w:basedOn w:val="a0"/>
    <w:semiHidden/>
    <w:unhideWhenUsed/>
    <w:rsid w:val="00BF17BC"/>
    <w:rPr>
      <w:vertAlign w:val="superscript"/>
    </w:rPr>
  </w:style>
  <w:style w:type="character" w:customStyle="1" w:styleId="CharacterStyle1">
    <w:name w:val="Character Style 1"/>
    <w:rsid w:val="007B43C9"/>
    <w:rPr>
      <w:sz w:val="20"/>
    </w:rPr>
  </w:style>
  <w:style w:type="paragraph" w:customStyle="1" w:styleId="Style1">
    <w:name w:val="Style 1"/>
    <w:basedOn w:val="a"/>
    <w:rsid w:val="003F23AF"/>
    <w:pPr>
      <w:widowControl w:val="0"/>
      <w:autoSpaceDE w:val="0"/>
      <w:autoSpaceDN w:val="0"/>
      <w:adjustRightInd w:val="0"/>
      <w:jc w:val="left"/>
    </w:pPr>
    <w:rPr>
      <w:rFonts w:ascii="Times New Roman" w:eastAsia="Batang" w:hAnsi="Times New Roman"/>
      <w:sz w:val="20"/>
      <w:szCs w:val="20"/>
      <w:lang w:val="en-US"/>
    </w:rPr>
  </w:style>
  <w:style w:type="character" w:customStyle="1" w:styleId="CharacterStyle2">
    <w:name w:val="Character Style 2"/>
    <w:rsid w:val="003F23AF"/>
    <w:rPr>
      <w:rFonts w:ascii="Tahoma" w:hAnsi="Tahoma"/>
      <w:sz w:val="22"/>
    </w:rPr>
  </w:style>
  <w:style w:type="character" w:customStyle="1" w:styleId="Char0">
    <w:name w:val="批注文字 Char"/>
    <w:link w:val="a9"/>
    <w:uiPriority w:val="99"/>
    <w:rsid w:val="003F23AF"/>
    <w:rPr>
      <w:rFonts w:ascii="Arial" w:hAnsi="Arial"/>
    </w:rPr>
  </w:style>
  <w:style w:type="character" w:customStyle="1" w:styleId="CharacterStyle3">
    <w:name w:val="Character Style 3"/>
    <w:rsid w:val="00CB18A6"/>
    <w:rPr>
      <w:rFonts w:ascii="Arial" w:hAnsi="Arial"/>
      <w:sz w:val="20"/>
    </w:rPr>
  </w:style>
  <w:style w:type="character" w:customStyle="1" w:styleId="Char10">
    <w:name w:val="批注文字 Char1"/>
    <w:basedOn w:val="a0"/>
    <w:uiPriority w:val="99"/>
    <w:rsid w:val="009D1B21"/>
  </w:style>
  <w:style w:type="character" w:customStyle="1" w:styleId="Char1">
    <w:name w:val="批注主题 Char"/>
    <w:link w:val="aa"/>
    <w:rsid w:val="002335CF"/>
    <w:rPr>
      <w:rFonts w:ascii="Arial" w:hAnsi="Arial"/>
      <w:b/>
      <w:bCs/>
    </w:rPr>
  </w:style>
  <w:style w:type="paragraph" w:customStyle="1" w:styleId="Default">
    <w:name w:val="Default"/>
    <w:rsid w:val="00AC1560"/>
    <w:pPr>
      <w:widowControl w:val="0"/>
      <w:autoSpaceDE w:val="0"/>
      <w:autoSpaceDN w:val="0"/>
      <w:adjustRightInd w:val="0"/>
    </w:pPr>
    <w:rPr>
      <w:rFonts w:ascii="Symbol" w:hAnsi="Symbol" w:cs="Symbo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20"/>
    <w:pPr>
      <w:jc w:val="both"/>
    </w:pPr>
    <w:rPr>
      <w:rFonts w:ascii="Arial" w:hAnsi="Arial"/>
      <w:sz w:val="22"/>
      <w:szCs w:val="22"/>
    </w:rPr>
  </w:style>
  <w:style w:type="paragraph" w:styleId="1">
    <w:name w:val="heading 1"/>
    <w:basedOn w:val="a"/>
    <w:next w:val="ssPara1"/>
    <w:qFormat/>
    <w:rsid w:val="00955C20"/>
    <w:pPr>
      <w:keepNext/>
      <w:widowControl w:val="0"/>
      <w:numPr>
        <w:ilvl w:val="1"/>
        <w:numId w:val="1"/>
      </w:numPr>
      <w:spacing w:after="260"/>
      <w:outlineLvl w:val="0"/>
    </w:pPr>
    <w:rPr>
      <w:rFonts w:cs="Arial"/>
      <w:b/>
      <w:bCs/>
      <w:kern w:val="32"/>
      <w:szCs w:val="32"/>
      <w:u w:val="single"/>
    </w:rPr>
  </w:style>
  <w:style w:type="paragraph" w:styleId="2">
    <w:name w:val="heading 2"/>
    <w:basedOn w:val="a"/>
    <w:next w:val="ssPara2"/>
    <w:qFormat/>
    <w:rsid w:val="00955C20"/>
    <w:pPr>
      <w:keepNext/>
      <w:widowControl w:val="0"/>
      <w:numPr>
        <w:ilvl w:val="2"/>
        <w:numId w:val="1"/>
      </w:numPr>
      <w:spacing w:after="260"/>
      <w:outlineLvl w:val="1"/>
    </w:pPr>
    <w:rPr>
      <w:rFonts w:cs="Arial"/>
      <w:b/>
      <w:bCs/>
      <w:iCs/>
    </w:rPr>
  </w:style>
  <w:style w:type="paragraph" w:styleId="3">
    <w:name w:val="heading 3"/>
    <w:basedOn w:val="a"/>
    <w:next w:val="ssPara3"/>
    <w:qFormat/>
    <w:rsid w:val="00955C20"/>
    <w:pPr>
      <w:keepNext/>
      <w:widowControl w:val="0"/>
      <w:numPr>
        <w:ilvl w:val="3"/>
        <w:numId w:val="1"/>
      </w:numPr>
      <w:spacing w:after="260"/>
      <w:outlineLvl w:val="2"/>
    </w:pPr>
    <w:rPr>
      <w:rFonts w:cs="Arial"/>
      <w:b/>
      <w:bCs/>
      <w:szCs w:val="26"/>
    </w:rPr>
  </w:style>
  <w:style w:type="paragraph" w:styleId="4">
    <w:name w:val="heading 4"/>
    <w:basedOn w:val="a"/>
    <w:next w:val="ssPara4"/>
    <w:qFormat/>
    <w:rsid w:val="00955C20"/>
    <w:pPr>
      <w:keepNext/>
      <w:widowControl w:val="0"/>
      <w:numPr>
        <w:ilvl w:val="4"/>
        <w:numId w:val="1"/>
      </w:numPr>
      <w:spacing w:after="260"/>
      <w:outlineLvl w:val="3"/>
    </w:pPr>
    <w:rPr>
      <w:b/>
      <w:bCs/>
      <w:szCs w:val="28"/>
    </w:rPr>
  </w:style>
  <w:style w:type="paragraph" w:styleId="5">
    <w:name w:val="heading 5"/>
    <w:basedOn w:val="a"/>
    <w:next w:val="ssPara5"/>
    <w:qFormat/>
    <w:rsid w:val="00955C20"/>
    <w:pPr>
      <w:keepNext/>
      <w:widowControl w:val="0"/>
      <w:numPr>
        <w:ilvl w:val="5"/>
        <w:numId w:val="1"/>
      </w:numPr>
      <w:spacing w:after="260"/>
      <w:outlineLvl w:val="4"/>
    </w:pPr>
    <w:rPr>
      <w:b/>
      <w:bCs/>
      <w:iCs/>
    </w:rPr>
  </w:style>
  <w:style w:type="paragraph" w:styleId="6">
    <w:name w:val="heading 6"/>
    <w:basedOn w:val="a"/>
    <w:next w:val="ssPara6"/>
    <w:qFormat/>
    <w:rsid w:val="00955C20"/>
    <w:pPr>
      <w:keepNext/>
      <w:widowControl w:val="0"/>
      <w:numPr>
        <w:ilvl w:val="6"/>
        <w:numId w:val="1"/>
      </w:numPr>
      <w:spacing w:after="260"/>
      <w:outlineLvl w:val="5"/>
    </w:pPr>
    <w:rPr>
      <w:b/>
      <w:bCs/>
    </w:rPr>
  </w:style>
  <w:style w:type="paragraph" w:styleId="7">
    <w:name w:val="heading 7"/>
    <w:basedOn w:val="a"/>
    <w:next w:val="a"/>
    <w:qFormat/>
    <w:rsid w:val="00955C20"/>
    <w:pPr>
      <w:numPr>
        <w:ilvl w:val="7"/>
        <w:numId w:val="1"/>
      </w:numPr>
      <w:outlineLvl w:val="6"/>
    </w:pPr>
    <w:rPr>
      <w:szCs w:val="24"/>
    </w:rPr>
  </w:style>
  <w:style w:type="paragraph" w:styleId="8">
    <w:name w:val="heading 8"/>
    <w:basedOn w:val="a"/>
    <w:next w:val="a"/>
    <w:qFormat/>
    <w:rsid w:val="00955C20"/>
    <w:pPr>
      <w:numPr>
        <w:ilvl w:val="8"/>
        <w:numId w:val="1"/>
      </w:numPr>
      <w:outlineLvl w:val="7"/>
    </w:pPr>
    <w:rPr>
      <w:iCs/>
      <w:szCs w:val="24"/>
    </w:rPr>
  </w:style>
  <w:style w:type="paragraph" w:styleId="9">
    <w:name w:val="heading 9"/>
    <w:basedOn w:val="a"/>
    <w:next w:val="a"/>
    <w:qFormat/>
    <w:rsid w:val="00955C20"/>
    <w:pPr>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449"/>
    <w:tblPr/>
  </w:style>
  <w:style w:type="paragraph" w:styleId="a4">
    <w:name w:val="footer"/>
    <w:basedOn w:val="a"/>
    <w:link w:val="Char"/>
    <w:rsid w:val="00955C20"/>
    <w:pPr>
      <w:tabs>
        <w:tab w:val="center" w:pos="4763"/>
        <w:tab w:val="right" w:pos="9497"/>
      </w:tabs>
      <w:spacing w:line="260" w:lineRule="atLeast"/>
    </w:pPr>
    <w:rPr>
      <w:rFonts w:eastAsia="Times New Roman"/>
      <w:sz w:val="12"/>
      <w:szCs w:val="20"/>
    </w:rPr>
  </w:style>
  <w:style w:type="character" w:styleId="a5">
    <w:name w:val="page number"/>
    <w:basedOn w:val="a0"/>
    <w:rsid w:val="00955C20"/>
    <w:rPr>
      <w:rFonts w:ascii="Arial" w:hAnsi="Arial"/>
      <w:sz w:val="20"/>
    </w:rPr>
  </w:style>
  <w:style w:type="character" w:customStyle="1" w:styleId="Char">
    <w:name w:val="页脚 Char"/>
    <w:basedOn w:val="a0"/>
    <w:link w:val="a4"/>
    <w:rsid w:val="00955C20"/>
    <w:rPr>
      <w:rFonts w:ascii="Arial" w:hAnsi="Arial"/>
      <w:sz w:val="12"/>
      <w:lang w:val="en-GB" w:eastAsia="zh-CN" w:bidi="ar-SA"/>
    </w:rPr>
  </w:style>
  <w:style w:type="paragraph" w:customStyle="1" w:styleId="ssPara1">
    <w:name w:val="ssPara1"/>
    <w:basedOn w:val="a"/>
    <w:link w:val="ssPara1Char"/>
    <w:qFormat/>
    <w:rsid w:val="00955C20"/>
    <w:pPr>
      <w:spacing w:after="260"/>
    </w:pPr>
  </w:style>
  <w:style w:type="paragraph" w:customStyle="1" w:styleId="ssPara2">
    <w:name w:val="ssPara2"/>
    <w:basedOn w:val="a"/>
    <w:rsid w:val="00955C20"/>
    <w:pPr>
      <w:spacing w:after="260"/>
      <w:ind w:left="709"/>
    </w:pPr>
  </w:style>
  <w:style w:type="paragraph" w:customStyle="1" w:styleId="ssPara3">
    <w:name w:val="ssPara3"/>
    <w:basedOn w:val="a"/>
    <w:rsid w:val="00955C20"/>
    <w:pPr>
      <w:spacing w:after="260"/>
      <w:ind w:left="1418"/>
    </w:pPr>
  </w:style>
  <w:style w:type="paragraph" w:customStyle="1" w:styleId="ssPara4">
    <w:name w:val="ssPara4"/>
    <w:basedOn w:val="a"/>
    <w:rsid w:val="00955C20"/>
    <w:pPr>
      <w:spacing w:after="260"/>
      <w:ind w:left="1985"/>
    </w:pPr>
  </w:style>
  <w:style w:type="paragraph" w:customStyle="1" w:styleId="ssPara5">
    <w:name w:val="ssPara5"/>
    <w:basedOn w:val="a"/>
    <w:rsid w:val="00955C20"/>
    <w:pPr>
      <w:spacing w:after="260"/>
      <w:ind w:left="2552"/>
    </w:pPr>
  </w:style>
  <w:style w:type="paragraph" w:customStyle="1" w:styleId="ssPara6">
    <w:name w:val="ssPara6"/>
    <w:basedOn w:val="a"/>
    <w:rsid w:val="00955C20"/>
    <w:pPr>
      <w:spacing w:after="260"/>
      <w:ind w:left="3119"/>
    </w:pPr>
  </w:style>
  <w:style w:type="paragraph" w:customStyle="1" w:styleId="ssNoHeading1">
    <w:name w:val="ssNoHeading1"/>
    <w:basedOn w:val="1"/>
    <w:rsid w:val="00955C20"/>
    <w:pPr>
      <w:keepNext w:val="0"/>
      <w:widowControl/>
    </w:pPr>
    <w:rPr>
      <w:b w:val="0"/>
      <w:szCs w:val="22"/>
      <w:u w:val="none"/>
    </w:rPr>
  </w:style>
  <w:style w:type="paragraph" w:customStyle="1" w:styleId="ssNoHeading2">
    <w:name w:val="ssNoHeading2"/>
    <w:basedOn w:val="2"/>
    <w:rsid w:val="00955C20"/>
    <w:pPr>
      <w:keepNext w:val="0"/>
      <w:widowControl/>
    </w:pPr>
    <w:rPr>
      <w:b w:val="0"/>
    </w:rPr>
  </w:style>
  <w:style w:type="paragraph" w:customStyle="1" w:styleId="ssNoHeading3">
    <w:name w:val="ssNoHeading3"/>
    <w:basedOn w:val="3"/>
    <w:rsid w:val="00955C20"/>
    <w:pPr>
      <w:keepNext w:val="0"/>
      <w:widowControl/>
    </w:pPr>
    <w:rPr>
      <w:b w:val="0"/>
    </w:rPr>
  </w:style>
  <w:style w:type="paragraph" w:customStyle="1" w:styleId="ssNoHeading4">
    <w:name w:val="ssNoHeading4"/>
    <w:basedOn w:val="4"/>
    <w:rsid w:val="00955C20"/>
    <w:pPr>
      <w:keepNext w:val="0"/>
      <w:widowControl/>
    </w:pPr>
    <w:rPr>
      <w:b w:val="0"/>
    </w:rPr>
  </w:style>
  <w:style w:type="paragraph" w:customStyle="1" w:styleId="ssNoHeading5">
    <w:name w:val="ssNoHeading5"/>
    <w:basedOn w:val="5"/>
    <w:rsid w:val="00955C20"/>
    <w:pPr>
      <w:keepNext w:val="0"/>
      <w:widowControl/>
    </w:pPr>
    <w:rPr>
      <w:b w:val="0"/>
    </w:rPr>
  </w:style>
  <w:style w:type="paragraph" w:customStyle="1" w:styleId="ssNoHeading6">
    <w:name w:val="ssNoHeading6"/>
    <w:basedOn w:val="6"/>
    <w:rsid w:val="00955C20"/>
    <w:pPr>
      <w:keepNext w:val="0"/>
      <w:widowControl/>
    </w:pPr>
    <w:rPr>
      <w:b w:val="0"/>
    </w:rPr>
  </w:style>
  <w:style w:type="paragraph" w:customStyle="1" w:styleId="ssRestartNumber">
    <w:name w:val="ssRestartNumber"/>
    <w:basedOn w:val="a"/>
    <w:next w:val="ssPara1"/>
    <w:rsid w:val="00955C20"/>
    <w:pPr>
      <w:numPr>
        <w:numId w:val="1"/>
      </w:numPr>
    </w:pPr>
    <w:rPr>
      <w:color w:val="FF0000"/>
    </w:rPr>
  </w:style>
  <w:style w:type="paragraph" w:customStyle="1" w:styleId="ssqPart">
    <w:name w:val="ssqPart"/>
    <w:basedOn w:val="a"/>
    <w:next w:val="ssPara1"/>
    <w:rsid w:val="00955C20"/>
    <w:pPr>
      <w:numPr>
        <w:ilvl w:val="1"/>
        <w:numId w:val="2"/>
      </w:numPr>
      <w:spacing w:after="260"/>
      <w:jc w:val="center"/>
    </w:pPr>
    <w:rPr>
      <w:b/>
      <w:caps/>
    </w:rPr>
  </w:style>
  <w:style w:type="paragraph" w:customStyle="1" w:styleId="ssRestartPart">
    <w:name w:val="ssRestartPart"/>
    <w:basedOn w:val="a"/>
    <w:next w:val="ssPara1"/>
    <w:rsid w:val="00955C20"/>
    <w:pPr>
      <w:numPr>
        <w:numId w:val="2"/>
      </w:numPr>
    </w:pPr>
    <w:rPr>
      <w:color w:val="FF0000"/>
    </w:rPr>
  </w:style>
  <w:style w:type="paragraph" w:customStyle="1" w:styleId="ssRestartSchedule">
    <w:name w:val="ssRestartSchedule"/>
    <w:basedOn w:val="a"/>
    <w:next w:val="ssPara1"/>
    <w:rsid w:val="00955C20"/>
    <w:pPr>
      <w:numPr>
        <w:numId w:val="3"/>
      </w:numPr>
    </w:pPr>
    <w:rPr>
      <w:color w:val="FF0000"/>
    </w:rPr>
  </w:style>
  <w:style w:type="paragraph" w:customStyle="1" w:styleId="ssqSchedule">
    <w:name w:val="ssqSchedule"/>
    <w:basedOn w:val="a"/>
    <w:next w:val="ssPara1"/>
    <w:rsid w:val="00955C20"/>
    <w:pPr>
      <w:numPr>
        <w:ilvl w:val="1"/>
        <w:numId w:val="3"/>
      </w:numPr>
      <w:spacing w:after="260"/>
      <w:jc w:val="center"/>
    </w:pPr>
    <w:rPr>
      <w:b/>
      <w:caps/>
    </w:rPr>
  </w:style>
  <w:style w:type="paragraph" w:customStyle="1" w:styleId="ssqExhibit">
    <w:name w:val="ssqExhibit"/>
    <w:basedOn w:val="a"/>
    <w:next w:val="ssPara1"/>
    <w:rsid w:val="00955C20"/>
    <w:pPr>
      <w:numPr>
        <w:ilvl w:val="1"/>
        <w:numId w:val="4"/>
      </w:numPr>
      <w:spacing w:after="260"/>
      <w:jc w:val="center"/>
    </w:pPr>
    <w:rPr>
      <w:b/>
      <w:caps/>
    </w:rPr>
  </w:style>
  <w:style w:type="paragraph" w:customStyle="1" w:styleId="ssRestartExhibit">
    <w:name w:val="ssRestartExhibit"/>
    <w:basedOn w:val="a"/>
    <w:next w:val="ssPara1"/>
    <w:rsid w:val="00955C20"/>
    <w:pPr>
      <w:numPr>
        <w:numId w:val="4"/>
      </w:numPr>
    </w:pPr>
    <w:rPr>
      <w:color w:val="FF0000"/>
    </w:rPr>
  </w:style>
  <w:style w:type="paragraph" w:customStyle="1" w:styleId="ssqToCAdd">
    <w:name w:val="ssqToCAdd"/>
    <w:basedOn w:val="ssPara1"/>
    <w:next w:val="ssPara1"/>
    <w:rsid w:val="00955C20"/>
  </w:style>
  <w:style w:type="paragraph" w:customStyle="1" w:styleId="ssqAppendix">
    <w:name w:val="ssqAppendix"/>
    <w:basedOn w:val="a"/>
    <w:next w:val="ssPara1"/>
    <w:rsid w:val="00955C20"/>
    <w:pPr>
      <w:numPr>
        <w:ilvl w:val="1"/>
        <w:numId w:val="5"/>
      </w:numPr>
      <w:spacing w:after="260"/>
      <w:jc w:val="center"/>
    </w:pPr>
    <w:rPr>
      <w:b/>
      <w:caps/>
    </w:rPr>
  </w:style>
  <w:style w:type="paragraph" w:customStyle="1" w:styleId="ssRestartAppendix">
    <w:name w:val="ssRestartAppendix"/>
    <w:basedOn w:val="a"/>
    <w:next w:val="ssPara1"/>
    <w:rsid w:val="00955C20"/>
    <w:pPr>
      <w:numPr>
        <w:numId w:val="5"/>
      </w:numPr>
    </w:pPr>
    <w:rPr>
      <w:color w:val="FF0000"/>
    </w:rPr>
  </w:style>
  <w:style w:type="paragraph" w:styleId="10">
    <w:name w:val="toc 1"/>
    <w:basedOn w:val="a"/>
    <w:next w:val="a"/>
    <w:autoRedefine/>
    <w:semiHidden/>
    <w:rsid w:val="00955C20"/>
    <w:pPr>
      <w:tabs>
        <w:tab w:val="right" w:leader="dot" w:pos="9497"/>
      </w:tabs>
      <w:spacing w:before="220"/>
      <w:ind w:left="709" w:right="595" w:hanging="709"/>
    </w:pPr>
  </w:style>
  <w:style w:type="paragraph" w:styleId="20">
    <w:name w:val="toc 2"/>
    <w:basedOn w:val="a"/>
    <w:next w:val="a"/>
    <w:autoRedefine/>
    <w:semiHidden/>
    <w:rsid w:val="00955C20"/>
    <w:pPr>
      <w:tabs>
        <w:tab w:val="right" w:leader="dot" w:pos="9497"/>
      </w:tabs>
      <w:ind w:left="1418" w:right="595" w:hanging="709"/>
    </w:pPr>
  </w:style>
  <w:style w:type="paragraph" w:styleId="30">
    <w:name w:val="toc 3"/>
    <w:basedOn w:val="a"/>
    <w:next w:val="a"/>
    <w:autoRedefine/>
    <w:semiHidden/>
    <w:rsid w:val="00955C20"/>
    <w:pPr>
      <w:tabs>
        <w:tab w:val="right" w:leader="dot" w:pos="9497"/>
      </w:tabs>
      <w:ind w:left="2127" w:right="595" w:hanging="709"/>
    </w:pPr>
  </w:style>
  <w:style w:type="paragraph" w:styleId="40">
    <w:name w:val="toc 4"/>
    <w:basedOn w:val="a"/>
    <w:next w:val="a"/>
    <w:autoRedefine/>
    <w:semiHidden/>
    <w:rsid w:val="00955C20"/>
    <w:pPr>
      <w:tabs>
        <w:tab w:val="right" w:leader="dot" w:pos="9497"/>
      </w:tabs>
      <w:ind w:left="2694" w:right="595" w:hanging="709"/>
    </w:pPr>
  </w:style>
  <w:style w:type="character" w:customStyle="1" w:styleId="ssPara1Char">
    <w:name w:val="ssPara1 Char"/>
    <w:basedOn w:val="a0"/>
    <w:link w:val="ssPara1"/>
    <w:rsid w:val="003D41A6"/>
    <w:rPr>
      <w:rFonts w:ascii="Arial" w:eastAsia="宋体" w:hAnsi="Arial"/>
      <w:sz w:val="22"/>
      <w:szCs w:val="22"/>
      <w:lang w:val="en-GB" w:eastAsia="zh-CN" w:bidi="ar-SA"/>
    </w:rPr>
  </w:style>
  <w:style w:type="paragraph" w:styleId="a6">
    <w:name w:val="header"/>
    <w:basedOn w:val="a"/>
    <w:rsid w:val="00534850"/>
    <w:pPr>
      <w:tabs>
        <w:tab w:val="center" w:pos="4153"/>
        <w:tab w:val="right" w:pos="8306"/>
      </w:tabs>
    </w:pPr>
  </w:style>
  <w:style w:type="paragraph" w:styleId="a7">
    <w:name w:val="Balloon Text"/>
    <w:basedOn w:val="a"/>
    <w:semiHidden/>
    <w:rsid w:val="001140F4"/>
    <w:rPr>
      <w:rFonts w:ascii="Tahoma" w:hAnsi="Tahoma" w:cs="Tahoma"/>
      <w:sz w:val="16"/>
      <w:szCs w:val="16"/>
    </w:rPr>
  </w:style>
  <w:style w:type="paragraph" w:customStyle="1" w:styleId="Esubhead">
    <w:name w:val="E_subhead"/>
    <w:basedOn w:val="a"/>
    <w:rsid w:val="004D6DD1"/>
    <w:pPr>
      <w:widowControl w:val="0"/>
      <w:suppressAutoHyphens/>
      <w:autoSpaceDE w:val="0"/>
      <w:autoSpaceDN w:val="0"/>
      <w:adjustRightInd w:val="0"/>
      <w:spacing w:before="68" w:line="290" w:lineRule="atLeast"/>
      <w:textAlignment w:val="center"/>
    </w:pPr>
    <w:rPr>
      <w:rFonts w:ascii="ExpertSans-ExtraBold" w:eastAsia="PMingLiU" w:hAnsi="ExpertSans-ExtraBold" w:cs="ExpertSans-ExtraBold"/>
      <w:b/>
      <w:bCs/>
      <w:color w:val="000000"/>
      <w:sz w:val="24"/>
      <w:szCs w:val="24"/>
      <w:lang w:eastAsia="zh-TW" w:bidi="hi-IN"/>
    </w:rPr>
  </w:style>
  <w:style w:type="paragraph" w:customStyle="1" w:styleId="Ebodytab0">
    <w:name w:val="E_body tab 0"/>
    <w:basedOn w:val="a"/>
    <w:rsid w:val="004D6DD1"/>
    <w:pPr>
      <w:widowControl w:val="0"/>
      <w:tabs>
        <w:tab w:val="left" w:pos="397"/>
        <w:tab w:val="left" w:pos="794"/>
        <w:tab w:val="left" w:pos="1191"/>
        <w:tab w:val="left" w:pos="1587"/>
      </w:tabs>
      <w:suppressAutoHyphens/>
      <w:autoSpaceDE w:val="0"/>
      <w:autoSpaceDN w:val="0"/>
      <w:adjustRightInd w:val="0"/>
      <w:spacing w:line="280" w:lineRule="atLeast"/>
      <w:ind w:left="397" w:hanging="397"/>
      <w:textAlignment w:val="center"/>
    </w:pPr>
    <w:rPr>
      <w:rFonts w:ascii="ExpertSans-Light" w:eastAsia="PMingLiU" w:hAnsi="ExpertSans-Light" w:cs="ExpertSans-Light"/>
      <w:color w:val="000000"/>
      <w:spacing w:val="2"/>
      <w:sz w:val="18"/>
      <w:szCs w:val="18"/>
      <w:lang w:eastAsia="zh-TW" w:bidi="hi-IN"/>
    </w:rPr>
  </w:style>
  <w:style w:type="character" w:styleId="a8">
    <w:name w:val="annotation reference"/>
    <w:basedOn w:val="a0"/>
    <w:rsid w:val="0094372C"/>
    <w:rPr>
      <w:sz w:val="16"/>
      <w:szCs w:val="16"/>
    </w:rPr>
  </w:style>
  <w:style w:type="paragraph" w:styleId="a9">
    <w:name w:val="annotation text"/>
    <w:basedOn w:val="a"/>
    <w:link w:val="Char0"/>
    <w:rsid w:val="0094372C"/>
    <w:rPr>
      <w:sz w:val="20"/>
      <w:szCs w:val="20"/>
    </w:rPr>
  </w:style>
  <w:style w:type="paragraph" w:styleId="aa">
    <w:name w:val="annotation subject"/>
    <w:basedOn w:val="a9"/>
    <w:next w:val="a9"/>
    <w:link w:val="Char1"/>
    <w:rsid w:val="0094372C"/>
    <w:rPr>
      <w:b/>
      <w:bCs/>
    </w:rPr>
  </w:style>
  <w:style w:type="character" w:styleId="ab">
    <w:name w:val="Hyperlink"/>
    <w:basedOn w:val="a0"/>
    <w:rsid w:val="004667A9"/>
    <w:rPr>
      <w:color w:val="0000FF"/>
      <w:u w:val="single"/>
    </w:rPr>
  </w:style>
  <w:style w:type="paragraph" w:customStyle="1" w:styleId="11">
    <w:name w:val="修订1"/>
    <w:hidden/>
    <w:uiPriority w:val="99"/>
    <w:semiHidden/>
    <w:rsid w:val="00947F73"/>
    <w:rPr>
      <w:rFonts w:ascii="Arial" w:hAnsi="Arial"/>
      <w:sz w:val="22"/>
      <w:szCs w:val="22"/>
    </w:rPr>
  </w:style>
  <w:style w:type="paragraph" w:styleId="ac">
    <w:name w:val="footnote text"/>
    <w:basedOn w:val="a"/>
    <w:link w:val="Char2"/>
    <w:rsid w:val="00731A7D"/>
    <w:rPr>
      <w:sz w:val="20"/>
      <w:szCs w:val="20"/>
    </w:rPr>
  </w:style>
  <w:style w:type="character" w:customStyle="1" w:styleId="Char2">
    <w:name w:val="脚注文本 Char"/>
    <w:basedOn w:val="a0"/>
    <w:link w:val="ac"/>
    <w:rsid w:val="00731A7D"/>
    <w:rPr>
      <w:rFonts w:ascii="Arial" w:hAnsi="Arial"/>
    </w:rPr>
  </w:style>
  <w:style w:type="character" w:styleId="ad">
    <w:name w:val="footnote reference"/>
    <w:rsid w:val="00731A7D"/>
    <w:rPr>
      <w:vertAlign w:val="superscript"/>
    </w:rPr>
  </w:style>
  <w:style w:type="paragraph" w:styleId="ae">
    <w:name w:val="Revision"/>
    <w:hidden/>
    <w:uiPriority w:val="99"/>
    <w:semiHidden/>
    <w:rsid w:val="00D625AA"/>
    <w:rPr>
      <w:rFonts w:ascii="Arial" w:hAnsi="Arial"/>
      <w:sz w:val="22"/>
      <w:szCs w:val="22"/>
    </w:rPr>
  </w:style>
  <w:style w:type="character" w:customStyle="1" w:styleId="DeltaViewInsertion">
    <w:name w:val="DeltaView Insertion"/>
    <w:uiPriority w:val="99"/>
    <w:rsid w:val="009A77A3"/>
    <w:rPr>
      <w:color w:val="0000FF"/>
      <w:spacing w:val="0"/>
      <w:u w:val="double"/>
    </w:rPr>
  </w:style>
  <w:style w:type="paragraph" w:styleId="af">
    <w:name w:val="List Paragraph"/>
    <w:basedOn w:val="a"/>
    <w:uiPriority w:val="34"/>
    <w:qFormat/>
    <w:rsid w:val="008B4826"/>
    <w:pPr>
      <w:ind w:left="720"/>
      <w:contextualSpacing/>
    </w:pPr>
  </w:style>
  <w:style w:type="paragraph" w:styleId="af0">
    <w:name w:val="endnote text"/>
    <w:basedOn w:val="a"/>
    <w:link w:val="Char3"/>
    <w:semiHidden/>
    <w:unhideWhenUsed/>
    <w:rsid w:val="00BF17BC"/>
    <w:rPr>
      <w:sz w:val="20"/>
      <w:szCs w:val="20"/>
    </w:rPr>
  </w:style>
  <w:style w:type="character" w:customStyle="1" w:styleId="Char3">
    <w:name w:val="尾注文本 Char"/>
    <w:basedOn w:val="a0"/>
    <w:link w:val="af0"/>
    <w:semiHidden/>
    <w:rsid w:val="00BF17BC"/>
    <w:rPr>
      <w:rFonts w:ascii="Arial" w:hAnsi="Arial"/>
    </w:rPr>
  </w:style>
  <w:style w:type="character" w:styleId="af1">
    <w:name w:val="endnote reference"/>
    <w:basedOn w:val="a0"/>
    <w:semiHidden/>
    <w:unhideWhenUsed/>
    <w:rsid w:val="00BF17BC"/>
    <w:rPr>
      <w:vertAlign w:val="superscript"/>
    </w:rPr>
  </w:style>
  <w:style w:type="character" w:customStyle="1" w:styleId="CharacterStyle1">
    <w:name w:val="Character Style 1"/>
    <w:rsid w:val="007B43C9"/>
    <w:rPr>
      <w:sz w:val="20"/>
    </w:rPr>
  </w:style>
  <w:style w:type="paragraph" w:customStyle="1" w:styleId="Style1">
    <w:name w:val="Style 1"/>
    <w:basedOn w:val="a"/>
    <w:rsid w:val="003F23AF"/>
    <w:pPr>
      <w:widowControl w:val="0"/>
      <w:autoSpaceDE w:val="0"/>
      <w:autoSpaceDN w:val="0"/>
      <w:adjustRightInd w:val="0"/>
      <w:jc w:val="left"/>
    </w:pPr>
    <w:rPr>
      <w:rFonts w:ascii="Times New Roman" w:eastAsia="Batang" w:hAnsi="Times New Roman"/>
      <w:sz w:val="20"/>
      <w:szCs w:val="20"/>
      <w:lang w:val="en-US"/>
    </w:rPr>
  </w:style>
  <w:style w:type="character" w:customStyle="1" w:styleId="CharacterStyle2">
    <w:name w:val="Character Style 2"/>
    <w:rsid w:val="003F23AF"/>
    <w:rPr>
      <w:rFonts w:ascii="Tahoma" w:hAnsi="Tahoma"/>
      <w:sz w:val="22"/>
    </w:rPr>
  </w:style>
  <w:style w:type="character" w:customStyle="1" w:styleId="Char0">
    <w:name w:val="批注文字 Char"/>
    <w:link w:val="a9"/>
    <w:uiPriority w:val="99"/>
    <w:rsid w:val="003F23AF"/>
    <w:rPr>
      <w:rFonts w:ascii="Arial" w:hAnsi="Arial"/>
    </w:rPr>
  </w:style>
  <w:style w:type="character" w:customStyle="1" w:styleId="CharacterStyle3">
    <w:name w:val="Character Style 3"/>
    <w:rsid w:val="00CB18A6"/>
    <w:rPr>
      <w:rFonts w:ascii="Arial" w:hAnsi="Arial"/>
      <w:sz w:val="20"/>
    </w:rPr>
  </w:style>
  <w:style w:type="character" w:customStyle="1" w:styleId="Char10">
    <w:name w:val="批注文字 Char1"/>
    <w:basedOn w:val="a0"/>
    <w:uiPriority w:val="99"/>
    <w:rsid w:val="009D1B21"/>
  </w:style>
  <w:style w:type="character" w:customStyle="1" w:styleId="Char1">
    <w:name w:val="批注主题 Char"/>
    <w:link w:val="aa"/>
    <w:rsid w:val="002335CF"/>
    <w:rPr>
      <w:rFonts w:ascii="Arial" w:hAnsi="Arial"/>
      <w:b/>
      <w:bCs/>
    </w:rPr>
  </w:style>
  <w:style w:type="paragraph" w:customStyle="1" w:styleId="Default">
    <w:name w:val="Default"/>
    <w:rsid w:val="00AC1560"/>
    <w:pPr>
      <w:widowControl w:val="0"/>
      <w:autoSpaceDE w:val="0"/>
      <w:autoSpaceDN w:val="0"/>
      <w:adjustRightInd w:val="0"/>
    </w:pPr>
    <w:rPr>
      <w:rFonts w:ascii="Symbol" w:hAnsi="Symbol" w:cs="Symbo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98666309">
      <w:bodyDiv w:val="1"/>
      <w:marLeft w:val="0"/>
      <w:marRight w:val="0"/>
      <w:marTop w:val="0"/>
      <w:marBottom w:val="0"/>
      <w:divBdr>
        <w:top w:val="none" w:sz="0" w:space="0" w:color="auto"/>
        <w:left w:val="none" w:sz="0" w:space="0" w:color="auto"/>
        <w:bottom w:val="none" w:sz="0" w:space="0" w:color="auto"/>
        <w:right w:val="none" w:sz="0" w:space="0" w:color="auto"/>
      </w:divBdr>
    </w:div>
    <w:div w:id="592205744">
      <w:bodyDiv w:val="1"/>
      <w:marLeft w:val="0"/>
      <w:marRight w:val="0"/>
      <w:marTop w:val="0"/>
      <w:marBottom w:val="0"/>
      <w:divBdr>
        <w:top w:val="none" w:sz="0" w:space="0" w:color="auto"/>
        <w:left w:val="none" w:sz="0" w:space="0" w:color="auto"/>
        <w:bottom w:val="none" w:sz="0" w:space="0" w:color="auto"/>
        <w:right w:val="none" w:sz="0" w:space="0" w:color="auto"/>
      </w:divBdr>
    </w:div>
    <w:div w:id="1431394769">
      <w:bodyDiv w:val="1"/>
      <w:marLeft w:val="0"/>
      <w:marRight w:val="0"/>
      <w:marTop w:val="0"/>
      <w:marBottom w:val="0"/>
      <w:divBdr>
        <w:top w:val="none" w:sz="0" w:space="0" w:color="auto"/>
        <w:left w:val="none" w:sz="0" w:space="0" w:color="auto"/>
        <w:bottom w:val="none" w:sz="0" w:space="0" w:color="auto"/>
        <w:right w:val="none" w:sz="0" w:space="0" w:color="auto"/>
      </w:divBdr>
    </w:div>
    <w:div w:id="14956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nas-hk\Compliance\Legal%20&amp;%20Compliance\PRODUCTS%20&#20135;&#21697;\FUNDS\1.%20Bosera%20Investment%20Funds%20(SFC%20Trust)\2019.04%20NAV,%20TER,%20AR\KFS\Ops.ETF%20cmt\Performance%20figure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a:lstStyle/>
          <a:p>
            <a:pPr>
              <a:defRPr/>
            </a:pPr>
            <a:r>
              <a:rPr lang="zh-CN" altLang="en-US" sz="1800" b="1" i="0" u="none" strike="noStrike" kern="1200" baseline="0">
                <a:solidFill>
                  <a:sysClr val="windowText" lastClr="000000"/>
                </a:solidFill>
                <a:latin typeface="+mn-lt"/>
                <a:ea typeface="+mn-ea"/>
                <a:cs typeface="+mn-cs"/>
              </a:rPr>
              <a:t>过往业绩表现</a:t>
            </a:r>
            <a:endParaRPr lang="en-US"/>
          </a:p>
        </c:rich>
      </c:tx>
    </c:title>
    <c:plotArea>
      <c:layout/>
      <c:barChart>
        <c:barDir val="col"/>
        <c:grouping val="clustered"/>
        <c:ser>
          <c:idx val="0"/>
          <c:order val="0"/>
          <c:tx>
            <c:strRef>
              <c:f>Sheet1!$B$1</c:f>
              <c:strCache>
                <c:ptCount val="1"/>
                <c:pt idx="0">
                  <c:v>Class A USD</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Sheet1!$A$3:$A$7</c:f>
              <c:numCache>
                <c:formatCode>General</c:formatCode>
                <c:ptCount val="5"/>
                <c:pt idx="0">
                  <c:v>2014</c:v>
                </c:pt>
                <c:pt idx="1">
                  <c:v>2015</c:v>
                </c:pt>
                <c:pt idx="2">
                  <c:v>2016</c:v>
                </c:pt>
                <c:pt idx="3">
                  <c:v>2017</c:v>
                </c:pt>
                <c:pt idx="4">
                  <c:v>2018</c:v>
                </c:pt>
              </c:numCache>
            </c:numRef>
          </c:cat>
          <c:val>
            <c:numRef>
              <c:f>Sheet1!$B$3:$B$7</c:f>
              <c:numCache>
                <c:formatCode>General</c:formatCode>
                <c:ptCount val="5"/>
                <c:pt idx="3" formatCode="0.00%">
                  <c:v>0.11880000000000002</c:v>
                </c:pt>
                <c:pt idx="4" formatCode="0.00%">
                  <c:v>-2.3400000000000004E-2</c:v>
                </c:pt>
              </c:numCache>
            </c:numRef>
          </c:val>
          <c:extLst xmlns:c16r2="http://schemas.microsoft.com/office/drawing/2015/06/chart">
            <c:ext xmlns:c16="http://schemas.microsoft.com/office/drawing/2014/chart" uri="{C3380CC4-5D6E-409C-BE32-E72D297353CC}">
              <c16:uniqueId val="{00000000-07D8-4CD7-9DA2-FF3A069F5F0A}"/>
            </c:ext>
          </c:extLst>
        </c:ser>
        <c:axId val="249730176"/>
        <c:axId val="249731712"/>
      </c:barChart>
      <c:catAx>
        <c:axId val="249730176"/>
        <c:scaling>
          <c:orientation val="minMax"/>
        </c:scaling>
        <c:axPos val="b"/>
        <c:numFmt formatCode="General" sourceLinked="1"/>
        <c:tickLblPos val="nextTo"/>
        <c:crossAx val="249731712"/>
        <c:crosses val="autoZero"/>
        <c:auto val="1"/>
        <c:lblAlgn val="ctr"/>
        <c:lblOffset val="100"/>
      </c:catAx>
      <c:valAx>
        <c:axId val="249731712"/>
        <c:scaling>
          <c:orientation val="minMax"/>
        </c:scaling>
        <c:axPos val="l"/>
        <c:majorGridlines>
          <c:spPr>
            <a:ln>
              <a:noFill/>
            </a:ln>
          </c:spPr>
        </c:majorGridlines>
        <c:numFmt formatCode="0.00%" sourceLinked="0"/>
        <c:tickLblPos val="nextTo"/>
        <c:crossAx val="2497301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AFE7-33DA-44C6-8683-139B4D42F140}">
  <ds:schemaRefs>
    <ds:schemaRef ds:uri="http://schemas.openxmlformats.org/officeDocument/2006/bibliography"/>
  </ds:schemaRefs>
</ds:datastoreItem>
</file>

<file path=customXml/itemProps2.xml><?xml version="1.0" encoding="utf-8"?>
<ds:datastoreItem xmlns:ds="http://schemas.openxmlformats.org/officeDocument/2006/customXml" ds:itemID="{CADE1F94-99AE-4F50-839D-59E478B05382}">
  <ds:schemaRefs>
    <ds:schemaRef ds:uri="http://schemas.openxmlformats.org/officeDocument/2006/bibliography"/>
  </ds:schemaRefs>
</ds:datastoreItem>
</file>

<file path=customXml/itemProps3.xml><?xml version="1.0" encoding="utf-8"?>
<ds:datastoreItem xmlns:ds="http://schemas.openxmlformats.org/officeDocument/2006/customXml" ds:itemID="{78F8834B-2E75-4268-81A2-17842FBF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13928</CharactersWithSpaces>
  <SharedDoc>false</SharedDoc>
  <HyperlinkBase/>
  <HLinks>
    <vt:vector size="12" baseType="variant">
      <vt:variant>
        <vt:i4>4980829</vt:i4>
      </vt:variant>
      <vt:variant>
        <vt:i4>3</vt:i4>
      </vt:variant>
      <vt:variant>
        <vt:i4>0</vt:i4>
      </vt:variant>
      <vt:variant>
        <vt:i4>5</vt:i4>
      </vt:variant>
      <vt:variant>
        <vt:lpwstr>http://www.bosera.com.hk/</vt:lpwstr>
      </vt:variant>
      <vt:variant>
        <vt:lpwstr/>
      </vt:variant>
      <vt:variant>
        <vt:i4>4980829</vt:i4>
      </vt:variant>
      <vt:variant>
        <vt:i4>0</vt:i4>
      </vt:variant>
      <vt:variant>
        <vt:i4>0</vt:i4>
      </vt:variant>
      <vt:variant>
        <vt:i4>5</vt:i4>
      </vt:variant>
      <vt:variant>
        <vt:lpwstr>http://www.bosera.com.hk/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zhouwang</cp:lastModifiedBy>
  <cp:revision>2</cp:revision>
  <cp:lastPrinted>2019-11-07T02:08:00Z</cp:lastPrinted>
  <dcterms:created xsi:type="dcterms:W3CDTF">2020-04-03T00:43:00Z</dcterms:created>
  <dcterms:modified xsi:type="dcterms:W3CDTF">2020-04-03T00:43:00Z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gFAACRwgU2+mnxmqti7XvJJgW+Cr4otB3YKYHOsP1H+M1sF0nwBtW1R1n1BzKj56GcC+aew5YI9s/n6k_x000d_
KjiprWmUsTgqpcpLLk0NUoQh/+4OxyS73G698hBAWMovcMNhPfJ9G1IhUxaXm7c9JyhSnuv9ueJw_x000d_
ro5BSyjTxnRRyMPruTgIhUF0NNJ5qSGHB6ze87j2KW7xYO+UxT1SictlI3YWfB00g/eucDfvL3uw_x000d_
qSjjMA/ZIPKsCVRJa</vt:lpwstr>
  </property>
  <property fmtid="{D5CDD505-2E9C-101B-9397-08002B2CF9AE}" pid="3" name="MAIL_MSG_ID2">
    <vt:lpwstr>C/fNTqJ5mTF+k1he3r58rYATSHSA8IogU3LQgETbezdGr569YbvvfRJ2nud_x000d_
n7FZ+vN/lL9HGiT45nLSCGLsW5mewujhFcKEHw==</vt:lpwstr>
  </property>
  <property fmtid="{D5CDD505-2E9C-101B-9397-08002B2CF9AE}" pid="4" name="RESPONSE_SENDER_NAME">
    <vt:lpwstr>sAAAXRTqSjcrLAqnSLrt0MFitYu2crnFKlaMmg8woM5+W1E=</vt:lpwstr>
  </property>
  <property fmtid="{D5CDD505-2E9C-101B-9397-08002B2CF9AE}" pid="5" name="EMAIL_OWNER_ADDRESS">
    <vt:lpwstr>ABAAmJ+7jnJ2eOUlTftKgeHvffONY5TV/wSbmlmOR/OtaLLTNm3RdcZGP4dZArC1+7jD</vt:lpwstr>
  </property>
  <property fmtid="{D5CDD505-2E9C-101B-9397-08002B2CF9AE}" pid="6" name="WS_TRACKING_ID">
    <vt:lpwstr>3d4dcc06-be39-4a1d-a415-1a5e1e87752d</vt:lpwstr>
  </property>
</Properties>
</file>