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082" w:rsidRPr="00913082" w:rsidRDefault="00913082" w:rsidP="00325BCA">
      <w:pPr>
        <w:adjustRightInd w:val="0"/>
        <w:snapToGrid w:val="0"/>
        <w:spacing w:line="360" w:lineRule="auto"/>
        <w:rPr>
          <w:rFonts w:ascii="宋体" w:hAnsi="宋体" w:cs="宋体"/>
          <w:color w:val="000000"/>
          <w:kern w:val="0"/>
          <w:sz w:val="28"/>
          <w:szCs w:val="24"/>
        </w:rPr>
      </w:pPr>
      <w:r w:rsidRPr="00913082">
        <w:rPr>
          <w:rFonts w:ascii="宋体" w:hAnsi="宋体" w:cs="宋体" w:hint="eastAsia"/>
          <w:color w:val="000000"/>
          <w:kern w:val="0"/>
          <w:sz w:val="28"/>
          <w:szCs w:val="24"/>
        </w:rPr>
        <w:t>兴业基金管理有限公司关于旗下</w:t>
      </w:r>
      <w:r w:rsidR="0089514B">
        <w:rPr>
          <w:rFonts w:ascii="宋体" w:hAnsi="宋体" w:cs="宋体" w:hint="eastAsia"/>
          <w:color w:val="000000"/>
          <w:kern w:val="0"/>
          <w:sz w:val="28"/>
          <w:szCs w:val="24"/>
        </w:rPr>
        <w:t>部分</w:t>
      </w:r>
      <w:r w:rsidRPr="00913082">
        <w:rPr>
          <w:rFonts w:ascii="宋体" w:hAnsi="宋体" w:cs="宋体" w:hint="eastAsia"/>
          <w:color w:val="000000"/>
          <w:kern w:val="0"/>
          <w:sz w:val="28"/>
          <w:szCs w:val="24"/>
        </w:rPr>
        <w:t>基金新增</w:t>
      </w:r>
      <w:r w:rsidR="004A020D">
        <w:rPr>
          <w:rFonts w:ascii="宋体" w:hAnsi="宋体" w:cs="宋体" w:hint="eastAsia"/>
          <w:color w:val="000000"/>
          <w:kern w:val="0"/>
          <w:sz w:val="28"/>
          <w:szCs w:val="24"/>
        </w:rPr>
        <w:t>兴业证券股份有限公司为</w:t>
      </w:r>
      <w:r w:rsidR="00390FE5">
        <w:rPr>
          <w:rFonts w:ascii="宋体" w:hAnsi="宋体" w:cs="宋体" w:hint="eastAsia"/>
          <w:color w:val="000000"/>
          <w:kern w:val="0"/>
          <w:sz w:val="28"/>
          <w:szCs w:val="24"/>
        </w:rPr>
        <w:t>销售</w:t>
      </w:r>
      <w:r w:rsidRPr="00913082">
        <w:rPr>
          <w:rFonts w:ascii="宋体" w:hAnsi="宋体" w:cs="宋体" w:hint="eastAsia"/>
          <w:color w:val="000000"/>
          <w:kern w:val="0"/>
          <w:sz w:val="28"/>
          <w:szCs w:val="24"/>
        </w:rPr>
        <w:t>机构并开通定投</w:t>
      </w:r>
      <w:r w:rsidR="00AD7E92">
        <w:rPr>
          <w:rFonts w:ascii="宋体" w:hAnsi="宋体" w:cs="宋体" w:hint="eastAsia"/>
          <w:color w:val="000000"/>
          <w:kern w:val="0"/>
          <w:sz w:val="28"/>
          <w:szCs w:val="24"/>
        </w:rPr>
        <w:t>、</w:t>
      </w:r>
      <w:r w:rsidRPr="00913082">
        <w:rPr>
          <w:rFonts w:ascii="宋体" w:hAnsi="宋体" w:cs="宋体" w:hint="eastAsia"/>
          <w:color w:val="000000"/>
          <w:kern w:val="0"/>
          <w:sz w:val="28"/>
          <w:szCs w:val="24"/>
        </w:rPr>
        <w:t>转换业务的公告</w:t>
      </w:r>
    </w:p>
    <w:p w:rsidR="00913082" w:rsidRDefault="00913082" w:rsidP="00325BCA">
      <w:pPr>
        <w:pStyle w:val="Default"/>
        <w:snapToGrid w:val="0"/>
        <w:spacing w:line="360" w:lineRule="auto"/>
        <w:ind w:firstLineChars="200" w:firstLine="480"/>
        <w:rPr>
          <w:rFonts w:ascii="宋体" w:eastAsia="宋体" w:hAnsi="宋体" w:cs="宋体"/>
        </w:rPr>
      </w:pPr>
    </w:p>
    <w:p w:rsidR="001E497A" w:rsidRPr="00B52DB8" w:rsidRDefault="00913082" w:rsidP="00325BCA">
      <w:pPr>
        <w:pStyle w:val="Default"/>
        <w:snapToGrid w:val="0"/>
        <w:spacing w:line="360" w:lineRule="auto"/>
        <w:ind w:firstLineChars="200" w:firstLine="480"/>
        <w:rPr>
          <w:rFonts w:ascii="宋体" w:eastAsia="宋体" w:hAnsi="宋体" w:cs="宋体"/>
        </w:rPr>
      </w:pPr>
      <w:r w:rsidRPr="00913082">
        <w:rPr>
          <w:rFonts w:ascii="宋体" w:eastAsia="宋体" w:hAnsi="宋体" w:cs="宋体" w:hint="eastAsia"/>
        </w:rPr>
        <w:t>根据兴业基金管理有限公司（以下简称“本公司”）与兴业证券股份有限公司（以下简称“兴业证券”）签署的基金销售协议，自</w:t>
      </w:r>
      <w:r>
        <w:rPr>
          <w:rFonts w:ascii="宋体" w:eastAsia="宋体" w:hAnsi="宋体" w:cs="宋体" w:hint="eastAsia"/>
        </w:rPr>
        <w:t>2020</w:t>
      </w:r>
      <w:r w:rsidRPr="00913082">
        <w:rPr>
          <w:rFonts w:ascii="宋体" w:eastAsia="宋体" w:hAnsi="宋体" w:cs="宋体" w:hint="eastAsia"/>
        </w:rPr>
        <w:t>年4月</w:t>
      </w:r>
      <w:r>
        <w:rPr>
          <w:rFonts w:ascii="宋体" w:eastAsia="宋体" w:hAnsi="宋体" w:cs="宋体" w:hint="eastAsia"/>
        </w:rPr>
        <w:t>3</w:t>
      </w:r>
      <w:r w:rsidRPr="00913082">
        <w:rPr>
          <w:rFonts w:ascii="宋体" w:eastAsia="宋体" w:hAnsi="宋体" w:cs="宋体" w:hint="eastAsia"/>
        </w:rPr>
        <w:t>日起，本公司新增兴业证券为旗下</w:t>
      </w:r>
      <w:r w:rsidR="00B52DB8" w:rsidRPr="00B52DB8">
        <w:rPr>
          <w:rFonts w:ascii="宋体" w:eastAsia="宋体" w:hAnsi="宋体" w:cs="宋体" w:hint="eastAsia"/>
        </w:rPr>
        <w:t>兴业成长动力灵活配置混合型证券投资基金</w:t>
      </w:r>
      <w:r w:rsidR="00B52DB8">
        <w:rPr>
          <w:rFonts w:ascii="宋体" w:eastAsia="宋体" w:hAnsi="宋体" w:cs="宋体" w:hint="eastAsia"/>
        </w:rPr>
        <w:t>（简称：</w:t>
      </w:r>
      <w:r w:rsidR="00B52DB8" w:rsidRPr="00B52DB8">
        <w:rPr>
          <w:rFonts w:ascii="宋体" w:eastAsia="宋体" w:hAnsi="宋体" w:cs="宋体" w:hint="eastAsia"/>
        </w:rPr>
        <w:t>兴业成长动力混合</w:t>
      </w:r>
      <w:r w:rsidR="00B52DB8">
        <w:rPr>
          <w:rFonts w:ascii="宋体" w:eastAsia="宋体" w:hAnsi="宋体" w:cs="宋体" w:hint="eastAsia"/>
        </w:rPr>
        <w:t>，代码：</w:t>
      </w:r>
      <w:r w:rsidR="00B52DB8" w:rsidRPr="00B52DB8">
        <w:rPr>
          <w:rFonts w:ascii="宋体" w:eastAsia="宋体" w:hAnsi="宋体" w:cs="宋体"/>
        </w:rPr>
        <w:t>002597</w:t>
      </w:r>
      <w:r w:rsidR="00B52DB8">
        <w:rPr>
          <w:rFonts w:ascii="宋体" w:eastAsia="宋体" w:hAnsi="宋体" w:cs="宋体" w:hint="eastAsia"/>
        </w:rPr>
        <w:t>）</w:t>
      </w:r>
      <w:r w:rsidR="00390FE5">
        <w:rPr>
          <w:rFonts w:ascii="宋体" w:eastAsia="宋体" w:hAnsi="宋体" w:cs="宋体" w:hint="eastAsia"/>
        </w:rPr>
        <w:t>销售</w:t>
      </w:r>
      <w:r w:rsidRPr="00913082">
        <w:rPr>
          <w:rFonts w:ascii="宋体" w:eastAsia="宋体" w:hAnsi="宋体" w:cs="宋体" w:hint="eastAsia"/>
        </w:rPr>
        <w:t>机构</w:t>
      </w:r>
      <w:r w:rsidR="00B52DB8">
        <w:rPr>
          <w:rFonts w:ascii="宋体" w:eastAsia="宋体" w:hAnsi="宋体" w:cs="宋体" w:hint="eastAsia"/>
        </w:rPr>
        <w:t>，投资者可通过兴业证券办理该基金的开户、申购、赎回、定投等业务，</w:t>
      </w:r>
      <w:r w:rsidR="00B52DB8" w:rsidRPr="00B52DB8">
        <w:rPr>
          <w:rFonts w:ascii="宋体" w:eastAsia="宋体" w:hAnsi="宋体" w:cs="宋体" w:hint="eastAsia"/>
        </w:rPr>
        <w:t>业务办理的具体事宜请遵从</w:t>
      </w:r>
      <w:r w:rsidR="00B52DB8">
        <w:rPr>
          <w:rFonts w:ascii="宋体" w:eastAsia="宋体" w:hAnsi="宋体" w:cs="宋体" w:hint="eastAsia"/>
        </w:rPr>
        <w:t>销售机构</w:t>
      </w:r>
      <w:r w:rsidR="00B52DB8" w:rsidRPr="00B52DB8">
        <w:rPr>
          <w:rFonts w:ascii="宋体" w:eastAsia="宋体" w:hAnsi="宋体" w:cs="宋体" w:hint="eastAsia"/>
        </w:rPr>
        <w:t>相关规定。</w:t>
      </w:r>
      <w:r w:rsidR="00B52DB8">
        <w:rPr>
          <w:rFonts w:ascii="宋体" w:eastAsia="宋体" w:hAnsi="宋体" w:cs="宋体" w:hint="eastAsia"/>
        </w:rPr>
        <w:t>同时</w:t>
      </w:r>
      <w:r w:rsidR="004C7003">
        <w:rPr>
          <w:rFonts w:ascii="宋体" w:eastAsia="宋体" w:hAnsi="宋体" w:cs="宋体" w:hint="eastAsia"/>
        </w:rPr>
        <w:t>为更好地满足</w:t>
      </w:r>
      <w:r w:rsidR="00B52DB8">
        <w:rPr>
          <w:rFonts w:ascii="宋体" w:eastAsia="宋体" w:hAnsi="宋体" w:cs="宋体" w:hint="eastAsia"/>
        </w:rPr>
        <w:t>广大投资者的理财需求，本公司</w:t>
      </w:r>
      <w:r w:rsidR="004C7003">
        <w:rPr>
          <w:rFonts w:ascii="宋体" w:eastAsia="宋体" w:hAnsi="宋体" w:cs="宋体" w:hint="eastAsia"/>
        </w:rPr>
        <w:t>决定自</w:t>
      </w:r>
      <w:r w:rsidR="00B52DB8" w:rsidRPr="00B52DB8">
        <w:rPr>
          <w:rFonts w:ascii="宋体" w:eastAsia="宋体" w:hAnsi="宋体" w:cs="宋体" w:hint="eastAsia"/>
        </w:rPr>
        <w:t>2020年4月3日</w:t>
      </w:r>
      <w:r w:rsidR="004C7003">
        <w:rPr>
          <w:rFonts w:ascii="宋体" w:eastAsia="宋体" w:hAnsi="宋体" w:cs="宋体" w:hint="eastAsia"/>
        </w:rPr>
        <w:t>起在</w:t>
      </w:r>
      <w:r w:rsidR="00B52DB8">
        <w:rPr>
          <w:rFonts w:ascii="宋体" w:eastAsia="宋体" w:hAnsi="宋体" w:cs="宋体" w:hint="eastAsia"/>
        </w:rPr>
        <w:t>兴业证券</w:t>
      </w:r>
      <w:r w:rsidR="004C7003">
        <w:rPr>
          <w:rFonts w:ascii="宋体" w:eastAsia="宋体" w:hAnsi="宋体" w:cs="宋体" w:hint="eastAsia"/>
        </w:rPr>
        <w:t>开通旗下部分基金的定期定额投资和转换业务。</w:t>
      </w:r>
    </w:p>
    <w:p w:rsidR="001E497A" w:rsidRDefault="00AD7E92"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定期定额投资业务（以下简称“定投”）</w:t>
      </w:r>
      <w:r w:rsidR="004C7003">
        <w:rPr>
          <w:rFonts w:ascii="宋体" w:hAnsi="宋体" w:cs="宋体" w:hint="eastAsia"/>
          <w:color w:val="000000"/>
          <w:kern w:val="0"/>
          <w:sz w:val="24"/>
          <w:szCs w:val="24"/>
        </w:rPr>
        <w:t>指投资者通过有关销售机构提出申请，约定每期扣款日、扣款金额及扣款方式，由销售机构于每期约定扣款日在投资者指定资金账户内自动完成扣款及基金申购申请的一种投资方式。</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基金转换业务是指投资者可将其通过销售机构购买并持有本公司管理的某只开放式基金的全部或部分基金份额转换为本公司管理的其他开放式基金的基金份额。</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具体公告内容如下：</w:t>
      </w:r>
    </w:p>
    <w:p w:rsidR="001E497A" w:rsidRDefault="004C7003" w:rsidP="00325BCA">
      <w:pPr>
        <w:widowControl/>
        <w:numPr>
          <w:ilvl w:val="0"/>
          <w:numId w:val="1"/>
        </w:numPr>
        <w:shd w:val="clear" w:color="auto" w:fill="FFFFFF"/>
        <w:adjustRightInd w:val="0"/>
        <w:snapToGrid w:val="0"/>
        <w:spacing w:line="360" w:lineRule="auto"/>
        <w:jc w:val="left"/>
        <w:rPr>
          <w:rFonts w:ascii="宋体" w:hAnsi="宋体" w:cs="宋体"/>
          <w:b/>
          <w:color w:val="000000"/>
          <w:kern w:val="0"/>
          <w:sz w:val="24"/>
          <w:szCs w:val="24"/>
        </w:rPr>
      </w:pPr>
      <w:r>
        <w:rPr>
          <w:rFonts w:ascii="宋体" w:hAnsi="宋体" w:cs="宋体" w:hint="eastAsia"/>
          <w:b/>
          <w:color w:val="000000"/>
          <w:kern w:val="0"/>
          <w:sz w:val="24"/>
          <w:szCs w:val="24"/>
        </w:rPr>
        <w:t>开通基金定投</w:t>
      </w:r>
      <w:r w:rsidR="00325BCA">
        <w:rPr>
          <w:rFonts w:ascii="宋体" w:hAnsi="宋体" w:cs="宋体" w:hint="eastAsia"/>
          <w:b/>
          <w:color w:val="000000"/>
          <w:kern w:val="0"/>
          <w:sz w:val="24"/>
          <w:szCs w:val="24"/>
        </w:rPr>
        <w:t>和转换</w:t>
      </w:r>
      <w:r>
        <w:rPr>
          <w:rFonts w:ascii="宋体" w:hAnsi="宋体" w:cs="宋体" w:hint="eastAsia"/>
          <w:b/>
          <w:color w:val="000000"/>
          <w:kern w:val="0"/>
          <w:sz w:val="24"/>
          <w:szCs w:val="24"/>
        </w:rPr>
        <w:t>业务的范围</w:t>
      </w:r>
    </w:p>
    <w:p w:rsidR="001E497A" w:rsidRDefault="004C7003" w:rsidP="00325BCA">
      <w:pPr>
        <w:widowControl/>
        <w:numPr>
          <w:ilvl w:val="1"/>
          <w:numId w:val="2"/>
        </w:numPr>
        <w:shd w:val="clear" w:color="auto" w:fill="FFFFFF"/>
        <w:adjustRightInd w:val="0"/>
        <w:snapToGrid w:val="0"/>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本次开通基金定投业务范围：</w:t>
      </w:r>
    </w:p>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4268"/>
        <w:gridCol w:w="3402"/>
        <w:gridCol w:w="1417"/>
      </w:tblGrid>
      <w:tr w:rsidR="001E497A" w:rsidTr="00AD7E92">
        <w:trPr>
          <w:trHeight w:val="283"/>
        </w:trPr>
        <w:tc>
          <w:tcPr>
            <w:tcW w:w="4268" w:type="dxa"/>
            <w:vAlign w:val="center"/>
          </w:tcPr>
          <w:p w:rsidR="001E497A" w:rsidRDefault="004C7003" w:rsidP="00325BCA">
            <w:pPr>
              <w:widowControl/>
              <w:adjustRightInd w:val="0"/>
              <w:snapToGrid w:val="0"/>
              <w:spacing w:line="360" w:lineRule="auto"/>
              <w:jc w:val="center"/>
              <w:textAlignment w:val="top"/>
              <w:rPr>
                <w:rFonts w:ascii="宋体" w:hAnsi="宋体" w:cs="宋体"/>
                <w:b/>
                <w:color w:val="000000"/>
                <w:sz w:val="22"/>
              </w:rPr>
            </w:pPr>
            <w:r>
              <w:rPr>
                <w:rFonts w:ascii="宋体" w:hAnsi="宋体" w:cs="宋体" w:hint="eastAsia"/>
                <w:b/>
                <w:color w:val="000000"/>
                <w:kern w:val="0"/>
                <w:sz w:val="22"/>
              </w:rPr>
              <w:t>基金名称</w:t>
            </w:r>
          </w:p>
        </w:tc>
        <w:tc>
          <w:tcPr>
            <w:tcW w:w="3402" w:type="dxa"/>
            <w:vAlign w:val="center"/>
          </w:tcPr>
          <w:p w:rsidR="001E497A" w:rsidRDefault="004C7003" w:rsidP="00325BCA">
            <w:pPr>
              <w:widowControl/>
              <w:adjustRightInd w:val="0"/>
              <w:snapToGrid w:val="0"/>
              <w:spacing w:line="360" w:lineRule="auto"/>
              <w:jc w:val="center"/>
              <w:textAlignment w:val="top"/>
              <w:rPr>
                <w:rFonts w:ascii="宋体" w:hAnsi="宋体" w:cs="宋体"/>
                <w:b/>
                <w:color w:val="000000"/>
                <w:sz w:val="22"/>
              </w:rPr>
            </w:pPr>
            <w:r>
              <w:rPr>
                <w:rFonts w:ascii="宋体" w:hAnsi="宋体" w:cs="宋体" w:hint="eastAsia"/>
                <w:b/>
                <w:color w:val="000000"/>
                <w:kern w:val="0"/>
                <w:sz w:val="22"/>
              </w:rPr>
              <w:t>基金简称</w:t>
            </w:r>
          </w:p>
        </w:tc>
        <w:tc>
          <w:tcPr>
            <w:tcW w:w="1417" w:type="dxa"/>
            <w:vAlign w:val="center"/>
          </w:tcPr>
          <w:p w:rsidR="001E497A" w:rsidRDefault="004C7003" w:rsidP="00325BCA">
            <w:pPr>
              <w:widowControl/>
              <w:adjustRightInd w:val="0"/>
              <w:snapToGrid w:val="0"/>
              <w:spacing w:line="360" w:lineRule="auto"/>
              <w:jc w:val="center"/>
              <w:textAlignment w:val="top"/>
              <w:rPr>
                <w:rFonts w:ascii="宋体" w:hAnsi="宋体" w:cs="宋体"/>
                <w:b/>
                <w:color w:val="000000"/>
                <w:sz w:val="22"/>
              </w:rPr>
            </w:pPr>
            <w:r>
              <w:rPr>
                <w:rFonts w:ascii="宋体" w:hAnsi="宋体" w:cs="宋体" w:hint="eastAsia"/>
                <w:b/>
                <w:color w:val="000000"/>
                <w:kern w:val="0"/>
                <w:sz w:val="22"/>
              </w:rPr>
              <w:t>基金代码</w:t>
            </w:r>
          </w:p>
        </w:tc>
      </w:tr>
      <w:tr w:rsidR="001E497A" w:rsidTr="00E20796">
        <w:trPr>
          <w:trHeight w:val="283"/>
        </w:trPr>
        <w:tc>
          <w:tcPr>
            <w:tcW w:w="4268" w:type="dxa"/>
            <w:vAlign w:val="center"/>
          </w:tcPr>
          <w:p w:rsidR="001E497A" w:rsidRPr="004436E1" w:rsidRDefault="004C7003" w:rsidP="00325BCA">
            <w:pPr>
              <w:widowControl/>
              <w:adjustRightInd w:val="0"/>
              <w:snapToGrid w:val="0"/>
              <w:spacing w:line="360" w:lineRule="auto"/>
              <w:textAlignment w:val="center"/>
              <w:rPr>
                <w:rFonts w:ascii="宋体" w:hAnsi="宋体" w:cs="宋体"/>
                <w:color w:val="000000"/>
                <w:sz w:val="22"/>
              </w:rPr>
            </w:pPr>
            <w:r w:rsidRPr="004436E1">
              <w:rPr>
                <w:rFonts w:ascii="宋体" w:hAnsi="宋体" w:cs="宋体" w:hint="eastAsia"/>
                <w:color w:val="000000"/>
                <w:kern w:val="0"/>
                <w:sz w:val="22"/>
              </w:rPr>
              <w:t>兴业国企改革灵活配置混合型证券投资基金</w:t>
            </w:r>
          </w:p>
        </w:tc>
        <w:tc>
          <w:tcPr>
            <w:tcW w:w="3402" w:type="dxa"/>
            <w:vAlign w:val="center"/>
          </w:tcPr>
          <w:p w:rsidR="001E497A" w:rsidRDefault="004C7003" w:rsidP="00325BCA">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兴业国企改革混合</w:t>
            </w:r>
          </w:p>
        </w:tc>
        <w:tc>
          <w:tcPr>
            <w:tcW w:w="1417" w:type="dxa"/>
            <w:vAlign w:val="center"/>
          </w:tcPr>
          <w:p w:rsidR="001E497A" w:rsidRDefault="004C7003" w:rsidP="00325BCA">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001623</w:t>
            </w:r>
          </w:p>
        </w:tc>
      </w:tr>
      <w:tr w:rsidR="001E497A" w:rsidTr="00E20796">
        <w:trPr>
          <w:trHeight w:val="283"/>
        </w:trPr>
        <w:tc>
          <w:tcPr>
            <w:tcW w:w="4268" w:type="dxa"/>
            <w:vMerge w:val="restart"/>
            <w:vAlign w:val="center"/>
          </w:tcPr>
          <w:p w:rsidR="001E497A" w:rsidRPr="004436E1" w:rsidRDefault="00E20796" w:rsidP="00325BCA">
            <w:pPr>
              <w:widowControl/>
              <w:adjustRightInd w:val="0"/>
              <w:snapToGrid w:val="0"/>
              <w:spacing w:line="360" w:lineRule="auto"/>
              <w:textAlignment w:val="center"/>
              <w:rPr>
                <w:rFonts w:ascii="宋体" w:hAnsi="宋体" w:cs="宋体"/>
                <w:color w:val="000000"/>
                <w:kern w:val="0"/>
                <w:sz w:val="22"/>
              </w:rPr>
            </w:pPr>
            <w:r w:rsidRPr="004436E1">
              <w:rPr>
                <w:rFonts w:ascii="宋体" w:hAnsi="宋体" w:cs="宋体" w:hint="eastAsia"/>
                <w:color w:val="000000"/>
                <w:kern w:val="0"/>
                <w:sz w:val="22"/>
              </w:rPr>
              <w:t>兴业收益增强债券型证券投资基金</w:t>
            </w:r>
          </w:p>
        </w:tc>
        <w:tc>
          <w:tcPr>
            <w:tcW w:w="3402" w:type="dxa"/>
            <w:vMerge w:val="restart"/>
            <w:vAlign w:val="center"/>
          </w:tcPr>
          <w:p w:rsidR="001E497A" w:rsidRDefault="00E20796" w:rsidP="00325BCA">
            <w:pPr>
              <w:widowControl/>
              <w:adjustRightInd w:val="0"/>
              <w:snapToGrid w:val="0"/>
              <w:spacing w:line="360" w:lineRule="auto"/>
              <w:textAlignment w:val="center"/>
              <w:rPr>
                <w:rFonts w:ascii="宋体" w:hAnsi="宋体" w:cs="宋体"/>
                <w:color w:val="000000"/>
                <w:sz w:val="22"/>
              </w:rPr>
            </w:pPr>
            <w:r w:rsidRPr="00E20796">
              <w:rPr>
                <w:rFonts w:ascii="宋体" w:hAnsi="宋体" w:cs="宋体" w:hint="eastAsia"/>
                <w:color w:val="000000"/>
                <w:sz w:val="22"/>
              </w:rPr>
              <w:t>兴业收益增强债券</w:t>
            </w:r>
            <w:r w:rsidR="004C7003">
              <w:rPr>
                <w:rFonts w:ascii="宋体" w:hAnsi="宋体" w:cs="宋体" w:hint="eastAsia"/>
                <w:color w:val="000000"/>
                <w:sz w:val="22"/>
              </w:rPr>
              <w:t>A/C</w:t>
            </w:r>
          </w:p>
        </w:tc>
        <w:tc>
          <w:tcPr>
            <w:tcW w:w="1417" w:type="dxa"/>
            <w:vAlign w:val="center"/>
          </w:tcPr>
          <w:p w:rsidR="001E497A" w:rsidRDefault="004C7003" w:rsidP="00325BCA">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A类：</w:t>
            </w:r>
            <w:r w:rsidR="00E20796" w:rsidRPr="00E20796">
              <w:rPr>
                <w:rFonts w:ascii="宋体" w:hAnsi="宋体" w:cs="宋体"/>
                <w:color w:val="000000"/>
                <w:sz w:val="22"/>
              </w:rPr>
              <w:t>001257</w:t>
            </w:r>
          </w:p>
        </w:tc>
      </w:tr>
      <w:tr w:rsidR="001E497A" w:rsidTr="00E20796">
        <w:trPr>
          <w:trHeight w:val="283"/>
        </w:trPr>
        <w:tc>
          <w:tcPr>
            <w:tcW w:w="4268" w:type="dxa"/>
            <w:vMerge/>
            <w:vAlign w:val="center"/>
          </w:tcPr>
          <w:p w:rsidR="001E497A" w:rsidRPr="004436E1" w:rsidRDefault="001E497A" w:rsidP="00325BCA">
            <w:pPr>
              <w:widowControl/>
              <w:adjustRightInd w:val="0"/>
              <w:snapToGrid w:val="0"/>
              <w:spacing w:line="360" w:lineRule="auto"/>
              <w:textAlignment w:val="center"/>
              <w:rPr>
                <w:rFonts w:ascii="宋体" w:hAnsi="宋体" w:cs="宋体"/>
                <w:color w:val="000000"/>
                <w:kern w:val="0"/>
                <w:sz w:val="22"/>
              </w:rPr>
            </w:pPr>
          </w:p>
        </w:tc>
        <w:tc>
          <w:tcPr>
            <w:tcW w:w="3402" w:type="dxa"/>
            <w:vMerge/>
            <w:vAlign w:val="center"/>
          </w:tcPr>
          <w:p w:rsidR="001E497A" w:rsidRDefault="001E497A" w:rsidP="00325BCA">
            <w:pPr>
              <w:widowControl/>
              <w:adjustRightInd w:val="0"/>
              <w:snapToGrid w:val="0"/>
              <w:spacing w:line="360" w:lineRule="auto"/>
              <w:textAlignment w:val="center"/>
              <w:rPr>
                <w:rFonts w:ascii="宋体" w:hAnsi="宋体" w:cs="宋体"/>
                <w:color w:val="000000"/>
                <w:sz w:val="22"/>
              </w:rPr>
            </w:pPr>
          </w:p>
        </w:tc>
        <w:tc>
          <w:tcPr>
            <w:tcW w:w="1417" w:type="dxa"/>
            <w:vAlign w:val="center"/>
          </w:tcPr>
          <w:p w:rsidR="001E497A" w:rsidRDefault="004C7003" w:rsidP="00325BCA">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C类：</w:t>
            </w:r>
            <w:r w:rsidR="00E20796" w:rsidRPr="00E20796">
              <w:rPr>
                <w:rFonts w:ascii="宋体" w:hAnsi="宋体" w:cs="宋体"/>
                <w:color w:val="000000"/>
                <w:sz w:val="22"/>
              </w:rPr>
              <w:t>001258</w:t>
            </w:r>
          </w:p>
        </w:tc>
      </w:tr>
      <w:tr w:rsidR="00BD333B" w:rsidTr="00E20796">
        <w:trPr>
          <w:trHeight w:val="283"/>
        </w:trPr>
        <w:tc>
          <w:tcPr>
            <w:tcW w:w="4268" w:type="dxa"/>
            <w:vMerge w:val="restart"/>
            <w:vAlign w:val="center"/>
          </w:tcPr>
          <w:p w:rsidR="00BD333B" w:rsidRPr="004436E1" w:rsidRDefault="00BD333B" w:rsidP="00325BCA">
            <w:pPr>
              <w:widowControl/>
              <w:adjustRightInd w:val="0"/>
              <w:snapToGrid w:val="0"/>
              <w:spacing w:line="360" w:lineRule="auto"/>
              <w:textAlignment w:val="center"/>
              <w:rPr>
                <w:rFonts w:ascii="宋体" w:hAnsi="宋体" w:cs="宋体"/>
                <w:color w:val="000000"/>
                <w:sz w:val="22"/>
              </w:rPr>
            </w:pPr>
            <w:r w:rsidRPr="004436E1">
              <w:rPr>
                <w:rFonts w:ascii="宋体" w:hAnsi="宋体" w:cs="宋体" w:hint="eastAsia"/>
                <w:color w:val="000000"/>
                <w:kern w:val="0"/>
                <w:sz w:val="22"/>
              </w:rPr>
              <w:t>兴业聚鑫灵活配置混合型证券投资基金</w:t>
            </w:r>
          </w:p>
        </w:tc>
        <w:tc>
          <w:tcPr>
            <w:tcW w:w="3402" w:type="dxa"/>
            <w:vMerge w:val="restart"/>
            <w:vAlign w:val="center"/>
          </w:tcPr>
          <w:p w:rsidR="00BD333B" w:rsidRDefault="00BD333B" w:rsidP="00325BCA">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兴业聚鑫灵活配置混合A</w:t>
            </w:r>
            <w:r w:rsidR="0002369B">
              <w:rPr>
                <w:rFonts w:ascii="宋体" w:hAnsi="宋体" w:cs="宋体" w:hint="eastAsia"/>
                <w:color w:val="000000"/>
                <w:sz w:val="22"/>
              </w:rPr>
              <w:t>/C</w:t>
            </w:r>
          </w:p>
        </w:tc>
        <w:tc>
          <w:tcPr>
            <w:tcW w:w="1417" w:type="dxa"/>
            <w:vAlign w:val="center"/>
          </w:tcPr>
          <w:p w:rsidR="00BD333B" w:rsidRDefault="00BD333B" w:rsidP="00325BCA">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A类：002498</w:t>
            </w:r>
          </w:p>
        </w:tc>
      </w:tr>
      <w:tr w:rsidR="00BD333B" w:rsidTr="00E20796">
        <w:trPr>
          <w:trHeight w:val="283"/>
        </w:trPr>
        <w:tc>
          <w:tcPr>
            <w:tcW w:w="4268" w:type="dxa"/>
            <w:vMerge/>
            <w:vAlign w:val="center"/>
          </w:tcPr>
          <w:p w:rsidR="00BD333B" w:rsidRPr="004436E1" w:rsidRDefault="00BD333B" w:rsidP="00325BCA">
            <w:pPr>
              <w:widowControl/>
              <w:adjustRightInd w:val="0"/>
              <w:snapToGrid w:val="0"/>
              <w:spacing w:line="360" w:lineRule="auto"/>
              <w:textAlignment w:val="center"/>
              <w:rPr>
                <w:rFonts w:ascii="宋体" w:hAnsi="宋体" w:cs="宋体"/>
                <w:color w:val="000000"/>
                <w:kern w:val="0"/>
                <w:sz w:val="22"/>
              </w:rPr>
            </w:pPr>
          </w:p>
        </w:tc>
        <w:tc>
          <w:tcPr>
            <w:tcW w:w="3402" w:type="dxa"/>
            <w:vMerge/>
            <w:vAlign w:val="center"/>
          </w:tcPr>
          <w:p w:rsidR="00BD333B" w:rsidRDefault="00BD333B" w:rsidP="00325BCA">
            <w:pPr>
              <w:widowControl/>
              <w:adjustRightInd w:val="0"/>
              <w:snapToGrid w:val="0"/>
              <w:spacing w:line="360" w:lineRule="auto"/>
              <w:textAlignment w:val="center"/>
              <w:rPr>
                <w:rFonts w:ascii="宋体" w:hAnsi="宋体" w:cs="宋体"/>
                <w:color w:val="000000"/>
                <w:kern w:val="0"/>
                <w:sz w:val="22"/>
              </w:rPr>
            </w:pPr>
          </w:p>
        </w:tc>
        <w:tc>
          <w:tcPr>
            <w:tcW w:w="1417" w:type="dxa"/>
            <w:vAlign w:val="center"/>
          </w:tcPr>
          <w:p w:rsidR="00BD333B" w:rsidRDefault="00BD333B" w:rsidP="00325BCA">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C类：</w:t>
            </w:r>
            <w:r w:rsidRPr="00BD333B">
              <w:rPr>
                <w:rFonts w:ascii="宋体" w:hAnsi="宋体" w:cs="宋体"/>
                <w:color w:val="000000"/>
                <w:sz w:val="22"/>
              </w:rPr>
              <w:t>008221</w:t>
            </w:r>
          </w:p>
        </w:tc>
      </w:tr>
      <w:tr w:rsidR="005A7DFE" w:rsidTr="00E20796">
        <w:trPr>
          <w:trHeight w:val="283"/>
        </w:trPr>
        <w:tc>
          <w:tcPr>
            <w:tcW w:w="4268" w:type="dxa"/>
            <w:vAlign w:val="center"/>
          </w:tcPr>
          <w:p w:rsidR="005A7DFE" w:rsidRPr="004436E1" w:rsidRDefault="005A7DFE" w:rsidP="00325BCA">
            <w:pPr>
              <w:widowControl/>
              <w:adjustRightInd w:val="0"/>
              <w:snapToGrid w:val="0"/>
              <w:spacing w:line="360" w:lineRule="auto"/>
              <w:textAlignment w:val="center"/>
              <w:rPr>
                <w:rFonts w:ascii="宋体" w:hAnsi="宋体" w:cs="宋体"/>
                <w:color w:val="000000"/>
                <w:kern w:val="0"/>
                <w:sz w:val="22"/>
              </w:rPr>
            </w:pPr>
            <w:r w:rsidRPr="004436E1">
              <w:rPr>
                <w:rFonts w:ascii="宋体" w:hAnsi="宋体" w:cs="宋体" w:hint="eastAsia"/>
                <w:color w:val="000000"/>
                <w:kern w:val="0"/>
                <w:sz w:val="22"/>
              </w:rPr>
              <w:t>兴业龙腾双益平衡混合型证券投资基金</w:t>
            </w:r>
          </w:p>
        </w:tc>
        <w:tc>
          <w:tcPr>
            <w:tcW w:w="3402" w:type="dxa"/>
            <w:vAlign w:val="center"/>
          </w:tcPr>
          <w:p w:rsidR="005A7DFE" w:rsidRDefault="005A7DFE" w:rsidP="00325BCA">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兴业龙腾双益平衡混合</w:t>
            </w:r>
          </w:p>
        </w:tc>
        <w:tc>
          <w:tcPr>
            <w:tcW w:w="1417" w:type="dxa"/>
            <w:vAlign w:val="center"/>
          </w:tcPr>
          <w:p w:rsidR="005A7DFE" w:rsidRDefault="005A7DFE" w:rsidP="00325BCA">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005706</w:t>
            </w:r>
          </w:p>
        </w:tc>
      </w:tr>
      <w:tr w:rsidR="005A7DFE" w:rsidTr="00E20796">
        <w:trPr>
          <w:trHeight w:val="283"/>
        </w:trPr>
        <w:tc>
          <w:tcPr>
            <w:tcW w:w="4268" w:type="dxa"/>
            <w:vAlign w:val="center"/>
          </w:tcPr>
          <w:p w:rsidR="005A7DFE" w:rsidRPr="004436E1" w:rsidRDefault="006934DC" w:rsidP="00325BCA">
            <w:pPr>
              <w:widowControl/>
              <w:adjustRightInd w:val="0"/>
              <w:snapToGrid w:val="0"/>
              <w:spacing w:line="360" w:lineRule="auto"/>
              <w:textAlignment w:val="center"/>
              <w:rPr>
                <w:rFonts w:ascii="宋体" w:hAnsi="宋体" w:cs="宋体"/>
                <w:color w:val="000000"/>
                <w:kern w:val="0"/>
                <w:sz w:val="22"/>
              </w:rPr>
            </w:pPr>
            <w:r w:rsidRPr="006934DC">
              <w:rPr>
                <w:rFonts w:ascii="宋体" w:hAnsi="宋体" w:cs="宋体" w:hint="eastAsia"/>
                <w:color w:val="000000"/>
                <w:kern w:val="0"/>
                <w:sz w:val="22"/>
              </w:rPr>
              <w:t>兴业中证国有企业改革指数增强型证券投资基金</w:t>
            </w:r>
          </w:p>
        </w:tc>
        <w:tc>
          <w:tcPr>
            <w:tcW w:w="3402" w:type="dxa"/>
            <w:vAlign w:val="center"/>
          </w:tcPr>
          <w:p w:rsidR="005A7DFE" w:rsidRDefault="006934DC" w:rsidP="00325BCA">
            <w:pPr>
              <w:widowControl/>
              <w:adjustRightInd w:val="0"/>
              <w:snapToGrid w:val="0"/>
              <w:spacing w:line="360" w:lineRule="auto"/>
              <w:textAlignment w:val="center"/>
              <w:rPr>
                <w:rFonts w:ascii="宋体" w:hAnsi="宋体" w:cs="宋体"/>
                <w:color w:val="000000"/>
                <w:kern w:val="0"/>
                <w:sz w:val="22"/>
              </w:rPr>
            </w:pPr>
            <w:r w:rsidRPr="006934DC">
              <w:rPr>
                <w:rFonts w:ascii="宋体" w:hAnsi="宋体" w:cs="宋体" w:hint="eastAsia"/>
                <w:color w:val="000000"/>
                <w:kern w:val="0"/>
                <w:sz w:val="22"/>
              </w:rPr>
              <w:t>兴业中证国有企业改革指数增强A</w:t>
            </w:r>
          </w:p>
        </w:tc>
        <w:tc>
          <w:tcPr>
            <w:tcW w:w="1417" w:type="dxa"/>
            <w:vAlign w:val="center"/>
          </w:tcPr>
          <w:p w:rsidR="005A7DFE" w:rsidRDefault="005A7DFE" w:rsidP="00325BCA">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005339</w:t>
            </w:r>
          </w:p>
        </w:tc>
      </w:tr>
      <w:tr w:rsidR="005A7DFE" w:rsidTr="00E20796">
        <w:trPr>
          <w:trHeight w:val="283"/>
        </w:trPr>
        <w:tc>
          <w:tcPr>
            <w:tcW w:w="4268" w:type="dxa"/>
            <w:vAlign w:val="center"/>
          </w:tcPr>
          <w:p w:rsidR="005A7DFE" w:rsidRPr="004436E1" w:rsidRDefault="005A7DFE" w:rsidP="00325BCA">
            <w:pPr>
              <w:widowControl/>
              <w:adjustRightInd w:val="0"/>
              <w:snapToGrid w:val="0"/>
              <w:spacing w:line="360" w:lineRule="auto"/>
              <w:textAlignment w:val="center"/>
              <w:rPr>
                <w:rFonts w:ascii="宋体" w:hAnsi="宋体" w:cs="宋体"/>
                <w:color w:val="000000"/>
                <w:kern w:val="0"/>
                <w:sz w:val="22"/>
              </w:rPr>
            </w:pPr>
            <w:r w:rsidRPr="004436E1">
              <w:rPr>
                <w:rFonts w:ascii="宋体" w:hAnsi="宋体" w:cs="宋体" w:hint="eastAsia"/>
                <w:color w:val="000000"/>
                <w:kern w:val="0"/>
                <w:sz w:val="22"/>
              </w:rPr>
              <w:t>兴业机遇债券型证券投资基金</w:t>
            </w:r>
          </w:p>
        </w:tc>
        <w:tc>
          <w:tcPr>
            <w:tcW w:w="3402" w:type="dxa"/>
            <w:vAlign w:val="center"/>
          </w:tcPr>
          <w:p w:rsidR="005A7DFE" w:rsidRDefault="005A7DFE" w:rsidP="00325BCA">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兴业机遇债券</w:t>
            </w:r>
            <w:r>
              <w:rPr>
                <w:rFonts w:ascii="宋体" w:hAnsi="宋体" w:cs="宋体" w:hint="eastAsia"/>
                <w:color w:val="000000"/>
                <w:sz w:val="22"/>
              </w:rPr>
              <w:t>A</w:t>
            </w:r>
          </w:p>
        </w:tc>
        <w:tc>
          <w:tcPr>
            <w:tcW w:w="1417" w:type="dxa"/>
            <w:vAlign w:val="center"/>
          </w:tcPr>
          <w:p w:rsidR="005A7DFE" w:rsidRDefault="005A7DFE" w:rsidP="00325BCA">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005717</w:t>
            </w:r>
          </w:p>
        </w:tc>
      </w:tr>
      <w:tr w:rsidR="002448F9" w:rsidTr="00E20796">
        <w:trPr>
          <w:trHeight w:val="283"/>
        </w:trPr>
        <w:tc>
          <w:tcPr>
            <w:tcW w:w="4268" w:type="dxa"/>
            <w:vMerge w:val="restart"/>
            <w:vAlign w:val="center"/>
          </w:tcPr>
          <w:p w:rsidR="002448F9" w:rsidRPr="004436E1" w:rsidRDefault="002448F9" w:rsidP="00325BCA">
            <w:pPr>
              <w:widowControl/>
              <w:adjustRightInd w:val="0"/>
              <w:snapToGrid w:val="0"/>
              <w:spacing w:line="360" w:lineRule="auto"/>
              <w:textAlignment w:val="center"/>
              <w:rPr>
                <w:rFonts w:ascii="宋体" w:hAnsi="宋体" w:cs="宋体"/>
                <w:color w:val="000000"/>
                <w:sz w:val="22"/>
              </w:rPr>
            </w:pPr>
            <w:r w:rsidRPr="005A7DFE">
              <w:rPr>
                <w:rFonts w:ascii="宋体" w:hAnsi="宋体" w:cs="宋体" w:hint="eastAsia"/>
                <w:color w:val="000000"/>
                <w:kern w:val="0"/>
                <w:sz w:val="22"/>
              </w:rPr>
              <w:lastRenderedPageBreak/>
              <w:t>兴业聚华混合型证券投资基金</w:t>
            </w:r>
          </w:p>
        </w:tc>
        <w:tc>
          <w:tcPr>
            <w:tcW w:w="3402" w:type="dxa"/>
            <w:vMerge w:val="restart"/>
            <w:vAlign w:val="center"/>
          </w:tcPr>
          <w:p w:rsidR="002448F9" w:rsidRDefault="002448F9" w:rsidP="00325BCA">
            <w:pPr>
              <w:widowControl/>
              <w:adjustRightInd w:val="0"/>
              <w:snapToGrid w:val="0"/>
              <w:spacing w:line="360" w:lineRule="auto"/>
              <w:textAlignment w:val="center"/>
              <w:rPr>
                <w:rFonts w:ascii="宋体" w:hAnsi="宋体" w:cs="宋体"/>
                <w:color w:val="000000"/>
                <w:sz w:val="22"/>
              </w:rPr>
            </w:pPr>
            <w:r w:rsidRPr="002448F9">
              <w:rPr>
                <w:rFonts w:ascii="宋体" w:hAnsi="宋体" w:cs="宋体" w:hint="eastAsia"/>
                <w:color w:val="000000"/>
                <w:kern w:val="0"/>
                <w:sz w:val="22"/>
              </w:rPr>
              <w:t>兴业聚华混合A</w:t>
            </w:r>
            <w:r>
              <w:rPr>
                <w:rFonts w:ascii="宋体" w:hAnsi="宋体" w:cs="宋体" w:hint="eastAsia"/>
                <w:color w:val="000000"/>
                <w:sz w:val="22"/>
              </w:rPr>
              <w:t>/C</w:t>
            </w:r>
          </w:p>
        </w:tc>
        <w:tc>
          <w:tcPr>
            <w:tcW w:w="1417" w:type="dxa"/>
            <w:vAlign w:val="center"/>
          </w:tcPr>
          <w:p w:rsidR="002448F9" w:rsidRDefault="00390FE5" w:rsidP="00325BCA">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A类：</w:t>
            </w:r>
            <w:r w:rsidR="002448F9" w:rsidRPr="002448F9">
              <w:rPr>
                <w:rFonts w:ascii="宋体" w:hAnsi="宋体" w:cs="宋体"/>
                <w:color w:val="000000"/>
                <w:sz w:val="22"/>
              </w:rPr>
              <w:t>005984</w:t>
            </w:r>
          </w:p>
        </w:tc>
      </w:tr>
      <w:tr w:rsidR="002448F9" w:rsidTr="00E20796">
        <w:trPr>
          <w:trHeight w:val="283"/>
        </w:trPr>
        <w:tc>
          <w:tcPr>
            <w:tcW w:w="4268" w:type="dxa"/>
            <w:vMerge/>
            <w:vAlign w:val="center"/>
          </w:tcPr>
          <w:p w:rsidR="002448F9" w:rsidRPr="004436E1" w:rsidRDefault="002448F9" w:rsidP="00325BCA">
            <w:pPr>
              <w:widowControl/>
              <w:adjustRightInd w:val="0"/>
              <w:snapToGrid w:val="0"/>
              <w:spacing w:line="360" w:lineRule="auto"/>
              <w:textAlignment w:val="center"/>
              <w:rPr>
                <w:rFonts w:ascii="宋体" w:hAnsi="宋体" w:cs="宋体"/>
                <w:color w:val="000000"/>
                <w:sz w:val="22"/>
              </w:rPr>
            </w:pPr>
          </w:p>
        </w:tc>
        <w:tc>
          <w:tcPr>
            <w:tcW w:w="3402" w:type="dxa"/>
            <w:vMerge/>
            <w:vAlign w:val="center"/>
          </w:tcPr>
          <w:p w:rsidR="002448F9" w:rsidRDefault="002448F9" w:rsidP="00325BCA">
            <w:pPr>
              <w:widowControl/>
              <w:adjustRightInd w:val="0"/>
              <w:snapToGrid w:val="0"/>
              <w:spacing w:line="360" w:lineRule="auto"/>
              <w:textAlignment w:val="center"/>
              <w:rPr>
                <w:rFonts w:ascii="宋体" w:hAnsi="宋体" w:cs="宋体"/>
                <w:color w:val="000000"/>
                <w:sz w:val="22"/>
              </w:rPr>
            </w:pPr>
          </w:p>
        </w:tc>
        <w:tc>
          <w:tcPr>
            <w:tcW w:w="1417" w:type="dxa"/>
            <w:vAlign w:val="center"/>
          </w:tcPr>
          <w:p w:rsidR="002448F9" w:rsidRDefault="00390FE5" w:rsidP="00325BCA">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C类：</w:t>
            </w:r>
            <w:r w:rsidR="002448F9" w:rsidRPr="002448F9">
              <w:rPr>
                <w:rFonts w:ascii="宋体" w:hAnsi="宋体" w:cs="宋体"/>
                <w:color w:val="000000"/>
                <w:sz w:val="22"/>
              </w:rPr>
              <w:t>005985</w:t>
            </w:r>
          </w:p>
        </w:tc>
      </w:tr>
      <w:tr w:rsidR="006934DC" w:rsidTr="00E20796">
        <w:trPr>
          <w:trHeight w:val="283"/>
        </w:trPr>
        <w:tc>
          <w:tcPr>
            <w:tcW w:w="4268" w:type="dxa"/>
            <w:vAlign w:val="center"/>
          </w:tcPr>
          <w:p w:rsidR="006934DC" w:rsidRPr="004436E1" w:rsidRDefault="00571BE3" w:rsidP="00325BCA">
            <w:pPr>
              <w:widowControl/>
              <w:adjustRightInd w:val="0"/>
              <w:snapToGrid w:val="0"/>
              <w:spacing w:line="360" w:lineRule="auto"/>
              <w:textAlignment w:val="center"/>
              <w:rPr>
                <w:rFonts w:ascii="宋体" w:hAnsi="宋体" w:cs="宋体"/>
                <w:color w:val="000000"/>
                <w:kern w:val="0"/>
                <w:sz w:val="22"/>
              </w:rPr>
            </w:pPr>
            <w:r w:rsidRPr="00571BE3">
              <w:rPr>
                <w:rFonts w:ascii="宋体" w:hAnsi="宋体" w:cs="宋体" w:hint="eastAsia"/>
                <w:color w:val="000000"/>
                <w:kern w:val="0"/>
                <w:sz w:val="22"/>
              </w:rPr>
              <w:t>兴业安润货币市场基金</w:t>
            </w:r>
          </w:p>
        </w:tc>
        <w:tc>
          <w:tcPr>
            <w:tcW w:w="3402" w:type="dxa"/>
            <w:vAlign w:val="center"/>
          </w:tcPr>
          <w:p w:rsidR="006934DC" w:rsidRDefault="006934DC" w:rsidP="00325BCA">
            <w:pPr>
              <w:widowControl/>
              <w:adjustRightInd w:val="0"/>
              <w:snapToGrid w:val="0"/>
              <w:spacing w:line="360" w:lineRule="auto"/>
              <w:textAlignment w:val="center"/>
              <w:rPr>
                <w:rFonts w:ascii="宋体" w:hAnsi="宋体" w:cs="宋体"/>
                <w:color w:val="000000"/>
                <w:kern w:val="0"/>
                <w:sz w:val="22"/>
              </w:rPr>
            </w:pPr>
            <w:r w:rsidRPr="006934DC">
              <w:rPr>
                <w:rFonts w:ascii="宋体" w:hAnsi="宋体" w:cs="宋体" w:hint="eastAsia"/>
                <w:color w:val="000000"/>
                <w:kern w:val="0"/>
                <w:sz w:val="22"/>
              </w:rPr>
              <w:t>兴业安润货币A</w:t>
            </w:r>
          </w:p>
        </w:tc>
        <w:tc>
          <w:tcPr>
            <w:tcW w:w="1417" w:type="dxa"/>
            <w:vAlign w:val="center"/>
          </w:tcPr>
          <w:p w:rsidR="006934DC" w:rsidRDefault="00571BE3" w:rsidP="00325BCA">
            <w:pPr>
              <w:widowControl/>
              <w:adjustRightInd w:val="0"/>
              <w:snapToGrid w:val="0"/>
              <w:spacing w:line="360" w:lineRule="auto"/>
              <w:textAlignment w:val="center"/>
              <w:rPr>
                <w:rFonts w:ascii="宋体" w:hAnsi="宋体" w:cs="宋体"/>
                <w:color w:val="000000"/>
                <w:sz w:val="22"/>
              </w:rPr>
            </w:pPr>
            <w:r w:rsidRPr="00571BE3">
              <w:rPr>
                <w:rFonts w:ascii="宋体" w:hAnsi="宋体" w:cs="宋体"/>
                <w:color w:val="000000"/>
                <w:sz w:val="22"/>
              </w:rPr>
              <w:t>004216</w:t>
            </w:r>
          </w:p>
        </w:tc>
      </w:tr>
      <w:tr w:rsidR="005A7DFE" w:rsidTr="00E20796">
        <w:trPr>
          <w:trHeight w:val="283"/>
        </w:trPr>
        <w:tc>
          <w:tcPr>
            <w:tcW w:w="4268" w:type="dxa"/>
            <w:vAlign w:val="center"/>
          </w:tcPr>
          <w:p w:rsidR="005A7DFE" w:rsidRPr="004436E1" w:rsidRDefault="005A7DFE" w:rsidP="00325BCA">
            <w:pPr>
              <w:widowControl/>
              <w:adjustRightInd w:val="0"/>
              <w:snapToGrid w:val="0"/>
              <w:spacing w:line="360" w:lineRule="auto"/>
              <w:textAlignment w:val="center"/>
              <w:rPr>
                <w:rFonts w:ascii="宋体" w:hAnsi="宋体" w:cs="宋体"/>
                <w:color w:val="000000"/>
                <w:sz w:val="22"/>
              </w:rPr>
            </w:pPr>
            <w:r w:rsidRPr="004436E1">
              <w:rPr>
                <w:rFonts w:ascii="宋体" w:hAnsi="宋体" w:cs="宋体" w:hint="eastAsia"/>
                <w:color w:val="000000"/>
                <w:kern w:val="0"/>
                <w:sz w:val="22"/>
              </w:rPr>
              <w:t>兴业成长动力灵活配置混合型证券投资基金</w:t>
            </w:r>
          </w:p>
        </w:tc>
        <w:tc>
          <w:tcPr>
            <w:tcW w:w="3402" w:type="dxa"/>
            <w:vAlign w:val="center"/>
          </w:tcPr>
          <w:p w:rsidR="005A7DFE" w:rsidRDefault="005A7DFE" w:rsidP="00325BCA">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兴业成长动力混合</w:t>
            </w:r>
          </w:p>
        </w:tc>
        <w:tc>
          <w:tcPr>
            <w:tcW w:w="1417" w:type="dxa"/>
            <w:vAlign w:val="center"/>
          </w:tcPr>
          <w:p w:rsidR="005A7DFE" w:rsidRDefault="005A7DFE" w:rsidP="00325BCA">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002597</w:t>
            </w:r>
          </w:p>
        </w:tc>
      </w:tr>
      <w:tr w:rsidR="005A7DFE" w:rsidTr="00E20796">
        <w:trPr>
          <w:trHeight w:val="283"/>
        </w:trPr>
        <w:tc>
          <w:tcPr>
            <w:tcW w:w="4268" w:type="dxa"/>
            <w:vAlign w:val="center"/>
          </w:tcPr>
          <w:p w:rsidR="005A7DFE" w:rsidRPr="004436E1" w:rsidRDefault="005A7DFE" w:rsidP="00325BCA">
            <w:pPr>
              <w:widowControl/>
              <w:adjustRightInd w:val="0"/>
              <w:snapToGrid w:val="0"/>
              <w:spacing w:line="360" w:lineRule="auto"/>
              <w:textAlignment w:val="center"/>
              <w:rPr>
                <w:rFonts w:ascii="宋体" w:hAnsi="宋体" w:cs="宋体"/>
                <w:color w:val="000000"/>
                <w:kern w:val="0"/>
                <w:sz w:val="22"/>
              </w:rPr>
            </w:pPr>
            <w:r w:rsidRPr="004436E1">
              <w:rPr>
                <w:rFonts w:ascii="宋体" w:hAnsi="宋体" w:cs="宋体" w:hint="eastAsia"/>
                <w:color w:val="000000"/>
                <w:kern w:val="0"/>
                <w:sz w:val="22"/>
              </w:rPr>
              <w:t>兴业安保优选混合型证券投资基金</w:t>
            </w:r>
          </w:p>
        </w:tc>
        <w:tc>
          <w:tcPr>
            <w:tcW w:w="3402" w:type="dxa"/>
            <w:vAlign w:val="center"/>
          </w:tcPr>
          <w:p w:rsidR="005A7DFE" w:rsidRDefault="005A7DFE" w:rsidP="00325BCA">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兴业安保优选混合</w:t>
            </w:r>
          </w:p>
        </w:tc>
        <w:tc>
          <w:tcPr>
            <w:tcW w:w="1417" w:type="dxa"/>
            <w:vAlign w:val="center"/>
          </w:tcPr>
          <w:p w:rsidR="005A7DFE" w:rsidRDefault="005A7DFE" w:rsidP="00325BCA">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006366</w:t>
            </w:r>
          </w:p>
        </w:tc>
      </w:tr>
    </w:tbl>
    <w:p w:rsidR="001E497A" w:rsidRDefault="00AD7E92" w:rsidP="00325BCA">
      <w:pPr>
        <w:widowControl/>
        <w:shd w:val="clear" w:color="auto" w:fill="FFFFFF"/>
        <w:adjustRightInd w:val="0"/>
        <w:snapToGrid w:val="0"/>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 xml:space="preserve"> </w:t>
      </w:r>
      <w:r w:rsidR="004C7003">
        <w:rPr>
          <w:rFonts w:ascii="宋体" w:hAnsi="宋体" w:cs="宋体" w:hint="eastAsia"/>
          <w:color w:val="000000"/>
          <w:kern w:val="0"/>
          <w:sz w:val="24"/>
          <w:szCs w:val="24"/>
        </w:rPr>
        <w:t>(注：投资者可通过</w:t>
      </w:r>
      <w:r w:rsidR="00E20796">
        <w:rPr>
          <w:rFonts w:ascii="宋体" w:hAnsi="宋体" w:cs="宋体" w:hint="eastAsia"/>
          <w:color w:val="000000"/>
          <w:kern w:val="0"/>
          <w:sz w:val="24"/>
          <w:szCs w:val="24"/>
        </w:rPr>
        <w:t>兴业证券</w:t>
      </w:r>
      <w:r w:rsidR="004C7003">
        <w:rPr>
          <w:rFonts w:ascii="宋体" w:hAnsi="宋体" w:cs="宋体" w:hint="eastAsia"/>
          <w:color w:val="000000"/>
          <w:kern w:val="0"/>
          <w:sz w:val="24"/>
          <w:szCs w:val="24"/>
        </w:rPr>
        <w:t>经营网点或网上交易平台申请办理上述基金的定投业务，每期最低定投金额与产品</w:t>
      </w:r>
      <w:r w:rsidR="00284FF3">
        <w:rPr>
          <w:rFonts w:ascii="宋体" w:hAnsi="宋体" w:cs="宋体" w:hint="eastAsia"/>
          <w:color w:val="000000"/>
          <w:kern w:val="0"/>
          <w:sz w:val="24"/>
          <w:szCs w:val="24"/>
        </w:rPr>
        <w:t>首次申购</w:t>
      </w:r>
      <w:r w:rsidR="00E00255">
        <w:rPr>
          <w:rFonts w:ascii="宋体" w:hAnsi="宋体" w:cs="宋体" w:hint="eastAsia"/>
          <w:color w:val="000000"/>
          <w:kern w:val="0"/>
          <w:sz w:val="24"/>
          <w:szCs w:val="24"/>
        </w:rPr>
        <w:t>起点保持一致。如销售机构对最低定投金额有其他规定的，</w:t>
      </w:r>
      <w:r w:rsidR="00C47B0F">
        <w:rPr>
          <w:rFonts w:ascii="宋体" w:hAnsi="宋体" w:cs="宋体" w:hint="eastAsia"/>
          <w:color w:val="000000"/>
          <w:kern w:val="0"/>
          <w:sz w:val="24"/>
          <w:szCs w:val="24"/>
        </w:rPr>
        <w:t>在不低于产品首次申购起点前提下</w:t>
      </w:r>
      <w:r w:rsidR="004C7003">
        <w:rPr>
          <w:rFonts w:ascii="宋体" w:hAnsi="宋体" w:cs="宋体" w:hint="eastAsia"/>
          <w:color w:val="000000"/>
          <w:kern w:val="0"/>
          <w:sz w:val="24"/>
          <w:szCs w:val="24"/>
        </w:rPr>
        <w:t>以销售机构的业务规定为准。)</w:t>
      </w:r>
    </w:p>
    <w:p w:rsidR="001E497A" w:rsidRDefault="001E497A" w:rsidP="00325BCA">
      <w:pPr>
        <w:widowControl/>
        <w:shd w:val="clear" w:color="auto" w:fill="FFFFFF"/>
        <w:adjustRightInd w:val="0"/>
        <w:snapToGrid w:val="0"/>
        <w:spacing w:line="360" w:lineRule="auto"/>
        <w:jc w:val="left"/>
        <w:rPr>
          <w:rFonts w:ascii="宋体" w:hAnsi="宋体" w:cs="宋体"/>
          <w:color w:val="000000"/>
          <w:kern w:val="0"/>
          <w:sz w:val="24"/>
          <w:szCs w:val="24"/>
        </w:rPr>
      </w:pPr>
    </w:p>
    <w:p w:rsidR="001E497A" w:rsidRDefault="004C7003" w:rsidP="00325BCA">
      <w:pPr>
        <w:widowControl/>
        <w:numPr>
          <w:ilvl w:val="1"/>
          <w:numId w:val="2"/>
        </w:numPr>
        <w:shd w:val="clear" w:color="auto" w:fill="FFFFFF"/>
        <w:adjustRightInd w:val="0"/>
        <w:snapToGrid w:val="0"/>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开通基金转换业务范围，开通的基金转换业务适用于本公司旗下以下基金之间的转换（同一基金不同类别基金份额间不开放相互转换业务）:</w:t>
      </w:r>
    </w:p>
    <w:tbl>
      <w:tblPr>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4306"/>
        <w:gridCol w:w="3364"/>
        <w:gridCol w:w="1559"/>
      </w:tblGrid>
      <w:tr w:rsidR="001E497A" w:rsidTr="00325BCA">
        <w:trPr>
          <w:trHeight w:val="283"/>
        </w:trPr>
        <w:tc>
          <w:tcPr>
            <w:tcW w:w="4306" w:type="dxa"/>
            <w:vAlign w:val="center"/>
          </w:tcPr>
          <w:p w:rsidR="001E497A" w:rsidRDefault="004C7003" w:rsidP="00325BCA">
            <w:pPr>
              <w:widowControl/>
              <w:adjustRightInd w:val="0"/>
              <w:snapToGrid w:val="0"/>
              <w:spacing w:line="360" w:lineRule="auto"/>
              <w:jc w:val="center"/>
              <w:textAlignment w:val="top"/>
              <w:rPr>
                <w:rFonts w:ascii="宋体" w:hAnsi="宋体" w:cs="宋体"/>
                <w:b/>
                <w:color w:val="000000"/>
                <w:sz w:val="22"/>
              </w:rPr>
            </w:pPr>
            <w:r>
              <w:rPr>
                <w:rFonts w:ascii="宋体" w:hAnsi="宋体" w:cs="宋体" w:hint="eastAsia"/>
                <w:b/>
                <w:color w:val="000000"/>
                <w:kern w:val="0"/>
                <w:sz w:val="22"/>
              </w:rPr>
              <w:t>基金名称</w:t>
            </w:r>
          </w:p>
        </w:tc>
        <w:tc>
          <w:tcPr>
            <w:tcW w:w="3364" w:type="dxa"/>
            <w:vAlign w:val="center"/>
          </w:tcPr>
          <w:p w:rsidR="001E497A" w:rsidRDefault="004C7003" w:rsidP="00325BCA">
            <w:pPr>
              <w:widowControl/>
              <w:adjustRightInd w:val="0"/>
              <w:snapToGrid w:val="0"/>
              <w:spacing w:line="360" w:lineRule="auto"/>
              <w:jc w:val="center"/>
              <w:textAlignment w:val="top"/>
              <w:rPr>
                <w:rFonts w:ascii="宋体" w:hAnsi="宋体" w:cs="宋体"/>
                <w:b/>
                <w:color w:val="000000"/>
                <w:sz w:val="22"/>
              </w:rPr>
            </w:pPr>
            <w:r>
              <w:rPr>
                <w:rFonts w:ascii="宋体" w:hAnsi="宋体" w:cs="宋体" w:hint="eastAsia"/>
                <w:b/>
                <w:color w:val="000000"/>
                <w:kern w:val="0"/>
                <w:sz w:val="22"/>
              </w:rPr>
              <w:t>基金简称</w:t>
            </w:r>
          </w:p>
        </w:tc>
        <w:tc>
          <w:tcPr>
            <w:tcW w:w="1559" w:type="dxa"/>
            <w:vAlign w:val="center"/>
          </w:tcPr>
          <w:p w:rsidR="001E497A" w:rsidRDefault="004C7003" w:rsidP="00325BCA">
            <w:pPr>
              <w:widowControl/>
              <w:adjustRightInd w:val="0"/>
              <w:snapToGrid w:val="0"/>
              <w:spacing w:line="360" w:lineRule="auto"/>
              <w:jc w:val="center"/>
              <w:textAlignment w:val="top"/>
              <w:rPr>
                <w:rFonts w:ascii="宋体" w:hAnsi="宋体" w:cs="宋体"/>
                <w:b/>
                <w:color w:val="000000"/>
                <w:sz w:val="22"/>
              </w:rPr>
            </w:pPr>
            <w:r>
              <w:rPr>
                <w:rFonts w:ascii="宋体" w:hAnsi="宋体" w:cs="宋体" w:hint="eastAsia"/>
                <w:b/>
                <w:color w:val="000000"/>
                <w:kern w:val="0"/>
                <w:sz w:val="22"/>
              </w:rPr>
              <w:t>基金代码</w:t>
            </w:r>
          </w:p>
        </w:tc>
      </w:tr>
      <w:tr w:rsidR="001E497A" w:rsidTr="00E20796">
        <w:trPr>
          <w:trHeight w:val="283"/>
        </w:trPr>
        <w:tc>
          <w:tcPr>
            <w:tcW w:w="4306" w:type="dxa"/>
            <w:vMerge w:val="restart"/>
            <w:vAlign w:val="center"/>
          </w:tcPr>
          <w:p w:rsidR="001E497A" w:rsidRDefault="004C7003" w:rsidP="00325BCA">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兴业定期开放债券型证券投资基金</w:t>
            </w:r>
          </w:p>
        </w:tc>
        <w:tc>
          <w:tcPr>
            <w:tcW w:w="3364" w:type="dxa"/>
            <w:vMerge w:val="restart"/>
            <w:vAlign w:val="center"/>
          </w:tcPr>
          <w:p w:rsidR="001E497A" w:rsidRDefault="004C7003" w:rsidP="00325BCA">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兴业定开债券A/C</w:t>
            </w:r>
          </w:p>
        </w:tc>
        <w:tc>
          <w:tcPr>
            <w:tcW w:w="1559" w:type="dxa"/>
            <w:vAlign w:val="center"/>
          </w:tcPr>
          <w:p w:rsidR="001E497A" w:rsidRDefault="004C7003" w:rsidP="00325BCA">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A类：000546</w:t>
            </w:r>
          </w:p>
        </w:tc>
      </w:tr>
      <w:tr w:rsidR="001E497A" w:rsidTr="00E20796">
        <w:trPr>
          <w:trHeight w:val="283"/>
        </w:trPr>
        <w:tc>
          <w:tcPr>
            <w:tcW w:w="4306" w:type="dxa"/>
            <w:vMerge/>
            <w:vAlign w:val="center"/>
          </w:tcPr>
          <w:p w:rsidR="001E497A" w:rsidRDefault="001E497A" w:rsidP="00325BCA">
            <w:pPr>
              <w:adjustRightInd w:val="0"/>
              <w:snapToGrid w:val="0"/>
              <w:spacing w:line="360" w:lineRule="auto"/>
              <w:rPr>
                <w:rFonts w:ascii="宋体" w:hAnsi="宋体" w:cs="宋体"/>
                <w:color w:val="000000"/>
                <w:sz w:val="22"/>
              </w:rPr>
            </w:pPr>
          </w:p>
        </w:tc>
        <w:tc>
          <w:tcPr>
            <w:tcW w:w="3364" w:type="dxa"/>
            <w:vMerge/>
            <w:vAlign w:val="center"/>
          </w:tcPr>
          <w:p w:rsidR="001E497A" w:rsidRDefault="001E497A" w:rsidP="00325BCA">
            <w:pPr>
              <w:adjustRightInd w:val="0"/>
              <w:snapToGrid w:val="0"/>
              <w:spacing w:line="360" w:lineRule="auto"/>
              <w:rPr>
                <w:rFonts w:ascii="宋体" w:hAnsi="宋体" w:cs="宋体"/>
                <w:color w:val="000000"/>
                <w:sz w:val="22"/>
              </w:rPr>
            </w:pPr>
          </w:p>
        </w:tc>
        <w:tc>
          <w:tcPr>
            <w:tcW w:w="1559" w:type="dxa"/>
            <w:vAlign w:val="center"/>
          </w:tcPr>
          <w:p w:rsidR="001E497A" w:rsidRDefault="004C7003" w:rsidP="00325BCA">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C类：002507</w:t>
            </w:r>
          </w:p>
        </w:tc>
      </w:tr>
      <w:tr w:rsidR="004436E1" w:rsidTr="00E20796">
        <w:trPr>
          <w:trHeight w:val="283"/>
        </w:trPr>
        <w:tc>
          <w:tcPr>
            <w:tcW w:w="4306" w:type="dxa"/>
            <w:vMerge w:val="restart"/>
            <w:vAlign w:val="center"/>
          </w:tcPr>
          <w:p w:rsidR="004436E1" w:rsidRDefault="004436E1" w:rsidP="00325BCA">
            <w:pPr>
              <w:widowControl/>
              <w:adjustRightInd w:val="0"/>
              <w:snapToGrid w:val="0"/>
              <w:spacing w:line="360" w:lineRule="auto"/>
              <w:textAlignment w:val="center"/>
              <w:rPr>
                <w:rFonts w:ascii="宋体" w:hAnsi="宋体" w:cs="宋体"/>
                <w:color w:val="000000"/>
                <w:kern w:val="0"/>
                <w:sz w:val="22"/>
              </w:rPr>
            </w:pPr>
            <w:r w:rsidRPr="00E20796">
              <w:rPr>
                <w:rFonts w:ascii="宋体" w:hAnsi="宋体" w:cs="宋体" w:hint="eastAsia"/>
                <w:color w:val="000000"/>
                <w:kern w:val="0"/>
                <w:sz w:val="22"/>
              </w:rPr>
              <w:t>兴业收益增强债券型证券投资基金</w:t>
            </w:r>
          </w:p>
        </w:tc>
        <w:tc>
          <w:tcPr>
            <w:tcW w:w="3364" w:type="dxa"/>
            <w:vMerge w:val="restart"/>
            <w:vAlign w:val="center"/>
          </w:tcPr>
          <w:p w:rsidR="004436E1" w:rsidRDefault="004436E1" w:rsidP="00325BCA">
            <w:pPr>
              <w:widowControl/>
              <w:adjustRightInd w:val="0"/>
              <w:snapToGrid w:val="0"/>
              <w:spacing w:line="360" w:lineRule="auto"/>
              <w:textAlignment w:val="center"/>
              <w:rPr>
                <w:rFonts w:ascii="宋体" w:hAnsi="宋体" w:cs="宋体"/>
                <w:color w:val="000000"/>
                <w:sz w:val="22"/>
              </w:rPr>
            </w:pPr>
            <w:r w:rsidRPr="00E20796">
              <w:rPr>
                <w:rFonts w:ascii="宋体" w:hAnsi="宋体" w:cs="宋体" w:hint="eastAsia"/>
                <w:color w:val="000000"/>
                <w:sz w:val="22"/>
              </w:rPr>
              <w:t>兴业收益增强债券</w:t>
            </w:r>
            <w:r>
              <w:rPr>
                <w:rFonts w:ascii="宋体" w:hAnsi="宋体" w:cs="宋体" w:hint="eastAsia"/>
                <w:color w:val="000000"/>
                <w:sz w:val="22"/>
              </w:rPr>
              <w:t>A/C</w:t>
            </w:r>
          </w:p>
        </w:tc>
        <w:tc>
          <w:tcPr>
            <w:tcW w:w="1559" w:type="dxa"/>
            <w:vAlign w:val="center"/>
          </w:tcPr>
          <w:p w:rsidR="004436E1" w:rsidRDefault="004436E1" w:rsidP="00325BCA">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A类：</w:t>
            </w:r>
            <w:r w:rsidRPr="00E20796">
              <w:rPr>
                <w:rFonts w:ascii="宋体" w:hAnsi="宋体" w:cs="宋体"/>
                <w:color w:val="000000"/>
                <w:sz w:val="22"/>
              </w:rPr>
              <w:t>001257</w:t>
            </w:r>
          </w:p>
        </w:tc>
      </w:tr>
      <w:tr w:rsidR="004436E1" w:rsidTr="00E20796">
        <w:trPr>
          <w:trHeight w:val="283"/>
        </w:trPr>
        <w:tc>
          <w:tcPr>
            <w:tcW w:w="4306" w:type="dxa"/>
            <w:vMerge/>
            <w:vAlign w:val="center"/>
          </w:tcPr>
          <w:p w:rsidR="004436E1" w:rsidRPr="00E20796" w:rsidRDefault="004436E1" w:rsidP="00325BCA">
            <w:pPr>
              <w:widowControl/>
              <w:adjustRightInd w:val="0"/>
              <w:snapToGrid w:val="0"/>
              <w:spacing w:line="360" w:lineRule="auto"/>
              <w:textAlignment w:val="center"/>
              <w:rPr>
                <w:rFonts w:ascii="宋体" w:hAnsi="宋体" w:cs="宋体"/>
                <w:color w:val="000000"/>
                <w:kern w:val="0"/>
                <w:sz w:val="22"/>
              </w:rPr>
            </w:pPr>
          </w:p>
        </w:tc>
        <w:tc>
          <w:tcPr>
            <w:tcW w:w="3364" w:type="dxa"/>
            <w:vMerge/>
            <w:vAlign w:val="center"/>
          </w:tcPr>
          <w:p w:rsidR="004436E1" w:rsidRPr="00E20796" w:rsidRDefault="004436E1" w:rsidP="00325BCA">
            <w:pPr>
              <w:widowControl/>
              <w:adjustRightInd w:val="0"/>
              <w:snapToGrid w:val="0"/>
              <w:spacing w:line="360" w:lineRule="auto"/>
              <w:textAlignment w:val="center"/>
              <w:rPr>
                <w:rFonts w:ascii="宋体" w:hAnsi="宋体" w:cs="宋体"/>
                <w:color w:val="000000"/>
                <w:sz w:val="22"/>
              </w:rPr>
            </w:pPr>
          </w:p>
        </w:tc>
        <w:tc>
          <w:tcPr>
            <w:tcW w:w="1559" w:type="dxa"/>
            <w:vAlign w:val="center"/>
          </w:tcPr>
          <w:p w:rsidR="004436E1" w:rsidRDefault="004436E1" w:rsidP="00325BCA">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C类：</w:t>
            </w:r>
            <w:r w:rsidRPr="00E20796">
              <w:rPr>
                <w:rFonts w:ascii="宋体" w:hAnsi="宋体" w:cs="宋体"/>
                <w:color w:val="000000"/>
                <w:sz w:val="22"/>
              </w:rPr>
              <w:t>001258</w:t>
            </w:r>
          </w:p>
        </w:tc>
      </w:tr>
      <w:tr w:rsidR="004436E1" w:rsidTr="00E20796">
        <w:trPr>
          <w:trHeight w:val="283"/>
        </w:trPr>
        <w:tc>
          <w:tcPr>
            <w:tcW w:w="4306" w:type="dxa"/>
            <w:vMerge w:val="restart"/>
            <w:vAlign w:val="center"/>
          </w:tcPr>
          <w:p w:rsidR="004436E1" w:rsidRDefault="004436E1" w:rsidP="00325BCA">
            <w:pPr>
              <w:widowControl/>
              <w:adjustRightInd w:val="0"/>
              <w:snapToGrid w:val="0"/>
              <w:spacing w:line="360" w:lineRule="auto"/>
              <w:textAlignment w:val="center"/>
              <w:rPr>
                <w:rFonts w:ascii="宋体" w:hAnsi="宋体" w:cs="宋体"/>
                <w:color w:val="000000"/>
                <w:kern w:val="0"/>
                <w:sz w:val="22"/>
              </w:rPr>
            </w:pPr>
            <w:r w:rsidRPr="00E20796">
              <w:rPr>
                <w:rFonts w:ascii="宋体" w:hAnsi="宋体" w:cs="宋体" w:hint="eastAsia"/>
                <w:color w:val="000000"/>
                <w:kern w:val="0"/>
                <w:sz w:val="22"/>
              </w:rPr>
              <w:t>兴业聚鑫灵活配置混合型证券投资基金</w:t>
            </w:r>
          </w:p>
        </w:tc>
        <w:tc>
          <w:tcPr>
            <w:tcW w:w="3364" w:type="dxa"/>
            <w:vMerge w:val="restart"/>
            <w:vAlign w:val="center"/>
          </w:tcPr>
          <w:p w:rsidR="004436E1" w:rsidRDefault="004436E1" w:rsidP="00325BCA">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兴业聚鑫灵活配置混合A</w:t>
            </w:r>
            <w:r>
              <w:rPr>
                <w:rFonts w:ascii="宋体" w:hAnsi="宋体" w:cs="宋体" w:hint="eastAsia"/>
                <w:color w:val="000000"/>
                <w:sz w:val="22"/>
              </w:rPr>
              <w:t>/C</w:t>
            </w:r>
          </w:p>
        </w:tc>
        <w:tc>
          <w:tcPr>
            <w:tcW w:w="1559" w:type="dxa"/>
            <w:vAlign w:val="center"/>
          </w:tcPr>
          <w:p w:rsidR="004436E1" w:rsidRDefault="004436E1" w:rsidP="00325BCA">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A类：</w:t>
            </w:r>
            <w:r>
              <w:rPr>
                <w:rFonts w:ascii="宋体" w:hAnsi="宋体" w:cs="宋体" w:hint="eastAsia"/>
                <w:color w:val="000000"/>
                <w:sz w:val="22"/>
              </w:rPr>
              <w:t>002498</w:t>
            </w:r>
          </w:p>
        </w:tc>
      </w:tr>
      <w:tr w:rsidR="004436E1" w:rsidTr="00E20796">
        <w:trPr>
          <w:trHeight w:val="283"/>
        </w:trPr>
        <w:tc>
          <w:tcPr>
            <w:tcW w:w="4306" w:type="dxa"/>
            <w:vMerge/>
            <w:vAlign w:val="center"/>
          </w:tcPr>
          <w:p w:rsidR="004436E1" w:rsidRDefault="004436E1" w:rsidP="00325BCA">
            <w:pPr>
              <w:adjustRightInd w:val="0"/>
              <w:snapToGrid w:val="0"/>
              <w:spacing w:line="360" w:lineRule="auto"/>
              <w:rPr>
                <w:rFonts w:ascii="宋体" w:hAnsi="宋体" w:cs="宋体"/>
                <w:color w:val="000000"/>
                <w:sz w:val="22"/>
              </w:rPr>
            </w:pPr>
          </w:p>
        </w:tc>
        <w:tc>
          <w:tcPr>
            <w:tcW w:w="3364" w:type="dxa"/>
            <w:vMerge/>
            <w:vAlign w:val="center"/>
          </w:tcPr>
          <w:p w:rsidR="004436E1" w:rsidRDefault="004436E1" w:rsidP="00325BCA">
            <w:pPr>
              <w:adjustRightInd w:val="0"/>
              <w:snapToGrid w:val="0"/>
              <w:spacing w:line="360" w:lineRule="auto"/>
              <w:rPr>
                <w:rFonts w:ascii="宋体" w:hAnsi="宋体" w:cs="宋体"/>
                <w:color w:val="000000"/>
                <w:sz w:val="22"/>
              </w:rPr>
            </w:pPr>
          </w:p>
        </w:tc>
        <w:tc>
          <w:tcPr>
            <w:tcW w:w="1559" w:type="dxa"/>
            <w:vAlign w:val="center"/>
          </w:tcPr>
          <w:p w:rsidR="004436E1" w:rsidRDefault="004436E1" w:rsidP="00325BCA">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C类：</w:t>
            </w:r>
            <w:r w:rsidRPr="004436E1">
              <w:rPr>
                <w:rFonts w:ascii="宋体" w:hAnsi="宋体" w:cs="宋体"/>
                <w:color w:val="000000"/>
                <w:sz w:val="22"/>
              </w:rPr>
              <w:t>008221</w:t>
            </w:r>
          </w:p>
        </w:tc>
      </w:tr>
      <w:tr w:rsidR="004436E1" w:rsidTr="00E20796">
        <w:trPr>
          <w:trHeight w:val="283"/>
        </w:trPr>
        <w:tc>
          <w:tcPr>
            <w:tcW w:w="4306" w:type="dxa"/>
            <w:vAlign w:val="center"/>
          </w:tcPr>
          <w:p w:rsidR="004436E1" w:rsidRDefault="004436E1" w:rsidP="00325BCA">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w:t>
            </w:r>
            <w:r w:rsidRPr="004436E1">
              <w:rPr>
                <w:rFonts w:ascii="宋体" w:hAnsi="宋体" w:cs="宋体" w:hint="eastAsia"/>
                <w:color w:val="000000"/>
                <w:kern w:val="0"/>
                <w:sz w:val="22"/>
              </w:rPr>
              <w:t>国企改革</w:t>
            </w:r>
            <w:r>
              <w:rPr>
                <w:rFonts w:ascii="宋体" w:hAnsi="宋体" w:cs="宋体" w:hint="eastAsia"/>
                <w:color w:val="000000"/>
                <w:kern w:val="0"/>
                <w:sz w:val="22"/>
              </w:rPr>
              <w:t>灵活配置混合型证券投资基金</w:t>
            </w:r>
          </w:p>
        </w:tc>
        <w:tc>
          <w:tcPr>
            <w:tcW w:w="3364" w:type="dxa"/>
            <w:vAlign w:val="center"/>
          </w:tcPr>
          <w:p w:rsidR="004436E1" w:rsidRDefault="004436E1" w:rsidP="00325BCA">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兴业国企改革混合</w:t>
            </w:r>
          </w:p>
        </w:tc>
        <w:tc>
          <w:tcPr>
            <w:tcW w:w="1559" w:type="dxa"/>
            <w:vAlign w:val="center"/>
          </w:tcPr>
          <w:p w:rsidR="004436E1" w:rsidRDefault="004436E1" w:rsidP="00325BCA">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001623</w:t>
            </w:r>
          </w:p>
        </w:tc>
      </w:tr>
      <w:tr w:rsidR="002448F9" w:rsidTr="00E20796">
        <w:trPr>
          <w:trHeight w:val="283"/>
        </w:trPr>
        <w:tc>
          <w:tcPr>
            <w:tcW w:w="4306" w:type="dxa"/>
            <w:vAlign w:val="center"/>
          </w:tcPr>
          <w:p w:rsidR="002448F9" w:rsidRPr="00E20796" w:rsidRDefault="002448F9" w:rsidP="00325BCA">
            <w:pPr>
              <w:widowControl/>
              <w:adjustRightInd w:val="0"/>
              <w:snapToGrid w:val="0"/>
              <w:spacing w:line="360" w:lineRule="auto"/>
              <w:textAlignment w:val="center"/>
              <w:rPr>
                <w:rFonts w:ascii="宋体" w:hAnsi="宋体" w:cs="宋体"/>
                <w:color w:val="000000"/>
                <w:kern w:val="0"/>
                <w:sz w:val="22"/>
              </w:rPr>
            </w:pPr>
            <w:r w:rsidRPr="00E20796">
              <w:rPr>
                <w:rFonts w:ascii="宋体" w:hAnsi="宋体" w:cs="宋体" w:hint="eastAsia"/>
                <w:color w:val="000000"/>
                <w:kern w:val="0"/>
                <w:sz w:val="22"/>
              </w:rPr>
              <w:t>兴业龙腾双益平衡混合型证券投资基金</w:t>
            </w:r>
          </w:p>
        </w:tc>
        <w:tc>
          <w:tcPr>
            <w:tcW w:w="3364" w:type="dxa"/>
            <w:vAlign w:val="center"/>
          </w:tcPr>
          <w:p w:rsidR="002448F9" w:rsidRDefault="002448F9" w:rsidP="00325BCA">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兴业龙腾双益平衡混合</w:t>
            </w:r>
          </w:p>
        </w:tc>
        <w:tc>
          <w:tcPr>
            <w:tcW w:w="1559" w:type="dxa"/>
            <w:vAlign w:val="center"/>
          </w:tcPr>
          <w:p w:rsidR="002448F9" w:rsidRDefault="002448F9" w:rsidP="00325BCA">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005706</w:t>
            </w:r>
          </w:p>
        </w:tc>
      </w:tr>
      <w:tr w:rsidR="002448F9" w:rsidTr="00E20796">
        <w:trPr>
          <w:trHeight w:val="283"/>
        </w:trPr>
        <w:tc>
          <w:tcPr>
            <w:tcW w:w="4306" w:type="dxa"/>
            <w:vAlign w:val="center"/>
          </w:tcPr>
          <w:p w:rsidR="002448F9" w:rsidRPr="00E20796" w:rsidRDefault="002448F9" w:rsidP="00325BCA">
            <w:pPr>
              <w:widowControl/>
              <w:adjustRightInd w:val="0"/>
              <w:snapToGrid w:val="0"/>
              <w:spacing w:line="360" w:lineRule="auto"/>
              <w:textAlignment w:val="center"/>
              <w:rPr>
                <w:rFonts w:ascii="宋体" w:hAnsi="宋体" w:cs="宋体"/>
                <w:color w:val="000000"/>
                <w:kern w:val="0"/>
                <w:sz w:val="22"/>
              </w:rPr>
            </w:pPr>
            <w:r w:rsidRPr="00E20796">
              <w:rPr>
                <w:rFonts w:ascii="宋体" w:hAnsi="宋体" w:cs="宋体" w:hint="eastAsia"/>
                <w:color w:val="000000"/>
                <w:kern w:val="0"/>
                <w:sz w:val="22"/>
              </w:rPr>
              <w:t>兴业中证国有企业改革指数增强型证券投资基金</w:t>
            </w:r>
          </w:p>
        </w:tc>
        <w:tc>
          <w:tcPr>
            <w:tcW w:w="3364" w:type="dxa"/>
            <w:vAlign w:val="center"/>
          </w:tcPr>
          <w:p w:rsidR="002448F9" w:rsidRDefault="002448F9" w:rsidP="00325BCA">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兴业中证国有企业改革指数增强</w:t>
            </w:r>
            <w:r>
              <w:rPr>
                <w:rFonts w:ascii="宋体" w:hAnsi="宋体" w:cs="宋体" w:hint="eastAsia"/>
                <w:color w:val="000000"/>
                <w:sz w:val="22"/>
              </w:rPr>
              <w:t>A</w:t>
            </w:r>
          </w:p>
        </w:tc>
        <w:tc>
          <w:tcPr>
            <w:tcW w:w="1559" w:type="dxa"/>
            <w:vAlign w:val="center"/>
          </w:tcPr>
          <w:p w:rsidR="002448F9" w:rsidRDefault="002448F9" w:rsidP="00325BCA">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005339</w:t>
            </w:r>
          </w:p>
        </w:tc>
      </w:tr>
      <w:tr w:rsidR="002448F9" w:rsidTr="00E20796">
        <w:trPr>
          <w:trHeight w:val="283"/>
        </w:trPr>
        <w:tc>
          <w:tcPr>
            <w:tcW w:w="4306" w:type="dxa"/>
            <w:vAlign w:val="center"/>
          </w:tcPr>
          <w:p w:rsidR="002448F9" w:rsidRPr="00E20796" w:rsidRDefault="002448F9" w:rsidP="00325BCA">
            <w:pPr>
              <w:widowControl/>
              <w:adjustRightInd w:val="0"/>
              <w:snapToGrid w:val="0"/>
              <w:spacing w:line="360" w:lineRule="auto"/>
              <w:textAlignment w:val="center"/>
              <w:rPr>
                <w:rFonts w:ascii="宋体" w:hAnsi="宋体" w:cs="宋体"/>
                <w:color w:val="000000"/>
                <w:kern w:val="0"/>
                <w:sz w:val="22"/>
              </w:rPr>
            </w:pPr>
            <w:r w:rsidRPr="00E20796">
              <w:rPr>
                <w:rFonts w:ascii="宋体" w:hAnsi="宋体" w:cs="宋体" w:hint="eastAsia"/>
                <w:color w:val="000000"/>
                <w:kern w:val="0"/>
                <w:sz w:val="22"/>
              </w:rPr>
              <w:t>兴业机遇债券型证券投资基金</w:t>
            </w:r>
          </w:p>
        </w:tc>
        <w:tc>
          <w:tcPr>
            <w:tcW w:w="3364" w:type="dxa"/>
            <w:vAlign w:val="center"/>
          </w:tcPr>
          <w:p w:rsidR="002448F9" w:rsidRDefault="002448F9" w:rsidP="00325BCA">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兴业机遇债券</w:t>
            </w:r>
            <w:r>
              <w:rPr>
                <w:rFonts w:ascii="宋体" w:hAnsi="宋体" w:cs="宋体" w:hint="eastAsia"/>
                <w:color w:val="000000"/>
                <w:sz w:val="22"/>
              </w:rPr>
              <w:t>A</w:t>
            </w:r>
          </w:p>
        </w:tc>
        <w:tc>
          <w:tcPr>
            <w:tcW w:w="1559" w:type="dxa"/>
            <w:vAlign w:val="center"/>
          </w:tcPr>
          <w:p w:rsidR="002448F9" w:rsidRDefault="002448F9" w:rsidP="00325BCA">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005717</w:t>
            </w:r>
          </w:p>
        </w:tc>
      </w:tr>
      <w:tr w:rsidR="002448F9" w:rsidTr="00E20796">
        <w:trPr>
          <w:trHeight w:val="283"/>
        </w:trPr>
        <w:tc>
          <w:tcPr>
            <w:tcW w:w="4306" w:type="dxa"/>
            <w:vMerge w:val="restart"/>
            <w:vAlign w:val="center"/>
          </w:tcPr>
          <w:p w:rsidR="002448F9" w:rsidRPr="004436E1" w:rsidRDefault="002448F9" w:rsidP="00325BCA">
            <w:pPr>
              <w:widowControl/>
              <w:adjustRightInd w:val="0"/>
              <w:snapToGrid w:val="0"/>
              <w:spacing w:line="360" w:lineRule="auto"/>
              <w:textAlignment w:val="center"/>
              <w:rPr>
                <w:rFonts w:ascii="宋体" w:hAnsi="宋体" w:cs="宋体"/>
                <w:color w:val="000000"/>
                <w:sz w:val="22"/>
              </w:rPr>
            </w:pPr>
            <w:r w:rsidRPr="005A7DFE">
              <w:rPr>
                <w:rFonts w:ascii="宋体" w:hAnsi="宋体" w:cs="宋体" w:hint="eastAsia"/>
                <w:color w:val="000000"/>
                <w:kern w:val="0"/>
                <w:sz w:val="22"/>
              </w:rPr>
              <w:t>兴业聚华混合型证券投资基金</w:t>
            </w:r>
          </w:p>
        </w:tc>
        <w:tc>
          <w:tcPr>
            <w:tcW w:w="3364" w:type="dxa"/>
            <w:vMerge w:val="restart"/>
            <w:vAlign w:val="center"/>
          </w:tcPr>
          <w:p w:rsidR="002448F9" w:rsidRDefault="002448F9" w:rsidP="00325BCA">
            <w:pPr>
              <w:widowControl/>
              <w:adjustRightInd w:val="0"/>
              <w:snapToGrid w:val="0"/>
              <w:spacing w:line="360" w:lineRule="auto"/>
              <w:textAlignment w:val="center"/>
              <w:rPr>
                <w:rFonts w:ascii="宋体" w:hAnsi="宋体" w:cs="宋体"/>
                <w:color w:val="000000"/>
                <w:sz w:val="22"/>
              </w:rPr>
            </w:pPr>
            <w:r w:rsidRPr="002448F9">
              <w:rPr>
                <w:rFonts w:ascii="宋体" w:hAnsi="宋体" w:cs="宋体" w:hint="eastAsia"/>
                <w:color w:val="000000"/>
                <w:kern w:val="0"/>
                <w:sz w:val="22"/>
              </w:rPr>
              <w:t>兴业聚华混合A</w:t>
            </w:r>
            <w:r>
              <w:rPr>
                <w:rFonts w:ascii="宋体" w:hAnsi="宋体" w:cs="宋体" w:hint="eastAsia"/>
                <w:color w:val="000000"/>
                <w:sz w:val="22"/>
              </w:rPr>
              <w:t>/C</w:t>
            </w:r>
          </w:p>
        </w:tc>
        <w:tc>
          <w:tcPr>
            <w:tcW w:w="1559" w:type="dxa"/>
            <w:vAlign w:val="center"/>
          </w:tcPr>
          <w:p w:rsidR="002448F9" w:rsidRDefault="00862C37" w:rsidP="00325BCA">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A类：</w:t>
            </w:r>
            <w:r w:rsidR="002448F9" w:rsidRPr="002448F9">
              <w:rPr>
                <w:rFonts w:ascii="宋体" w:hAnsi="宋体" w:cs="宋体"/>
                <w:color w:val="000000"/>
                <w:sz w:val="22"/>
              </w:rPr>
              <w:t>005984</w:t>
            </w:r>
          </w:p>
        </w:tc>
      </w:tr>
      <w:tr w:rsidR="002448F9" w:rsidTr="00E20796">
        <w:trPr>
          <w:trHeight w:val="283"/>
        </w:trPr>
        <w:tc>
          <w:tcPr>
            <w:tcW w:w="4306" w:type="dxa"/>
            <w:vMerge/>
            <w:vAlign w:val="center"/>
          </w:tcPr>
          <w:p w:rsidR="002448F9" w:rsidRPr="004436E1" w:rsidRDefault="002448F9" w:rsidP="00325BCA">
            <w:pPr>
              <w:widowControl/>
              <w:adjustRightInd w:val="0"/>
              <w:snapToGrid w:val="0"/>
              <w:spacing w:line="360" w:lineRule="auto"/>
              <w:textAlignment w:val="center"/>
              <w:rPr>
                <w:rFonts w:ascii="宋体" w:hAnsi="宋体" w:cs="宋体"/>
                <w:color w:val="000000"/>
                <w:sz w:val="22"/>
              </w:rPr>
            </w:pPr>
          </w:p>
        </w:tc>
        <w:tc>
          <w:tcPr>
            <w:tcW w:w="3364" w:type="dxa"/>
            <w:vMerge/>
            <w:vAlign w:val="center"/>
          </w:tcPr>
          <w:p w:rsidR="002448F9" w:rsidRDefault="002448F9" w:rsidP="00325BCA">
            <w:pPr>
              <w:widowControl/>
              <w:adjustRightInd w:val="0"/>
              <w:snapToGrid w:val="0"/>
              <w:spacing w:line="360" w:lineRule="auto"/>
              <w:textAlignment w:val="center"/>
              <w:rPr>
                <w:rFonts w:ascii="宋体" w:hAnsi="宋体" w:cs="宋体"/>
                <w:color w:val="000000"/>
                <w:sz w:val="22"/>
              </w:rPr>
            </w:pPr>
          </w:p>
        </w:tc>
        <w:tc>
          <w:tcPr>
            <w:tcW w:w="1559" w:type="dxa"/>
            <w:vAlign w:val="center"/>
          </w:tcPr>
          <w:p w:rsidR="002448F9" w:rsidRDefault="00571BE3" w:rsidP="00325BCA">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C类：</w:t>
            </w:r>
            <w:r w:rsidR="002448F9" w:rsidRPr="002448F9">
              <w:rPr>
                <w:rFonts w:ascii="宋体" w:hAnsi="宋体" w:cs="宋体"/>
                <w:color w:val="000000"/>
                <w:sz w:val="22"/>
              </w:rPr>
              <w:t>005985</w:t>
            </w:r>
          </w:p>
        </w:tc>
      </w:tr>
      <w:tr w:rsidR="00862C37" w:rsidTr="00E20796">
        <w:trPr>
          <w:trHeight w:val="283"/>
        </w:trPr>
        <w:tc>
          <w:tcPr>
            <w:tcW w:w="4306" w:type="dxa"/>
            <w:vMerge w:val="restart"/>
            <w:vAlign w:val="center"/>
          </w:tcPr>
          <w:p w:rsidR="00862C37" w:rsidRPr="00E20796" w:rsidRDefault="00862C37" w:rsidP="00325BCA">
            <w:pPr>
              <w:widowControl/>
              <w:adjustRightInd w:val="0"/>
              <w:snapToGrid w:val="0"/>
              <w:spacing w:line="360" w:lineRule="auto"/>
              <w:textAlignment w:val="center"/>
              <w:rPr>
                <w:rFonts w:ascii="宋体" w:hAnsi="宋体" w:cs="宋体"/>
                <w:color w:val="000000"/>
                <w:kern w:val="0"/>
                <w:sz w:val="22"/>
              </w:rPr>
            </w:pPr>
            <w:r w:rsidRPr="00862C37">
              <w:rPr>
                <w:rFonts w:ascii="宋体" w:hAnsi="宋体" w:cs="宋体" w:hint="eastAsia"/>
                <w:color w:val="000000"/>
                <w:kern w:val="0"/>
                <w:sz w:val="22"/>
              </w:rPr>
              <w:t>兴业安润货币市场基金</w:t>
            </w:r>
          </w:p>
        </w:tc>
        <w:tc>
          <w:tcPr>
            <w:tcW w:w="3364" w:type="dxa"/>
            <w:vMerge w:val="restart"/>
            <w:vAlign w:val="center"/>
          </w:tcPr>
          <w:p w:rsidR="00862C37" w:rsidRDefault="00862C37" w:rsidP="00325BCA">
            <w:pPr>
              <w:widowControl/>
              <w:adjustRightInd w:val="0"/>
              <w:snapToGrid w:val="0"/>
              <w:spacing w:line="360" w:lineRule="auto"/>
              <w:textAlignment w:val="center"/>
              <w:rPr>
                <w:rFonts w:ascii="宋体" w:hAnsi="宋体" w:cs="宋体"/>
                <w:color w:val="000000"/>
                <w:kern w:val="0"/>
                <w:sz w:val="22"/>
              </w:rPr>
            </w:pPr>
            <w:r w:rsidRPr="006934DC">
              <w:rPr>
                <w:rFonts w:ascii="宋体" w:hAnsi="宋体" w:cs="宋体" w:hint="eastAsia"/>
                <w:color w:val="000000"/>
                <w:kern w:val="0"/>
                <w:sz w:val="22"/>
              </w:rPr>
              <w:t>兴业安润货币A</w:t>
            </w:r>
            <w:r>
              <w:rPr>
                <w:rFonts w:ascii="宋体" w:hAnsi="宋体" w:cs="宋体" w:hint="eastAsia"/>
                <w:color w:val="000000"/>
                <w:kern w:val="0"/>
                <w:sz w:val="22"/>
              </w:rPr>
              <w:t>/B</w:t>
            </w:r>
          </w:p>
        </w:tc>
        <w:tc>
          <w:tcPr>
            <w:tcW w:w="1559" w:type="dxa"/>
            <w:vAlign w:val="center"/>
          </w:tcPr>
          <w:p w:rsidR="00862C37" w:rsidRDefault="00571BE3" w:rsidP="00325BCA">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A类：</w:t>
            </w:r>
            <w:r w:rsidR="00862C37" w:rsidRPr="00862C37">
              <w:rPr>
                <w:rFonts w:ascii="宋体" w:hAnsi="宋体" w:cs="宋体"/>
                <w:color w:val="000000"/>
                <w:kern w:val="0"/>
                <w:sz w:val="22"/>
              </w:rPr>
              <w:t>004216</w:t>
            </w:r>
          </w:p>
        </w:tc>
      </w:tr>
      <w:tr w:rsidR="00862C37" w:rsidTr="00E20796">
        <w:trPr>
          <w:trHeight w:val="283"/>
        </w:trPr>
        <w:tc>
          <w:tcPr>
            <w:tcW w:w="4306" w:type="dxa"/>
            <w:vMerge/>
            <w:vAlign w:val="center"/>
          </w:tcPr>
          <w:p w:rsidR="00862C37" w:rsidRPr="00E20796" w:rsidRDefault="00862C37" w:rsidP="00325BCA">
            <w:pPr>
              <w:widowControl/>
              <w:adjustRightInd w:val="0"/>
              <w:snapToGrid w:val="0"/>
              <w:spacing w:line="360" w:lineRule="auto"/>
              <w:textAlignment w:val="center"/>
              <w:rPr>
                <w:rFonts w:ascii="宋体" w:hAnsi="宋体" w:cs="宋体"/>
                <w:color w:val="000000"/>
                <w:kern w:val="0"/>
                <w:sz w:val="22"/>
              </w:rPr>
            </w:pPr>
          </w:p>
        </w:tc>
        <w:tc>
          <w:tcPr>
            <w:tcW w:w="3364" w:type="dxa"/>
            <w:vMerge/>
            <w:vAlign w:val="center"/>
          </w:tcPr>
          <w:p w:rsidR="00862C37" w:rsidRDefault="00862C37" w:rsidP="00325BCA">
            <w:pPr>
              <w:widowControl/>
              <w:adjustRightInd w:val="0"/>
              <w:snapToGrid w:val="0"/>
              <w:spacing w:line="360" w:lineRule="auto"/>
              <w:textAlignment w:val="center"/>
              <w:rPr>
                <w:rFonts w:ascii="宋体" w:hAnsi="宋体" w:cs="宋体"/>
                <w:color w:val="000000"/>
                <w:kern w:val="0"/>
                <w:sz w:val="22"/>
              </w:rPr>
            </w:pPr>
          </w:p>
        </w:tc>
        <w:tc>
          <w:tcPr>
            <w:tcW w:w="1559" w:type="dxa"/>
            <w:vAlign w:val="center"/>
          </w:tcPr>
          <w:p w:rsidR="00862C37" w:rsidRDefault="00571BE3" w:rsidP="00325BCA">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B类：</w:t>
            </w:r>
            <w:r w:rsidR="00862C37" w:rsidRPr="00862C37">
              <w:rPr>
                <w:rFonts w:ascii="宋体" w:hAnsi="宋体" w:cs="宋体"/>
                <w:color w:val="000000"/>
                <w:kern w:val="0"/>
                <w:sz w:val="22"/>
              </w:rPr>
              <w:t>004217</w:t>
            </w:r>
          </w:p>
        </w:tc>
      </w:tr>
      <w:tr w:rsidR="002448F9" w:rsidTr="00E20796">
        <w:trPr>
          <w:trHeight w:val="283"/>
        </w:trPr>
        <w:tc>
          <w:tcPr>
            <w:tcW w:w="4306" w:type="dxa"/>
            <w:vAlign w:val="center"/>
          </w:tcPr>
          <w:p w:rsidR="002448F9" w:rsidRPr="00E20796" w:rsidRDefault="002448F9" w:rsidP="00325BCA">
            <w:pPr>
              <w:widowControl/>
              <w:adjustRightInd w:val="0"/>
              <w:snapToGrid w:val="0"/>
              <w:spacing w:line="360" w:lineRule="auto"/>
              <w:textAlignment w:val="center"/>
              <w:rPr>
                <w:rFonts w:ascii="宋体" w:hAnsi="宋体" w:cs="宋体"/>
                <w:color w:val="000000"/>
                <w:kern w:val="0"/>
                <w:sz w:val="22"/>
              </w:rPr>
            </w:pPr>
            <w:r w:rsidRPr="00E20796">
              <w:rPr>
                <w:rFonts w:ascii="宋体" w:hAnsi="宋体" w:cs="宋体" w:hint="eastAsia"/>
                <w:color w:val="000000"/>
                <w:kern w:val="0"/>
                <w:sz w:val="22"/>
              </w:rPr>
              <w:t>兴业安保优选混合型证券投资基金</w:t>
            </w:r>
          </w:p>
        </w:tc>
        <w:tc>
          <w:tcPr>
            <w:tcW w:w="3364" w:type="dxa"/>
            <w:vAlign w:val="center"/>
          </w:tcPr>
          <w:p w:rsidR="002448F9" w:rsidRDefault="002448F9" w:rsidP="00325BCA">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兴业安保优选混合</w:t>
            </w:r>
          </w:p>
        </w:tc>
        <w:tc>
          <w:tcPr>
            <w:tcW w:w="1559" w:type="dxa"/>
            <w:vAlign w:val="center"/>
          </w:tcPr>
          <w:p w:rsidR="002448F9" w:rsidRDefault="002448F9" w:rsidP="00325BCA">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006366</w:t>
            </w:r>
          </w:p>
        </w:tc>
      </w:tr>
      <w:tr w:rsidR="002448F9" w:rsidTr="00E20796">
        <w:trPr>
          <w:trHeight w:val="283"/>
        </w:trPr>
        <w:tc>
          <w:tcPr>
            <w:tcW w:w="4306" w:type="dxa"/>
            <w:vAlign w:val="center"/>
          </w:tcPr>
          <w:p w:rsidR="002448F9" w:rsidRPr="00E20796" w:rsidRDefault="002448F9" w:rsidP="00325BCA">
            <w:pPr>
              <w:widowControl/>
              <w:adjustRightInd w:val="0"/>
              <w:snapToGrid w:val="0"/>
              <w:spacing w:line="360" w:lineRule="auto"/>
              <w:textAlignment w:val="center"/>
              <w:rPr>
                <w:rFonts w:ascii="宋体" w:hAnsi="宋体" w:cs="宋体"/>
                <w:color w:val="000000"/>
                <w:sz w:val="22"/>
              </w:rPr>
            </w:pPr>
            <w:r w:rsidRPr="00E20796">
              <w:rPr>
                <w:rFonts w:ascii="宋体" w:hAnsi="宋体" w:cs="宋体" w:hint="eastAsia"/>
                <w:color w:val="000000"/>
                <w:kern w:val="0"/>
                <w:sz w:val="22"/>
              </w:rPr>
              <w:lastRenderedPageBreak/>
              <w:t>兴业成长动力灵活配置混合型证券投资基金</w:t>
            </w:r>
          </w:p>
        </w:tc>
        <w:tc>
          <w:tcPr>
            <w:tcW w:w="3364" w:type="dxa"/>
            <w:vAlign w:val="center"/>
          </w:tcPr>
          <w:p w:rsidR="002448F9" w:rsidRDefault="002448F9" w:rsidP="00325BCA">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兴业成长动力混合</w:t>
            </w:r>
          </w:p>
        </w:tc>
        <w:tc>
          <w:tcPr>
            <w:tcW w:w="1559" w:type="dxa"/>
            <w:vAlign w:val="center"/>
          </w:tcPr>
          <w:p w:rsidR="002448F9" w:rsidRDefault="002448F9" w:rsidP="00325BCA">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002597</w:t>
            </w:r>
          </w:p>
        </w:tc>
      </w:tr>
    </w:tbl>
    <w:p w:rsidR="001E497A" w:rsidRDefault="004C7003" w:rsidP="00325BCA">
      <w:pPr>
        <w:widowControl/>
        <w:shd w:val="clear" w:color="auto" w:fill="FFFFFF"/>
        <w:adjustRightInd w:val="0"/>
        <w:snapToGrid w:val="0"/>
        <w:spacing w:line="360" w:lineRule="auto"/>
        <w:jc w:val="left"/>
        <w:rPr>
          <w:rFonts w:ascii="宋体" w:hAnsi="宋体" w:cs="宋体"/>
          <w:bCs/>
          <w:color w:val="000000"/>
          <w:kern w:val="0"/>
          <w:sz w:val="24"/>
          <w:szCs w:val="24"/>
        </w:rPr>
      </w:pPr>
      <w:r>
        <w:rPr>
          <w:rFonts w:ascii="宋体" w:hAnsi="宋体" w:cs="宋体" w:hint="eastAsia"/>
          <w:bCs/>
          <w:color w:val="000000"/>
          <w:kern w:val="0"/>
          <w:sz w:val="24"/>
          <w:szCs w:val="24"/>
        </w:rPr>
        <w:t>本公司今后发行的其他开放式基金开通转换业务，将另行公告。</w:t>
      </w:r>
    </w:p>
    <w:p w:rsidR="001E497A" w:rsidRDefault="001E497A" w:rsidP="00325BCA">
      <w:pPr>
        <w:widowControl/>
        <w:shd w:val="clear" w:color="auto" w:fill="FFFFFF"/>
        <w:adjustRightInd w:val="0"/>
        <w:snapToGrid w:val="0"/>
        <w:spacing w:line="360" w:lineRule="auto"/>
        <w:jc w:val="left"/>
        <w:rPr>
          <w:rFonts w:ascii="宋体" w:hAnsi="宋体" w:cs="宋体"/>
          <w:color w:val="000000"/>
          <w:kern w:val="0"/>
          <w:sz w:val="24"/>
          <w:szCs w:val="24"/>
        </w:rPr>
      </w:pPr>
    </w:p>
    <w:p w:rsidR="001E497A" w:rsidRDefault="004C7003" w:rsidP="00325BCA">
      <w:pPr>
        <w:widowControl/>
        <w:shd w:val="clear" w:color="auto" w:fill="FFFFFF"/>
        <w:adjustRightInd w:val="0"/>
        <w:snapToGrid w:val="0"/>
        <w:spacing w:line="360" w:lineRule="auto"/>
        <w:ind w:firstLineChars="200" w:firstLine="482"/>
        <w:jc w:val="left"/>
        <w:rPr>
          <w:rFonts w:ascii="宋体" w:hAnsi="宋体" w:cs="宋体"/>
          <w:b/>
          <w:color w:val="000000"/>
          <w:kern w:val="0"/>
          <w:sz w:val="24"/>
          <w:szCs w:val="24"/>
        </w:rPr>
      </w:pPr>
      <w:r>
        <w:rPr>
          <w:rFonts w:ascii="宋体" w:hAnsi="宋体" w:cs="宋体" w:hint="eastAsia"/>
          <w:b/>
          <w:color w:val="000000"/>
          <w:kern w:val="0"/>
          <w:sz w:val="24"/>
          <w:szCs w:val="24"/>
        </w:rPr>
        <w:t xml:space="preserve">二、转换和定投业务的办理时间 </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本公司在开放日办理基金转换业务，具体办理时间为上海证券交易所、深圳证券交易所正常交易日的交易时间（本公司公告暂停申购、赎回时除外）。由于本公司的系统及业务安排等原因，开放日的具体交易时间可能有所不同，以本公司的具体规定为准。 </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本公司在开放日办理基金的定投业务，具体办理时间为上海证券交易所、深圳证券交易所正常交易日的交易时间（本公司公告暂停申购、赎回时除外）。由于销售机构系统及业务安排等原因，开放日的具体交易时间可能有所不同，投资者应参照销售机构的具体规定。</w:t>
      </w:r>
    </w:p>
    <w:p w:rsidR="00325BCA" w:rsidRDefault="00325BCA"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p>
    <w:p w:rsidR="001E497A" w:rsidRDefault="004C7003" w:rsidP="00325BCA">
      <w:pPr>
        <w:widowControl/>
        <w:shd w:val="clear" w:color="auto" w:fill="FFFFFF"/>
        <w:adjustRightInd w:val="0"/>
        <w:snapToGrid w:val="0"/>
        <w:spacing w:line="360" w:lineRule="auto"/>
        <w:ind w:firstLineChars="200" w:firstLine="482"/>
        <w:jc w:val="left"/>
        <w:rPr>
          <w:rFonts w:ascii="宋体" w:hAnsi="宋体" w:cs="宋体"/>
          <w:b/>
          <w:color w:val="000000"/>
          <w:kern w:val="0"/>
          <w:sz w:val="24"/>
          <w:szCs w:val="24"/>
        </w:rPr>
      </w:pPr>
      <w:r>
        <w:rPr>
          <w:rFonts w:ascii="宋体" w:hAnsi="宋体" w:cs="宋体" w:hint="eastAsia"/>
          <w:b/>
          <w:color w:val="000000"/>
          <w:kern w:val="0"/>
          <w:sz w:val="24"/>
          <w:szCs w:val="24"/>
        </w:rPr>
        <w:t xml:space="preserve">三、开通转换和定投业务机构 </w:t>
      </w:r>
    </w:p>
    <w:p w:rsidR="002448F9" w:rsidRDefault="002448F9"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sidRPr="002448F9">
        <w:rPr>
          <w:rFonts w:ascii="宋体" w:hAnsi="宋体" w:cs="宋体" w:hint="eastAsia"/>
          <w:color w:val="000000"/>
          <w:kern w:val="0"/>
          <w:sz w:val="24"/>
          <w:szCs w:val="24"/>
        </w:rPr>
        <w:t>兴业证券股份有限公司</w:t>
      </w:r>
    </w:p>
    <w:p w:rsidR="00325BCA" w:rsidRDefault="00325BCA"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p>
    <w:p w:rsidR="001E497A" w:rsidRDefault="004C7003" w:rsidP="00325BCA">
      <w:pPr>
        <w:widowControl/>
        <w:shd w:val="clear" w:color="auto" w:fill="FFFFFF"/>
        <w:adjustRightInd w:val="0"/>
        <w:snapToGrid w:val="0"/>
        <w:spacing w:line="360" w:lineRule="auto"/>
        <w:ind w:firstLineChars="200" w:firstLine="482"/>
        <w:jc w:val="left"/>
        <w:rPr>
          <w:rFonts w:ascii="宋体" w:hAnsi="宋体" w:cs="宋体"/>
          <w:b/>
          <w:color w:val="000000"/>
          <w:kern w:val="0"/>
          <w:sz w:val="24"/>
          <w:szCs w:val="24"/>
        </w:rPr>
      </w:pPr>
      <w:r>
        <w:rPr>
          <w:rFonts w:ascii="宋体" w:hAnsi="宋体" w:cs="宋体" w:hint="eastAsia"/>
          <w:b/>
          <w:color w:val="000000"/>
          <w:kern w:val="0"/>
          <w:sz w:val="24"/>
          <w:szCs w:val="24"/>
        </w:rPr>
        <w:t>四、转换业务的规则</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b/>
          <w:color w:val="000000"/>
          <w:kern w:val="0"/>
          <w:sz w:val="24"/>
          <w:szCs w:val="24"/>
        </w:rPr>
      </w:pPr>
      <w:r>
        <w:rPr>
          <w:rFonts w:ascii="宋体" w:hAnsi="宋体" w:cs="宋体" w:hint="eastAsia"/>
          <w:color w:val="000000"/>
          <w:kern w:val="0"/>
          <w:sz w:val="24"/>
          <w:szCs w:val="24"/>
        </w:rPr>
        <w:t>4.1 转换的两只基金必须都是由同一销售机构销售、同一基金管理人管理、并在同一注册登记机构处注册登记的基金。投资者办理基金转换业务时，转出方的基金必须处于可赎回状态，转入方的基金必须处于可申购状态。同一基金不同类别基金份额间不开放相互转换业务。</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4.2 投资者可在基金开放</w:t>
      </w:r>
      <w:r w:rsidR="00C47B0F">
        <w:rPr>
          <w:rFonts w:ascii="宋体" w:hAnsi="宋体" w:cs="宋体" w:hint="eastAsia"/>
          <w:color w:val="000000"/>
          <w:kern w:val="0"/>
          <w:sz w:val="24"/>
          <w:szCs w:val="24"/>
        </w:rPr>
        <w:t>交易</w:t>
      </w:r>
      <w:r>
        <w:rPr>
          <w:rFonts w:ascii="宋体" w:hAnsi="宋体" w:cs="宋体" w:hint="eastAsia"/>
          <w:color w:val="000000"/>
          <w:kern w:val="0"/>
          <w:sz w:val="24"/>
          <w:szCs w:val="24"/>
        </w:rPr>
        <w:t>日</w:t>
      </w:r>
      <w:r w:rsidR="00C47B0F">
        <w:rPr>
          <w:rFonts w:ascii="宋体" w:hAnsi="宋体" w:cs="宋体" w:hint="eastAsia"/>
          <w:color w:val="000000"/>
          <w:kern w:val="0"/>
          <w:sz w:val="24"/>
          <w:szCs w:val="24"/>
        </w:rPr>
        <w:t>内</w:t>
      </w:r>
      <w:r>
        <w:rPr>
          <w:rFonts w:ascii="宋体" w:hAnsi="宋体" w:cs="宋体" w:hint="eastAsia"/>
          <w:color w:val="000000"/>
          <w:kern w:val="0"/>
          <w:sz w:val="24"/>
          <w:szCs w:val="24"/>
        </w:rPr>
        <w:t>申请办理基金转换业务，具体办理时间与基金申购、赎回业务办理时间相同。本公司公告暂停申购、赎回或转换时除外。</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4.3 交易限额参见相关基金招募说明书和相关公告中对申购和赎回限额的规定。</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4.4 投资者提出的基金转换申请，在当日交易时间结束前可以撤销，交易时间结束后不得撤销。 </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4.5 基金转换采取未知价法，即基金的转换价格以申请受理当日各转出、转入基金的基金份额净值为基础进行计算。</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4.6 基金转换以份额为单位进行申请，遵循“先进先出”的原则，即份额注册日期在前的先转换出，份额注册日期在后的后转换出。基金转换申请转出的基金份额必须是可用份额。</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4.7 注册登记机构以收到有效转换申请的当天作为转换申请日（T日）。正常情况下，转换基金成功的，注册登记机构将在T＋1日对投资者T日的基金转换业务申请进行有效性确认，办理转出基金的权益扣除以及转入基金的权益登记，投资者可自T+2日起向销售机构查询基金转换的成交情况，并有权转换或赎回转入部分的基金份额。</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4.8 申请基金转换须满足各基金的基金合同及招募说明书关于基金最低持有份额的规定， 如果某笔转换申请导致投资者在单个交易账户的基金份额余额少于转出基金最低保留余额限制，基金管理人有权将投资者在该个交易账户的该基金剩余份额一次性全部赎回。</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4.9 基金份额持有人可将其全部或部分基金份额转换成其他基金，单笔转换申请必须满足各基金的招募说明书等法律文件中关于基金最低交易份额的规定。</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4.10如单个开放日发生巨额赎回时，基金转出与基金赎回具有相同的优先级，基金管理人可根据基金资产组合情况，决定全额转出或部分转出，并且对于基金转出和基金赎回，将采取相同的比例确认（另行公告除外）。巨额赎回定义以各基金的基金合同等法律文件中相关规定为准。 </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4.11 基金转换后，转入基金份额的持有时间将重新计算，即转入的基金份额的持有期将自转入的基金份额被确认日起重新开始计算。 </w:t>
      </w:r>
    </w:p>
    <w:p w:rsidR="00116774" w:rsidRDefault="00116774"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p>
    <w:p w:rsidR="001E497A" w:rsidRDefault="004C7003" w:rsidP="00325BCA">
      <w:pPr>
        <w:widowControl/>
        <w:shd w:val="clear" w:color="auto" w:fill="FFFFFF"/>
        <w:adjustRightInd w:val="0"/>
        <w:snapToGrid w:val="0"/>
        <w:spacing w:line="360" w:lineRule="auto"/>
        <w:ind w:firstLineChars="200" w:firstLine="482"/>
        <w:jc w:val="left"/>
        <w:rPr>
          <w:rFonts w:ascii="宋体" w:hAnsi="宋体" w:cs="宋体"/>
          <w:b/>
          <w:color w:val="000000"/>
          <w:kern w:val="0"/>
          <w:sz w:val="24"/>
          <w:szCs w:val="24"/>
        </w:rPr>
      </w:pPr>
      <w:r>
        <w:rPr>
          <w:rFonts w:ascii="宋体" w:hAnsi="宋体" w:cs="宋体" w:hint="eastAsia"/>
          <w:b/>
          <w:color w:val="000000"/>
          <w:kern w:val="0"/>
          <w:sz w:val="24"/>
          <w:szCs w:val="24"/>
        </w:rPr>
        <w:t xml:space="preserve">五、基金转换费用及计算公式 </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基金转换费用由转出基金的赎回费和基金转换的申购补差费两部分构成，具体收取情况视每次转换时不同基金的申购费率和赎回费率的差异情况而定。基金转换费用由基金持有人承担。</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5.1 转出基金赎回费用按转出基金的赎回费率收取，并按照《证券投资基金销售管理办法》的规定将部分赎回费计入转出基金的基金财产。转出基金的赎回金额、赎回费的处理按照相关基金招募说明书及本公司《开放式基金业务规则》中有关赎回业务相关规则执行。</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5.2 申购补差费率指转入基金与转出基金的申购费率之差。当转入基金的申购费率高于转出基金的申购费率时，应缴纳转入基金和转出基金的申购费差额，反之则不收取申购补差费；各基金的申购费率以基金的招募说明书等法律文件为准，如转入基金或转出基金适用固定费用的，则申购补差费中的申购费按固定费用进行计算。</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转入份额按照四舍五入的方法保留小数点后两位，由此产生的误差归入基金财产。</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转出基金赎回费用、转出转入基金申购补差费用保留小数点后两位，两位以后的部分四舍五入，由此产生的误差计入基金财产。</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基金转换计算公式如下： </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转出基金赎回费＝转出份额×转出净值×转出基金赎回费率 </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转出金额=转出份额×转出基金当日基金份额净值－转出基金赎回费 </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申购补差费（外扣法）＝Max[转出金额×转入基金的申购费率/（1＋转入基金申购费率）－转出金额×转出基金申购费率/（1＋转出基金申购费率）,0] </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转换费用＝转出基金赎回费＋申购补差费 </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转入份额＝（转出金额－申购补差费）/转入基金当日基金份额净值 </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注：申购补差费中的转入基金申购费率按基金合同和招募说明书中的费率标准执行，不适用申购费率优惠 </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例如：某基金份额持有人持有10,000 份</w:t>
      </w:r>
      <w:r>
        <w:rPr>
          <w:rFonts w:ascii="宋体" w:hAnsi="宋体" w:cs="宋体" w:hint="eastAsia"/>
          <w:color w:val="000000"/>
          <w:sz w:val="24"/>
          <w:szCs w:val="24"/>
          <w:shd w:val="clear" w:color="auto" w:fill="FFFFFF"/>
        </w:rPr>
        <w:t>兴业N基金</w:t>
      </w:r>
      <w:r>
        <w:rPr>
          <w:rFonts w:ascii="宋体" w:hAnsi="宋体" w:cs="宋体" w:hint="eastAsia"/>
          <w:color w:val="000000"/>
          <w:kern w:val="0"/>
          <w:sz w:val="24"/>
          <w:szCs w:val="24"/>
        </w:rPr>
        <w:t>份额1年后（未满2 年）决定转换为</w:t>
      </w:r>
      <w:r>
        <w:rPr>
          <w:rFonts w:ascii="宋体" w:hAnsi="宋体" w:cs="宋体" w:hint="eastAsia"/>
          <w:color w:val="000000"/>
          <w:sz w:val="24"/>
          <w:szCs w:val="24"/>
          <w:shd w:val="clear" w:color="auto" w:fill="FFFFFF"/>
        </w:rPr>
        <w:t>M基金</w:t>
      </w:r>
      <w:r>
        <w:rPr>
          <w:rFonts w:ascii="宋体" w:hAnsi="宋体" w:cs="宋体" w:hint="eastAsia"/>
          <w:color w:val="000000"/>
          <w:kern w:val="0"/>
          <w:sz w:val="24"/>
          <w:szCs w:val="24"/>
        </w:rPr>
        <w:t>份额。</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假设N基金申购金额小于100万元，申购费率为0.8%，持有期限满1年未满2年，赎回费为0.05％。</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M基金申购金额小于100万元，申购费率为0.8%，持有期限满1年未满2年，赎回费为0.05％。</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假设转换当日转出基金份额净值是1.050元，转入基金的基金份额净值是1.195元，对应赎回费率为0.05%，申购补差费率为0，则可得到的转换份额为：</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转出基金赎回费＝10,000×1.050×0.05％＝5.25元</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转出金额=10,000×1.050－5.25＝10,494.75元 </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申购补差费（外扣法）＝Max[10,494.75×0.8%/（1＋0.8%）－10,494.75×0.8%/（1＋0.8%）,0] =0元</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转换费用＝5.25＋0=5.25元</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转入份额＝（10,494.75－0）/1.195= 8782.22份</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即：某基金份额持有人持有10,000 份N基金份额1年后（未满2 年）决定转换为</w:t>
      </w:r>
      <w:r>
        <w:rPr>
          <w:rFonts w:ascii="宋体" w:hAnsi="宋体" w:cs="宋体" w:hint="eastAsia"/>
          <w:color w:val="000000"/>
          <w:sz w:val="24"/>
          <w:szCs w:val="24"/>
          <w:shd w:val="clear" w:color="auto" w:fill="FFFFFF"/>
        </w:rPr>
        <w:t>M基金</w:t>
      </w:r>
      <w:r>
        <w:rPr>
          <w:rFonts w:ascii="宋体" w:hAnsi="宋体" w:cs="宋体" w:hint="eastAsia"/>
          <w:color w:val="000000"/>
          <w:kern w:val="0"/>
          <w:sz w:val="24"/>
          <w:szCs w:val="24"/>
        </w:rPr>
        <w:t>份额，假设转换当日转出基金份额净值是1.050元，转入基金的基金份额净值是1.195元，则可得到的转换份额为8782.22份。</w:t>
      </w:r>
    </w:p>
    <w:p w:rsidR="00116774" w:rsidRDefault="00116774"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p>
    <w:p w:rsidR="001E497A" w:rsidRDefault="004C7003" w:rsidP="00325BCA">
      <w:pPr>
        <w:widowControl/>
        <w:shd w:val="clear" w:color="auto" w:fill="FFFFFF"/>
        <w:adjustRightInd w:val="0"/>
        <w:snapToGrid w:val="0"/>
        <w:spacing w:line="360" w:lineRule="auto"/>
        <w:jc w:val="left"/>
        <w:rPr>
          <w:rFonts w:ascii="宋体" w:hAnsi="宋体" w:cs="宋体"/>
          <w:b/>
          <w:color w:val="000000"/>
          <w:kern w:val="0"/>
          <w:sz w:val="24"/>
          <w:szCs w:val="24"/>
        </w:rPr>
      </w:pPr>
      <w:r>
        <w:rPr>
          <w:rFonts w:ascii="宋体" w:hAnsi="宋体" w:cs="宋体" w:hint="eastAsia"/>
          <w:b/>
          <w:color w:val="000000"/>
          <w:kern w:val="0"/>
          <w:sz w:val="24"/>
          <w:szCs w:val="24"/>
        </w:rPr>
        <w:t xml:space="preserve">   六、定投业务办理方式</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6.1投资者开立基金账户后即可到销售机构的经营网点或网上交易平台申请办理本基金的基金定投业务，具体安排请遵循销售机构的相关规定。</w:t>
      </w:r>
      <w:r w:rsidR="00C47B0F" w:rsidRPr="00C47B0F">
        <w:rPr>
          <w:rFonts w:ascii="宋体" w:hAnsi="宋体" w:cs="宋体" w:hint="eastAsia"/>
          <w:color w:val="000000"/>
          <w:kern w:val="0"/>
          <w:sz w:val="24"/>
          <w:szCs w:val="24"/>
        </w:rPr>
        <w:t>投资者可在基金开放交易日内申请办理基金</w:t>
      </w:r>
      <w:r w:rsidR="00C47B0F">
        <w:rPr>
          <w:rFonts w:ascii="宋体" w:hAnsi="宋体" w:cs="宋体" w:hint="eastAsia"/>
          <w:color w:val="000000"/>
          <w:kern w:val="0"/>
          <w:sz w:val="24"/>
          <w:szCs w:val="24"/>
        </w:rPr>
        <w:t>定投</w:t>
      </w:r>
      <w:r w:rsidR="00C47B0F" w:rsidRPr="00C47B0F">
        <w:rPr>
          <w:rFonts w:ascii="宋体" w:hAnsi="宋体" w:cs="宋体" w:hint="eastAsia"/>
          <w:color w:val="000000"/>
          <w:kern w:val="0"/>
          <w:sz w:val="24"/>
          <w:szCs w:val="24"/>
        </w:rPr>
        <w:t>业务，具体办理时间与基金申购、赎回业务办理时间相同。本公司公告暂停申购、赎回或</w:t>
      </w:r>
      <w:r w:rsidR="0063400E">
        <w:rPr>
          <w:rFonts w:ascii="宋体" w:hAnsi="宋体" w:cs="宋体" w:hint="eastAsia"/>
          <w:color w:val="000000"/>
          <w:kern w:val="0"/>
          <w:sz w:val="24"/>
          <w:szCs w:val="24"/>
        </w:rPr>
        <w:t>定投</w:t>
      </w:r>
      <w:r w:rsidR="00C47B0F" w:rsidRPr="00C47B0F">
        <w:rPr>
          <w:rFonts w:ascii="宋体" w:hAnsi="宋体" w:cs="宋体" w:hint="eastAsia"/>
          <w:color w:val="000000"/>
          <w:kern w:val="0"/>
          <w:sz w:val="24"/>
          <w:szCs w:val="24"/>
        </w:rPr>
        <w:t>时除外。</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（1）投资者应和销售机构约定扣款日期； </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（2）销售机构将按照投资者申请时约定的每期扣款日、申购金额扣款，如遇非基金开放日则以销售机构的相关规定为准，并将投资者申购的实际扣款日期视为基金申购申请日（T 日）； </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（3）投资者需指定销售机构认可的资金账户作为每期固定扣款账户； </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（4）基金定投申购费率是否参加销售机构的申购费率优惠活动，以销售机构的费率优惠活动安排为准； </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6.2扣款与交易确认 </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本基金的基金注册登记机构按照基金申购日（T 日）的基金份额净值为基准计算申购份额，申购份额将在 T+1 日确认，投资者可自 T+2 日起查询申购成交情况；</w:t>
      </w:r>
    </w:p>
    <w:p w:rsidR="001E497A" w:rsidRDefault="004C7003" w:rsidP="00325BCA">
      <w:pPr>
        <w:widowControl/>
        <w:shd w:val="clear" w:color="auto" w:fill="FFFFFF"/>
        <w:adjustRightInd w:val="0"/>
        <w:snapToGrid w:val="0"/>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 xml:space="preserve">    6.3变更与解约 </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投资者欲变更每期申购金额、扣款日期、扣款方式或终止定投业务，请遵循销售机构的相关规定。 </w:t>
      </w:r>
    </w:p>
    <w:p w:rsidR="00116774" w:rsidRDefault="00116774"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p>
    <w:p w:rsidR="001E497A" w:rsidRDefault="004C7003" w:rsidP="00325BCA">
      <w:pPr>
        <w:widowControl/>
        <w:shd w:val="clear" w:color="auto" w:fill="FFFFFF"/>
        <w:adjustRightInd w:val="0"/>
        <w:snapToGrid w:val="0"/>
        <w:spacing w:line="360" w:lineRule="auto"/>
        <w:jc w:val="left"/>
        <w:rPr>
          <w:rFonts w:ascii="宋体" w:hAnsi="宋体" w:cs="宋体"/>
          <w:b/>
          <w:color w:val="000000"/>
          <w:kern w:val="0"/>
          <w:sz w:val="24"/>
          <w:szCs w:val="24"/>
        </w:rPr>
      </w:pPr>
      <w:r>
        <w:rPr>
          <w:rFonts w:ascii="宋体" w:hAnsi="宋体" w:cs="宋体" w:hint="eastAsia"/>
          <w:b/>
          <w:color w:val="000000"/>
          <w:kern w:val="0"/>
          <w:sz w:val="24"/>
          <w:szCs w:val="24"/>
        </w:rPr>
        <w:t xml:space="preserve">  七、重要提示 </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7.1 本公告解释权归本公司所有。若增加新的业务办理机构，本公司将及时公告，敬请投资者留意。投资者欲了解本公司旗下基金的详细情况，请仔细阅读本公司旗下基金的基金合同、招募说明书及其更新等相关法律文件；</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7.2 本公司有权根据市场情况或法律法规变化调整上述转换和定投业务规则及有关限制，届时本公司将在调整生效前在中国证监会指定的信息披露媒体上予以公告； </w:t>
      </w:r>
    </w:p>
    <w:p w:rsidR="0089514B" w:rsidRDefault="0089514B"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p>
    <w:p w:rsidR="001E497A" w:rsidRDefault="004C7003" w:rsidP="00325BCA">
      <w:pPr>
        <w:widowControl/>
        <w:shd w:val="clear" w:color="auto" w:fill="FFFFFF"/>
        <w:adjustRightInd w:val="0"/>
        <w:snapToGrid w:val="0"/>
        <w:spacing w:line="360" w:lineRule="auto"/>
        <w:jc w:val="left"/>
        <w:rPr>
          <w:rFonts w:ascii="宋体" w:hAnsi="宋体" w:cs="宋体"/>
          <w:b/>
          <w:color w:val="000000"/>
          <w:kern w:val="0"/>
          <w:sz w:val="24"/>
          <w:szCs w:val="24"/>
        </w:rPr>
      </w:pPr>
      <w:r>
        <w:rPr>
          <w:rFonts w:ascii="宋体" w:hAnsi="宋体" w:cs="宋体" w:hint="eastAsia"/>
          <w:b/>
          <w:color w:val="000000"/>
          <w:kern w:val="0"/>
          <w:sz w:val="24"/>
          <w:szCs w:val="24"/>
        </w:rPr>
        <w:t xml:space="preserve">   八、投资者可通过以下途径咨询有关情况</w:t>
      </w:r>
    </w:p>
    <w:p w:rsidR="008870BB" w:rsidRPr="008870BB" w:rsidRDefault="004C7003" w:rsidP="008870BB">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w:t>
      </w:r>
      <w:r w:rsidR="008870BB" w:rsidRPr="008870BB">
        <w:rPr>
          <w:rFonts w:ascii="宋体" w:hAnsi="宋体" w:cs="宋体" w:hint="eastAsia"/>
          <w:color w:val="000000"/>
          <w:kern w:val="0"/>
          <w:sz w:val="24"/>
          <w:szCs w:val="24"/>
        </w:rPr>
        <w:t>兴业证券股份有限公司</w:t>
      </w:r>
    </w:p>
    <w:p w:rsidR="008870BB" w:rsidRPr="008870BB" w:rsidRDefault="008870BB" w:rsidP="008870BB">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sidRPr="008870BB">
        <w:rPr>
          <w:rFonts w:ascii="宋体" w:hAnsi="宋体" w:cs="宋体" w:hint="eastAsia"/>
          <w:color w:val="000000"/>
          <w:kern w:val="0"/>
          <w:sz w:val="24"/>
          <w:szCs w:val="24"/>
        </w:rPr>
        <w:t>电话：95562</w:t>
      </w:r>
    </w:p>
    <w:p w:rsidR="008870BB" w:rsidRPr="008870BB" w:rsidRDefault="008870BB" w:rsidP="008870BB">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sidRPr="008870BB">
        <w:rPr>
          <w:rFonts w:ascii="宋体" w:hAnsi="宋体" w:cs="宋体" w:hint="eastAsia"/>
          <w:color w:val="000000"/>
          <w:kern w:val="0"/>
          <w:sz w:val="24"/>
          <w:szCs w:val="24"/>
        </w:rPr>
        <w:t>网址：</w:t>
      </w:r>
      <w:hyperlink r:id="rId7" w:history="1">
        <w:r w:rsidRPr="008870BB">
          <w:rPr>
            <w:rFonts w:cs="宋体" w:hint="eastAsia"/>
            <w:color w:val="000000"/>
            <w:kern w:val="0"/>
          </w:rPr>
          <w:t>https://www.xyzq.com.cn/</w:t>
        </w:r>
      </w:hyperlink>
    </w:p>
    <w:p w:rsidR="001E497A" w:rsidRDefault="008870BB" w:rsidP="008870BB">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w:t>
      </w:r>
      <w:r w:rsidR="004C7003">
        <w:rPr>
          <w:rFonts w:ascii="宋体" w:hAnsi="宋体" w:cs="宋体" w:hint="eastAsia"/>
          <w:color w:val="000000"/>
          <w:kern w:val="0"/>
          <w:sz w:val="24"/>
          <w:szCs w:val="24"/>
        </w:rPr>
        <w:t>兴业基金管理有限公司</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电话：40000-95561</w:t>
      </w:r>
    </w:p>
    <w:p w:rsidR="001E497A" w:rsidRDefault="004C7003" w:rsidP="008870BB">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网站：</w:t>
      </w:r>
      <w:hyperlink r:id="rId8" w:history="1">
        <w:r w:rsidR="0089514B" w:rsidRPr="008870BB">
          <w:rPr>
            <w:rFonts w:hint="eastAsia"/>
            <w:color w:val="000000"/>
          </w:rPr>
          <w:t>http://www.cib-fund.com.cn</w:t>
        </w:r>
      </w:hyperlink>
    </w:p>
    <w:p w:rsidR="0089514B" w:rsidRDefault="0089514B" w:rsidP="00325BCA">
      <w:pPr>
        <w:widowControl/>
        <w:shd w:val="clear" w:color="auto" w:fill="FFFFFF"/>
        <w:adjustRightInd w:val="0"/>
        <w:snapToGrid w:val="0"/>
        <w:spacing w:line="360" w:lineRule="auto"/>
        <w:ind w:firstLine="465"/>
        <w:jc w:val="left"/>
        <w:rPr>
          <w:rFonts w:ascii="宋体" w:hAnsi="宋体" w:cs="宋体"/>
          <w:color w:val="000000"/>
          <w:kern w:val="0"/>
          <w:sz w:val="24"/>
          <w:szCs w:val="24"/>
        </w:rPr>
      </w:pPr>
    </w:p>
    <w:p w:rsidR="001E497A" w:rsidRDefault="004C7003" w:rsidP="00325BCA">
      <w:pPr>
        <w:widowControl/>
        <w:shd w:val="clear" w:color="auto" w:fill="FFFFFF"/>
        <w:adjustRightInd w:val="0"/>
        <w:snapToGrid w:val="0"/>
        <w:spacing w:line="360" w:lineRule="auto"/>
        <w:ind w:firstLineChars="250" w:firstLine="602"/>
        <w:jc w:val="left"/>
        <w:rPr>
          <w:rFonts w:ascii="宋体" w:hAnsi="宋体" w:cs="宋体"/>
          <w:b/>
          <w:color w:val="000000"/>
          <w:kern w:val="0"/>
          <w:sz w:val="24"/>
          <w:szCs w:val="24"/>
        </w:rPr>
      </w:pPr>
      <w:r>
        <w:rPr>
          <w:rFonts w:ascii="宋体" w:hAnsi="宋体" w:cs="宋体" w:hint="eastAsia"/>
          <w:b/>
          <w:color w:val="000000"/>
          <w:kern w:val="0"/>
          <w:sz w:val="24"/>
          <w:szCs w:val="24"/>
        </w:rPr>
        <w:t xml:space="preserve">九、风险提示 </w:t>
      </w: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风险提示：本公司承诺以诚实信用、勤勉尽责的原则管理和运用基金资产，但不保证基金一定盈利，也不保证最低收益。</w:t>
      </w:r>
      <w:r w:rsidR="00907096" w:rsidRPr="00907096">
        <w:rPr>
          <w:rFonts w:ascii="宋体" w:hAnsi="宋体" w:cs="宋体" w:hint="eastAsia"/>
          <w:color w:val="000000"/>
          <w:kern w:val="0"/>
          <w:sz w:val="24"/>
          <w:szCs w:val="24"/>
        </w:rPr>
        <w:t>投资者购买货币市场基金并不等于将资金作为存款存放在银行或者存款类金融机构基金的过往业绩及其净值高低并不预示其未来业绩表现。</w:t>
      </w:r>
      <w:r>
        <w:rPr>
          <w:rFonts w:ascii="宋体" w:hAnsi="宋体" w:cs="宋体" w:hint="eastAsia"/>
          <w:color w:val="000000"/>
          <w:kern w:val="0"/>
          <w:sz w:val="24"/>
          <w:szCs w:val="24"/>
        </w:rPr>
        <w:t xml:space="preserve">基金封闭期内采取封闭运作模式，不办理申购与赎回业务，开放申购与赎回具体时间以公告为准。定期定额投资是引导投资人进行长期投资、平均投资成本的一种简单易行的投资方式。但是定期定额投资并不能规避基金投资所固有的风险，不能保证投资人获得收益，也不是替代储蓄的等效理财方式。投资者投资基金前应认真阅读基金合同、招募说明书等法律文件，了解所投资基金的风险收益特征，并根据自身情况购买与本人风险承受能力相匹配的产品。敬请投资者注意投资风险。 </w:t>
      </w:r>
    </w:p>
    <w:p w:rsidR="00116774" w:rsidRDefault="00116774"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p>
    <w:p w:rsidR="001E497A" w:rsidRDefault="004C7003"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特此公告。</w:t>
      </w:r>
    </w:p>
    <w:p w:rsidR="001E497A" w:rsidRDefault="001E497A" w:rsidP="00325BCA">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p>
    <w:p w:rsidR="001E497A" w:rsidRDefault="001E497A" w:rsidP="00325BCA">
      <w:pPr>
        <w:widowControl/>
        <w:shd w:val="clear" w:color="auto" w:fill="FFFFFF"/>
        <w:adjustRightInd w:val="0"/>
        <w:snapToGrid w:val="0"/>
        <w:spacing w:line="360" w:lineRule="auto"/>
        <w:jc w:val="left"/>
        <w:rPr>
          <w:rFonts w:ascii="宋体" w:hAnsi="宋体" w:cs="宋体"/>
          <w:color w:val="000000"/>
          <w:kern w:val="0"/>
          <w:sz w:val="24"/>
          <w:szCs w:val="24"/>
        </w:rPr>
      </w:pPr>
    </w:p>
    <w:p w:rsidR="001E497A" w:rsidRDefault="004C7003" w:rsidP="00325BCA">
      <w:pPr>
        <w:widowControl/>
        <w:shd w:val="clear" w:color="auto" w:fill="FFFFFF"/>
        <w:adjustRightInd w:val="0"/>
        <w:snapToGrid w:val="0"/>
        <w:spacing w:line="360" w:lineRule="auto"/>
        <w:jc w:val="right"/>
        <w:rPr>
          <w:rFonts w:ascii="宋体" w:hAnsi="宋体" w:cs="宋体"/>
          <w:color w:val="000000"/>
          <w:kern w:val="0"/>
          <w:sz w:val="24"/>
          <w:szCs w:val="24"/>
        </w:rPr>
      </w:pPr>
      <w:r>
        <w:rPr>
          <w:rFonts w:ascii="宋体" w:hAnsi="宋体" w:cs="宋体" w:hint="eastAsia"/>
          <w:color w:val="000000"/>
          <w:kern w:val="0"/>
          <w:sz w:val="24"/>
          <w:szCs w:val="24"/>
        </w:rPr>
        <w:t>兴业基金管理有限公司</w:t>
      </w:r>
    </w:p>
    <w:p w:rsidR="001E497A" w:rsidRDefault="004C7003" w:rsidP="00116774">
      <w:pPr>
        <w:widowControl/>
        <w:shd w:val="clear" w:color="auto" w:fill="FFFFFF"/>
        <w:adjustRightInd w:val="0"/>
        <w:snapToGrid w:val="0"/>
        <w:spacing w:line="360" w:lineRule="auto"/>
        <w:ind w:right="440"/>
        <w:jc w:val="right"/>
        <w:rPr>
          <w:rFonts w:ascii="宋体" w:hAnsi="宋体" w:cs="宋体"/>
          <w:color w:val="000000"/>
          <w:kern w:val="0"/>
          <w:sz w:val="24"/>
          <w:szCs w:val="24"/>
        </w:rPr>
      </w:pPr>
      <w:r>
        <w:rPr>
          <w:rFonts w:ascii="宋体" w:hAnsi="宋体" w:cs="宋体" w:hint="eastAsia"/>
          <w:color w:val="000000"/>
          <w:kern w:val="0"/>
          <w:sz w:val="22"/>
        </w:rPr>
        <w:t>2020年</w:t>
      </w:r>
      <w:r w:rsidR="002448F9">
        <w:rPr>
          <w:rFonts w:ascii="宋体" w:hAnsi="宋体" w:cs="宋体" w:hint="eastAsia"/>
          <w:color w:val="000000"/>
          <w:kern w:val="0"/>
          <w:sz w:val="22"/>
        </w:rPr>
        <w:t>4</w:t>
      </w:r>
      <w:r w:rsidR="002C7866">
        <w:rPr>
          <w:rFonts w:ascii="宋体" w:hAnsi="宋体" w:cs="宋体" w:hint="eastAsia"/>
          <w:color w:val="000000"/>
          <w:kern w:val="0"/>
          <w:sz w:val="22"/>
        </w:rPr>
        <w:t>月</w:t>
      </w:r>
      <w:r w:rsidR="002448F9">
        <w:rPr>
          <w:rFonts w:ascii="宋体" w:hAnsi="宋体" w:cs="宋体" w:hint="eastAsia"/>
          <w:color w:val="000000"/>
          <w:kern w:val="0"/>
          <w:sz w:val="22"/>
        </w:rPr>
        <w:t>3</w:t>
      </w:r>
      <w:r w:rsidR="002C7866">
        <w:rPr>
          <w:rFonts w:ascii="宋体" w:hAnsi="宋体" w:cs="宋体" w:hint="eastAsia"/>
          <w:color w:val="000000"/>
          <w:kern w:val="0"/>
          <w:sz w:val="22"/>
        </w:rPr>
        <w:t>日</w:t>
      </w:r>
    </w:p>
    <w:p w:rsidR="004C7003" w:rsidRDefault="004C7003" w:rsidP="00325BCA">
      <w:pPr>
        <w:adjustRightInd w:val="0"/>
        <w:snapToGrid w:val="0"/>
        <w:spacing w:line="360" w:lineRule="auto"/>
        <w:rPr>
          <w:rFonts w:ascii="仿宋" w:eastAsia="仿宋" w:hAnsi="仿宋" w:cs="仿宋"/>
          <w:sz w:val="24"/>
          <w:szCs w:val="24"/>
        </w:rPr>
      </w:pPr>
    </w:p>
    <w:sectPr w:rsidR="004C7003" w:rsidSect="001E497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AAB" w:rsidRDefault="00F14AAB">
      <w:pPr>
        <w:rPr>
          <w:sz w:val="18"/>
        </w:rPr>
      </w:pPr>
    </w:p>
  </w:endnote>
  <w:endnote w:type="continuationSeparator" w:id="1">
    <w:p w:rsidR="00F14AAB" w:rsidRDefault="00F14AAB">
      <w:pPr>
        <w:rPr>
          <w:sz w:val="1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CF3C50" w:usb2="00000016" w:usb3="00000000" w:csb0="0004001F"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AAB" w:rsidRDefault="00F14AAB">
      <w:pPr>
        <w:rPr>
          <w:sz w:val="18"/>
        </w:rPr>
      </w:pPr>
    </w:p>
  </w:footnote>
  <w:footnote w:type="continuationSeparator" w:id="1">
    <w:p w:rsidR="00F14AAB" w:rsidRDefault="00F14AAB">
      <w:pPr>
        <w:rPr>
          <w:sz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4EE1C"/>
    <w:multiLevelType w:val="multilevel"/>
    <w:tmpl w:val="4A74EE1C"/>
    <w:lvl w:ilvl="0">
      <w:start w:val="1"/>
      <w:numFmt w:val="decimal"/>
      <w:suff w:val="space"/>
      <w:lvlText w:val="%1"/>
      <w:lvlJc w:val="left"/>
      <w:pPr>
        <w:ind w:left="120" w:firstLine="0"/>
      </w:pPr>
      <w:rPr>
        <w:rFonts w:hint="default"/>
      </w:rPr>
    </w:lvl>
    <w:lvl w:ilvl="1">
      <w:start w:val="1"/>
      <w:numFmt w:val="decimal"/>
      <w:suff w:val="space"/>
      <w:lvlText w:val="%1.%2"/>
      <w:lvlJc w:val="left"/>
      <w:pPr>
        <w:ind w:left="120" w:firstLine="0"/>
      </w:pPr>
      <w:rPr>
        <w:rFonts w:hint="default"/>
      </w:rPr>
    </w:lvl>
    <w:lvl w:ilvl="2">
      <w:start w:val="1"/>
      <w:numFmt w:val="decimal"/>
      <w:suff w:val="space"/>
      <w:lvlText w:val="%1.%2.%3"/>
      <w:lvlJc w:val="left"/>
      <w:pPr>
        <w:ind w:left="120" w:firstLine="0"/>
      </w:pPr>
      <w:rPr>
        <w:rFonts w:hint="default"/>
      </w:rPr>
    </w:lvl>
    <w:lvl w:ilvl="3">
      <w:start w:val="1"/>
      <w:numFmt w:val="decimal"/>
      <w:suff w:val="space"/>
      <w:lvlText w:val="%1.%2.%3.%4"/>
      <w:lvlJc w:val="left"/>
      <w:pPr>
        <w:ind w:left="120" w:firstLine="0"/>
      </w:pPr>
      <w:rPr>
        <w:rFonts w:hint="default"/>
      </w:rPr>
    </w:lvl>
    <w:lvl w:ilvl="4">
      <w:start w:val="1"/>
      <w:numFmt w:val="decimal"/>
      <w:suff w:val="space"/>
      <w:lvlText w:val="%1.%2.%3.%4.%5"/>
      <w:lvlJc w:val="left"/>
      <w:pPr>
        <w:ind w:left="120" w:firstLine="0"/>
      </w:pPr>
      <w:rPr>
        <w:rFonts w:hint="default"/>
      </w:rPr>
    </w:lvl>
    <w:lvl w:ilvl="5">
      <w:start w:val="1"/>
      <w:numFmt w:val="decimal"/>
      <w:suff w:val="space"/>
      <w:lvlText w:val="%1.%2.%3.%4.%5.%6"/>
      <w:lvlJc w:val="left"/>
      <w:pPr>
        <w:ind w:left="120" w:firstLine="0"/>
      </w:pPr>
      <w:rPr>
        <w:rFonts w:hint="default"/>
      </w:rPr>
    </w:lvl>
    <w:lvl w:ilvl="6">
      <w:start w:val="1"/>
      <w:numFmt w:val="decimal"/>
      <w:suff w:val="space"/>
      <w:lvlText w:val="%1.%2.%3.%4.%5.%6.%7"/>
      <w:lvlJc w:val="left"/>
      <w:pPr>
        <w:ind w:left="120" w:firstLine="0"/>
      </w:pPr>
      <w:rPr>
        <w:rFonts w:hint="default"/>
      </w:rPr>
    </w:lvl>
    <w:lvl w:ilvl="7">
      <w:start w:val="1"/>
      <w:numFmt w:val="decimal"/>
      <w:suff w:val="space"/>
      <w:lvlText w:val="%1.%2.%3.%4.%5.%6.%7.%8"/>
      <w:lvlJc w:val="left"/>
      <w:pPr>
        <w:ind w:left="120" w:firstLine="0"/>
      </w:pPr>
      <w:rPr>
        <w:rFonts w:hint="default"/>
      </w:rPr>
    </w:lvl>
    <w:lvl w:ilvl="8">
      <w:start w:val="1"/>
      <w:numFmt w:val="decimal"/>
      <w:suff w:val="space"/>
      <w:lvlText w:val="%1.%2.%3.%4.%5.%6.%7.%8.%9"/>
      <w:lvlJc w:val="left"/>
      <w:pPr>
        <w:ind w:left="120" w:firstLine="0"/>
      </w:pPr>
      <w:rPr>
        <w:rFonts w:hint="default"/>
      </w:rPr>
    </w:lvl>
  </w:abstractNum>
  <w:abstractNum w:abstractNumId="1">
    <w:nsid w:val="593E57EF"/>
    <w:multiLevelType w:val="multilevel"/>
    <w:tmpl w:val="593E57EF"/>
    <w:lvl w:ilvl="0">
      <w:start w:val="1"/>
      <w:numFmt w:val="japaneseCounting"/>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B459ADE"/>
    <w:multiLevelType w:val="singleLevel"/>
    <w:tmpl w:val="5B459ADE"/>
    <w:lvl w:ilvl="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hdrShapeDefaults>
    <o:shapedefaults v:ext="edit" spidmax="26625"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5132"/>
    <w:rsid w:val="00005270"/>
    <w:rsid w:val="00010925"/>
    <w:rsid w:val="000147C1"/>
    <w:rsid w:val="0002369B"/>
    <w:rsid w:val="00077AD1"/>
    <w:rsid w:val="00085AC5"/>
    <w:rsid w:val="000A4FA4"/>
    <w:rsid w:val="000B5A60"/>
    <w:rsid w:val="000C005E"/>
    <w:rsid w:val="000E4388"/>
    <w:rsid w:val="000E651B"/>
    <w:rsid w:val="00105998"/>
    <w:rsid w:val="00116774"/>
    <w:rsid w:val="0013493A"/>
    <w:rsid w:val="00141783"/>
    <w:rsid w:val="00172A27"/>
    <w:rsid w:val="00175933"/>
    <w:rsid w:val="001A1718"/>
    <w:rsid w:val="001A2668"/>
    <w:rsid w:val="001A26F2"/>
    <w:rsid w:val="001A3358"/>
    <w:rsid w:val="001B2FE0"/>
    <w:rsid w:val="001B5B97"/>
    <w:rsid w:val="001E497A"/>
    <w:rsid w:val="002127A3"/>
    <w:rsid w:val="00225E7E"/>
    <w:rsid w:val="0024268E"/>
    <w:rsid w:val="002448F9"/>
    <w:rsid w:val="00245967"/>
    <w:rsid w:val="002459CC"/>
    <w:rsid w:val="002605CA"/>
    <w:rsid w:val="002636D5"/>
    <w:rsid w:val="002759A0"/>
    <w:rsid w:val="00284D37"/>
    <w:rsid w:val="00284FF3"/>
    <w:rsid w:val="002901BA"/>
    <w:rsid w:val="002902A4"/>
    <w:rsid w:val="00296E89"/>
    <w:rsid w:val="002A10BC"/>
    <w:rsid w:val="002A6CBC"/>
    <w:rsid w:val="002C7866"/>
    <w:rsid w:val="002D0884"/>
    <w:rsid w:val="002E2272"/>
    <w:rsid w:val="002F0320"/>
    <w:rsid w:val="00325BCA"/>
    <w:rsid w:val="00330DF8"/>
    <w:rsid w:val="003516EB"/>
    <w:rsid w:val="00390FE5"/>
    <w:rsid w:val="003B1741"/>
    <w:rsid w:val="003C07D6"/>
    <w:rsid w:val="003C253B"/>
    <w:rsid w:val="004111B7"/>
    <w:rsid w:val="00422B45"/>
    <w:rsid w:val="004436E1"/>
    <w:rsid w:val="00447096"/>
    <w:rsid w:val="0046065A"/>
    <w:rsid w:val="00461121"/>
    <w:rsid w:val="004633B9"/>
    <w:rsid w:val="00484B7A"/>
    <w:rsid w:val="00493F3A"/>
    <w:rsid w:val="004A020D"/>
    <w:rsid w:val="004A3E02"/>
    <w:rsid w:val="004C7003"/>
    <w:rsid w:val="004D0EDC"/>
    <w:rsid w:val="004D3B3B"/>
    <w:rsid w:val="004D5D6A"/>
    <w:rsid w:val="00512EB1"/>
    <w:rsid w:val="00522115"/>
    <w:rsid w:val="005466EA"/>
    <w:rsid w:val="00571BE3"/>
    <w:rsid w:val="0058429F"/>
    <w:rsid w:val="00585893"/>
    <w:rsid w:val="005A7DFE"/>
    <w:rsid w:val="005E0413"/>
    <w:rsid w:val="0063400E"/>
    <w:rsid w:val="00664E42"/>
    <w:rsid w:val="00675C6B"/>
    <w:rsid w:val="00687D1A"/>
    <w:rsid w:val="006926E8"/>
    <w:rsid w:val="006934DC"/>
    <w:rsid w:val="006B5DE0"/>
    <w:rsid w:val="006B5F9C"/>
    <w:rsid w:val="006C25E5"/>
    <w:rsid w:val="006C6B85"/>
    <w:rsid w:val="006F119B"/>
    <w:rsid w:val="00717535"/>
    <w:rsid w:val="00734582"/>
    <w:rsid w:val="00782F7A"/>
    <w:rsid w:val="00796A5C"/>
    <w:rsid w:val="007A049C"/>
    <w:rsid w:val="007F2215"/>
    <w:rsid w:val="00827879"/>
    <w:rsid w:val="00862C37"/>
    <w:rsid w:val="00870C24"/>
    <w:rsid w:val="00871222"/>
    <w:rsid w:val="008846B5"/>
    <w:rsid w:val="008870BB"/>
    <w:rsid w:val="00891163"/>
    <w:rsid w:val="0089514B"/>
    <w:rsid w:val="008A4B69"/>
    <w:rsid w:val="008C5B05"/>
    <w:rsid w:val="008C5DE9"/>
    <w:rsid w:val="00907096"/>
    <w:rsid w:val="00913082"/>
    <w:rsid w:val="009651E4"/>
    <w:rsid w:val="009A12F8"/>
    <w:rsid w:val="009A15DF"/>
    <w:rsid w:val="009B2AA1"/>
    <w:rsid w:val="009D2A7E"/>
    <w:rsid w:val="009D6CB8"/>
    <w:rsid w:val="009D6DB9"/>
    <w:rsid w:val="009E07CA"/>
    <w:rsid w:val="009F33F2"/>
    <w:rsid w:val="009F4591"/>
    <w:rsid w:val="00A02B7B"/>
    <w:rsid w:val="00A26178"/>
    <w:rsid w:val="00A34AD7"/>
    <w:rsid w:val="00A44E05"/>
    <w:rsid w:val="00A60F88"/>
    <w:rsid w:val="00A831E9"/>
    <w:rsid w:val="00A96ABC"/>
    <w:rsid w:val="00A97D6D"/>
    <w:rsid w:val="00AC25DC"/>
    <w:rsid w:val="00AD20A7"/>
    <w:rsid w:val="00AD6E0B"/>
    <w:rsid w:val="00AD7E92"/>
    <w:rsid w:val="00B177EB"/>
    <w:rsid w:val="00B24298"/>
    <w:rsid w:val="00B3638E"/>
    <w:rsid w:val="00B40EC7"/>
    <w:rsid w:val="00B40FDD"/>
    <w:rsid w:val="00B52DB8"/>
    <w:rsid w:val="00B65329"/>
    <w:rsid w:val="00B65F7F"/>
    <w:rsid w:val="00B708D8"/>
    <w:rsid w:val="00B8012F"/>
    <w:rsid w:val="00B91DFC"/>
    <w:rsid w:val="00B95FFF"/>
    <w:rsid w:val="00BD333B"/>
    <w:rsid w:val="00BE6B19"/>
    <w:rsid w:val="00BE6E89"/>
    <w:rsid w:val="00BF1734"/>
    <w:rsid w:val="00C103B7"/>
    <w:rsid w:val="00C47B0F"/>
    <w:rsid w:val="00C74A35"/>
    <w:rsid w:val="00C81906"/>
    <w:rsid w:val="00CA79F6"/>
    <w:rsid w:val="00CC6D06"/>
    <w:rsid w:val="00D330C5"/>
    <w:rsid w:val="00D5563D"/>
    <w:rsid w:val="00DE3686"/>
    <w:rsid w:val="00E00255"/>
    <w:rsid w:val="00E078BF"/>
    <w:rsid w:val="00E20796"/>
    <w:rsid w:val="00E46076"/>
    <w:rsid w:val="00E5689E"/>
    <w:rsid w:val="00E5740B"/>
    <w:rsid w:val="00E6020F"/>
    <w:rsid w:val="00E70762"/>
    <w:rsid w:val="00E877BB"/>
    <w:rsid w:val="00EA4342"/>
    <w:rsid w:val="00EB1FD9"/>
    <w:rsid w:val="00EB4FE3"/>
    <w:rsid w:val="00ED033F"/>
    <w:rsid w:val="00EE34D0"/>
    <w:rsid w:val="00F14AAB"/>
    <w:rsid w:val="00F3226C"/>
    <w:rsid w:val="00F70EE0"/>
    <w:rsid w:val="00F9180E"/>
    <w:rsid w:val="00FA6B36"/>
    <w:rsid w:val="00FB10D4"/>
    <w:rsid w:val="00FB3084"/>
    <w:rsid w:val="00FF50CF"/>
    <w:rsid w:val="020B698B"/>
    <w:rsid w:val="05F06554"/>
    <w:rsid w:val="062130FE"/>
    <w:rsid w:val="069611E3"/>
    <w:rsid w:val="0C264625"/>
    <w:rsid w:val="0E7562A1"/>
    <w:rsid w:val="0FC50F5F"/>
    <w:rsid w:val="0FD20C0F"/>
    <w:rsid w:val="107A58A5"/>
    <w:rsid w:val="128167E8"/>
    <w:rsid w:val="12B231DC"/>
    <w:rsid w:val="13CF5E44"/>
    <w:rsid w:val="143435C4"/>
    <w:rsid w:val="17C82904"/>
    <w:rsid w:val="18CE2484"/>
    <w:rsid w:val="18E24CEB"/>
    <w:rsid w:val="1C117B4D"/>
    <w:rsid w:val="20026F11"/>
    <w:rsid w:val="21465AC8"/>
    <w:rsid w:val="239740D6"/>
    <w:rsid w:val="23E64BB0"/>
    <w:rsid w:val="23EC10BB"/>
    <w:rsid w:val="24A91B05"/>
    <w:rsid w:val="24B137B1"/>
    <w:rsid w:val="28634C33"/>
    <w:rsid w:val="2B586447"/>
    <w:rsid w:val="2BD527C1"/>
    <w:rsid w:val="2EF97FB8"/>
    <w:rsid w:val="30436181"/>
    <w:rsid w:val="311A50EF"/>
    <w:rsid w:val="35FF144B"/>
    <w:rsid w:val="36241BA8"/>
    <w:rsid w:val="38C92805"/>
    <w:rsid w:val="3A9F541E"/>
    <w:rsid w:val="3B582519"/>
    <w:rsid w:val="3E061D40"/>
    <w:rsid w:val="3EE04EBF"/>
    <w:rsid w:val="3F9D23D5"/>
    <w:rsid w:val="40D254F7"/>
    <w:rsid w:val="41C40536"/>
    <w:rsid w:val="41F52ED9"/>
    <w:rsid w:val="4257206A"/>
    <w:rsid w:val="44104F85"/>
    <w:rsid w:val="47A73764"/>
    <w:rsid w:val="485858BD"/>
    <w:rsid w:val="49881563"/>
    <w:rsid w:val="4B2D45F4"/>
    <w:rsid w:val="4C2C5E46"/>
    <w:rsid w:val="4D772FE6"/>
    <w:rsid w:val="4D8D0857"/>
    <w:rsid w:val="5025673B"/>
    <w:rsid w:val="519925A3"/>
    <w:rsid w:val="522249CE"/>
    <w:rsid w:val="5549757D"/>
    <w:rsid w:val="579C7BED"/>
    <w:rsid w:val="57A56D74"/>
    <w:rsid w:val="57EF36DE"/>
    <w:rsid w:val="58757279"/>
    <w:rsid w:val="593320B8"/>
    <w:rsid w:val="5A1102C3"/>
    <w:rsid w:val="5AC77427"/>
    <w:rsid w:val="5AED75CC"/>
    <w:rsid w:val="5D2038D6"/>
    <w:rsid w:val="5E627739"/>
    <w:rsid w:val="5F040DBE"/>
    <w:rsid w:val="5F661998"/>
    <w:rsid w:val="5FCF17C0"/>
    <w:rsid w:val="61DA31F3"/>
    <w:rsid w:val="61FF0533"/>
    <w:rsid w:val="623552EE"/>
    <w:rsid w:val="64B20B23"/>
    <w:rsid w:val="66234137"/>
    <w:rsid w:val="6AA637FA"/>
    <w:rsid w:val="6D1F485B"/>
    <w:rsid w:val="6F306C86"/>
    <w:rsid w:val="717A1165"/>
    <w:rsid w:val="71FB4229"/>
    <w:rsid w:val="7211189F"/>
    <w:rsid w:val="72382E46"/>
    <w:rsid w:val="7295439D"/>
    <w:rsid w:val="72985F0B"/>
    <w:rsid w:val="73D16662"/>
    <w:rsid w:val="73F14506"/>
    <w:rsid w:val="74EF4D91"/>
    <w:rsid w:val="76DA7A4A"/>
    <w:rsid w:val="7AB03DE4"/>
    <w:rsid w:val="7B6427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Table" w:semiHidden="0" w:qFormat="1"/>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9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unhideWhenUsed/>
    <w:rsid w:val="001E497A"/>
    <w:rPr>
      <w:color w:val="666666"/>
      <w:u w:val="none"/>
    </w:rPr>
  </w:style>
  <w:style w:type="character" w:styleId="a4">
    <w:name w:val="annotation reference"/>
    <w:uiPriority w:val="99"/>
    <w:unhideWhenUsed/>
    <w:rsid w:val="001E497A"/>
    <w:rPr>
      <w:sz w:val="21"/>
      <w:szCs w:val="21"/>
    </w:rPr>
  </w:style>
  <w:style w:type="character" w:styleId="a5">
    <w:name w:val="Emphasis"/>
    <w:uiPriority w:val="20"/>
    <w:qFormat/>
    <w:rsid w:val="001E497A"/>
    <w:rPr>
      <w:i w:val="0"/>
    </w:rPr>
  </w:style>
  <w:style w:type="character" w:styleId="a6">
    <w:name w:val="Hyperlink"/>
    <w:uiPriority w:val="99"/>
    <w:unhideWhenUsed/>
    <w:rsid w:val="001E497A"/>
    <w:rPr>
      <w:color w:val="666666"/>
      <w:u w:val="none"/>
    </w:rPr>
  </w:style>
  <w:style w:type="character" w:customStyle="1" w:styleId="Char">
    <w:name w:val="批注框文本 Char"/>
    <w:link w:val="a7"/>
    <w:uiPriority w:val="99"/>
    <w:semiHidden/>
    <w:rsid w:val="001E497A"/>
    <w:rPr>
      <w:kern w:val="2"/>
      <w:sz w:val="18"/>
      <w:szCs w:val="18"/>
    </w:rPr>
  </w:style>
  <w:style w:type="character" w:customStyle="1" w:styleId="Char0">
    <w:name w:val="页脚 Char"/>
    <w:link w:val="a8"/>
    <w:uiPriority w:val="99"/>
    <w:semiHidden/>
    <w:rsid w:val="001E497A"/>
    <w:rPr>
      <w:sz w:val="18"/>
      <w:szCs w:val="18"/>
    </w:rPr>
  </w:style>
  <w:style w:type="character" w:customStyle="1" w:styleId="href">
    <w:name w:val="href"/>
    <w:rsid w:val="001E497A"/>
    <w:rPr>
      <w:color w:val="0000FF"/>
      <w:u w:val="single"/>
    </w:rPr>
  </w:style>
  <w:style w:type="character" w:customStyle="1" w:styleId="Char1">
    <w:name w:val="批注文字 Char"/>
    <w:link w:val="a9"/>
    <w:uiPriority w:val="99"/>
    <w:semiHidden/>
    <w:rsid w:val="001E497A"/>
    <w:rPr>
      <w:kern w:val="2"/>
      <w:sz w:val="21"/>
      <w:szCs w:val="22"/>
    </w:rPr>
  </w:style>
  <w:style w:type="character" w:customStyle="1" w:styleId="Char2">
    <w:name w:val="页眉 Char"/>
    <w:link w:val="aa"/>
    <w:uiPriority w:val="99"/>
    <w:semiHidden/>
    <w:rsid w:val="001E497A"/>
    <w:rPr>
      <w:sz w:val="18"/>
      <w:szCs w:val="18"/>
    </w:rPr>
  </w:style>
  <w:style w:type="character" w:customStyle="1" w:styleId="font11">
    <w:name w:val="font11"/>
    <w:rsid w:val="001E497A"/>
    <w:rPr>
      <w:rFonts w:ascii="宋体" w:eastAsia="宋体" w:hAnsi="宋体" w:cs="宋体" w:hint="eastAsia"/>
      <w:i w:val="0"/>
      <w:color w:val="000000"/>
      <w:sz w:val="21"/>
      <w:szCs w:val="21"/>
      <w:u w:val="none"/>
    </w:rPr>
  </w:style>
  <w:style w:type="character" w:customStyle="1" w:styleId="Char3">
    <w:name w:val="批注主题 Char"/>
    <w:link w:val="ab"/>
    <w:uiPriority w:val="99"/>
    <w:semiHidden/>
    <w:rsid w:val="001E497A"/>
    <w:rPr>
      <w:b/>
      <w:bCs/>
      <w:kern w:val="2"/>
      <w:sz w:val="21"/>
      <w:szCs w:val="22"/>
    </w:rPr>
  </w:style>
  <w:style w:type="character" w:customStyle="1" w:styleId="first-child">
    <w:name w:val="first-child"/>
    <w:rsid w:val="001E497A"/>
    <w:rPr>
      <w:vanish/>
    </w:rPr>
  </w:style>
  <w:style w:type="character" w:customStyle="1" w:styleId="font01">
    <w:name w:val="font01"/>
    <w:qFormat/>
    <w:rsid w:val="001E497A"/>
    <w:rPr>
      <w:rFonts w:ascii="宋体" w:eastAsia="宋体" w:hAnsi="宋体" w:cs="宋体" w:hint="eastAsia"/>
      <w:color w:val="000000"/>
      <w:sz w:val="22"/>
      <w:szCs w:val="22"/>
      <w:u w:val="none"/>
    </w:rPr>
  </w:style>
  <w:style w:type="paragraph" w:styleId="ab">
    <w:name w:val="annotation subject"/>
    <w:basedOn w:val="a9"/>
    <w:next w:val="a9"/>
    <w:link w:val="Char3"/>
    <w:uiPriority w:val="99"/>
    <w:unhideWhenUsed/>
    <w:rsid w:val="001E497A"/>
    <w:rPr>
      <w:b/>
      <w:bCs/>
    </w:rPr>
  </w:style>
  <w:style w:type="paragraph" w:styleId="aa">
    <w:name w:val="header"/>
    <w:basedOn w:val="a"/>
    <w:link w:val="Char2"/>
    <w:uiPriority w:val="99"/>
    <w:unhideWhenUsed/>
    <w:rsid w:val="001E497A"/>
    <w:pPr>
      <w:pBdr>
        <w:bottom w:val="single" w:sz="6" w:space="1" w:color="auto"/>
      </w:pBdr>
      <w:tabs>
        <w:tab w:val="center" w:pos="4153"/>
        <w:tab w:val="right" w:pos="8306"/>
      </w:tabs>
      <w:snapToGrid w:val="0"/>
      <w:jc w:val="center"/>
    </w:pPr>
    <w:rPr>
      <w:kern w:val="0"/>
      <w:sz w:val="18"/>
      <w:szCs w:val="18"/>
    </w:rPr>
  </w:style>
  <w:style w:type="paragraph" w:styleId="a9">
    <w:name w:val="annotation text"/>
    <w:basedOn w:val="a"/>
    <w:link w:val="Char1"/>
    <w:uiPriority w:val="99"/>
    <w:unhideWhenUsed/>
    <w:rsid w:val="001E497A"/>
    <w:pPr>
      <w:jc w:val="left"/>
    </w:pPr>
  </w:style>
  <w:style w:type="paragraph" w:styleId="a8">
    <w:name w:val="footer"/>
    <w:basedOn w:val="a"/>
    <w:link w:val="Char0"/>
    <w:uiPriority w:val="99"/>
    <w:unhideWhenUsed/>
    <w:rsid w:val="001E497A"/>
    <w:pPr>
      <w:tabs>
        <w:tab w:val="center" w:pos="4153"/>
        <w:tab w:val="right" w:pos="8306"/>
      </w:tabs>
      <w:snapToGrid w:val="0"/>
      <w:jc w:val="left"/>
    </w:pPr>
    <w:rPr>
      <w:kern w:val="0"/>
      <w:sz w:val="18"/>
      <w:szCs w:val="18"/>
    </w:rPr>
  </w:style>
  <w:style w:type="paragraph" w:styleId="a7">
    <w:name w:val="Balloon Text"/>
    <w:basedOn w:val="a"/>
    <w:link w:val="Char"/>
    <w:uiPriority w:val="99"/>
    <w:unhideWhenUsed/>
    <w:rsid w:val="001E497A"/>
    <w:rPr>
      <w:sz w:val="18"/>
      <w:szCs w:val="18"/>
    </w:rPr>
  </w:style>
  <w:style w:type="paragraph" w:customStyle="1" w:styleId="Default">
    <w:name w:val="Default"/>
    <w:rsid w:val="001E497A"/>
    <w:pPr>
      <w:widowControl w:val="0"/>
      <w:autoSpaceDE w:val="0"/>
      <w:autoSpaceDN w:val="0"/>
      <w:adjustRightInd w:val="0"/>
    </w:pPr>
    <w:rPr>
      <w:rFonts w:ascii="微软雅黑" w:eastAsia="微软雅黑" w:cs="微软雅黑"/>
      <w:color w:val="000000"/>
      <w:sz w:val="24"/>
      <w:szCs w:val="24"/>
    </w:rPr>
  </w:style>
  <w:style w:type="table" w:styleId="ac">
    <w:name w:val="Table Grid"/>
    <w:basedOn w:val="a1"/>
    <w:uiPriority w:val="59"/>
    <w:rsid w:val="001E49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10248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b-fund.com.cn" TargetMode="External"/><Relationship Id="rId3" Type="http://schemas.openxmlformats.org/officeDocument/2006/relationships/settings" Target="settings.xml"/><Relationship Id="rId7" Type="http://schemas.openxmlformats.org/officeDocument/2006/relationships/hyperlink" Target="https://www.xyzq.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4528</Characters>
  <Application>Microsoft Office Word</Application>
  <DocSecurity>4</DocSecurity>
  <PresentationFormat/>
  <Lines>37</Lines>
  <Paragraphs>10</Paragraphs>
  <Slides>0</Slides>
  <Notes>0</Notes>
  <HiddenSlides>0</HiddenSlides>
  <MMClips>0</MMClips>
  <ScaleCrop>false</ScaleCrop>
  <Company>Microsoft</Company>
  <LinksUpToDate>false</LinksUpToDate>
  <CharactersWithSpaces>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许野</dc:creator>
  <cp:lastModifiedBy>JonMMx 2000</cp:lastModifiedBy>
  <cp:revision>2</cp:revision>
  <cp:lastPrinted>2019-02-21T03:06:00Z</cp:lastPrinted>
  <dcterms:created xsi:type="dcterms:W3CDTF">2020-04-02T16:00:00Z</dcterms:created>
  <dcterms:modified xsi:type="dcterms:W3CDTF">2020-04-02T16:00:00Z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