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1D" w:rsidRPr="00264356" w:rsidRDefault="0011521D" w:rsidP="008F1EC5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华泰柏瑞基金管理有限公司关于旗下</w:t>
      </w:r>
      <w:r w:rsidR="002543E7" w:rsidRPr="002543E7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基金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参加</w:t>
      </w:r>
      <w:r w:rsidR="00D8117A" w:rsidRPr="00D8117A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和合期货有限公司</w:t>
      </w:r>
      <w:r w:rsidRPr="00264356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费率优惠活动的公告</w:t>
      </w:r>
    </w:p>
    <w:p w:rsidR="003F0788" w:rsidRPr="00D8117A" w:rsidRDefault="003F078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为答谢广大客户长期以来给予的信任与支持，</w:t>
      </w:r>
      <w:r w:rsidR="0049134E" w:rsidRP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华泰柏瑞基金管理有限公司（以下简称“本公司”）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与</w:t>
      </w:r>
      <w:r w:rsidR="00D8117A" w:rsidRP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和合期货有限公司</w:t>
      </w:r>
      <w:r w:rsidR="00F921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（</w:t>
      </w:r>
      <w:r w:rsidR="00F9214C" w:rsidRPr="00F921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以下简称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“和合期货”</w:t>
      </w:r>
      <w:r w:rsidR="00F921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）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协商一致，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自20</w:t>
      </w:r>
      <w:r w:rsidR="002543E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="002717FF" w:rsidRP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</w:t>
      </w:r>
      <w:r w:rsidR="002717FF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49134E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本公司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旗下</w:t>
      </w:r>
      <w:r w:rsidR="002543E7" w:rsidRPr="002543E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参加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的费率优惠活动。现将具体费率优惠情况公告如下：</w:t>
      </w:r>
    </w:p>
    <w:p w:rsidR="00316DC5" w:rsidRPr="0080678B" w:rsidRDefault="00316DC5" w:rsidP="00264356">
      <w:pPr>
        <w:spacing w:line="360" w:lineRule="auto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2717FF" w:rsidRDefault="002717FF" w:rsidP="002717FF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 w:rsidRPr="002717FF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一、</w:t>
      </w: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适用基金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5387"/>
        <w:gridCol w:w="2318"/>
      </w:tblGrid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基金代码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华泰柏瑞盛世中国混合型证券投资基金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460001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华泰柏瑞积极成长混合型证券投资基金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460002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华泰柏瑞金字塔稳本增利债券型证券投资基金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B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460003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华泰柏瑞价值增长混合型证券投资基金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460005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华泰柏瑞货币市场证券投资基金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/B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460006/460106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华泰柏瑞行业领先混合型证券投资基金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460007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华泰柏瑞量化先行混合型证券投资基金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460009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华泰柏瑞亚洲领导企业混合型证券投资基金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460010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华泰柏瑞上证中小盘交易型开放式指数证券投资基金联接基金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460220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华泰柏瑞核心优势混合型证券投资基金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006643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华泰柏瑞沪深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300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交易型开放式指数证券投资基金联接基金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460300/006131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华泰柏瑞稳健收益债券型证券投资基金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460008/460108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华泰柏瑞量化增强混合型证券投资基金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000172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华泰柏瑞丰盛纯债债券型证券投资基金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000187/000188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华泰柏瑞季季红债券型证券投资基金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000186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华泰柏瑞创新升级混合型证券投资基金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000566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华泰柏瑞丰汇债券型证券投资基金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000421/000422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华泰柏瑞量化优选灵活配置混合型证券投资基金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000877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华泰柏瑞创新动力灵活配置混合型证券投资基金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000967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华泰柏瑞量化驱动灵活配置混合型证券投资基金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001074/006531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华泰柏瑞积极优选股票型证券投资基金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001097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华泰柏瑞中证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500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交易型开放式指数证券投资基金联接基金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001214/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006087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华泰柏瑞消费成长灵活配置混合型证券投资基金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001069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泰柏瑞新利灵活配置混合型证券投资基金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//C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001247/002091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华泰柏瑞量化智慧灵活配置混合型证券投资基金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001244/006104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华泰柏瑞健康生活灵活配置混合型证券投资基金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001398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华泰柏瑞量化绝对收益策略定期开放混合型发起式证券投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001073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华泰柏瑞激励动力灵活配置混合型证券投资基金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001815/002082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华泰柏瑞量化对冲稳健收益定期开放混合型发起式证券投资基金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002804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华泰柏瑞多策略灵活配置混合型证券投资基金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003175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华泰柏瑞天添宝货币市场基金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/B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003246/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003871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华泰柏瑞新经济沪港深灵活配置混合型证券投资基金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003413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泰柏瑞量化明选混合型证券投资基金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Del="00A870A9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006942/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006943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华泰柏瑞量化创优灵活配置混合型证券投资基金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004394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华泰柏瑞生物医药灵活配置混合型证券投资基金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004905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华泰柏瑞富利灵活配置混合型证券投资基金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004475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华泰柏瑞量化阿尔法灵活配置混合型证券投资基金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005055/006532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华泰柏瑞港股通量化灵活配置混合型证券投资基金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005269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华泰柏瑞战略新兴产业混合型证券投资基金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005409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华泰柏瑞新金融地产灵活配置混合型证券投资基金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005576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华泰柏瑞国企整合精选混合型证券投资基金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005806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华泰柏瑞医疗健康混合型证券投资基金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005805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华泰柏瑞现代服务业混合型证券投资基金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006236</w:t>
            </w:r>
          </w:p>
        </w:tc>
      </w:tr>
      <w:tr w:rsidR="00D8117A" w:rsidRPr="00124A69" w:rsidTr="00562D14">
        <w:trPr>
          <w:trHeight w:val="255"/>
          <w:jc w:val="center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华泰柏瑞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MSCI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中国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股国际通交易型开放式指数证券投资基金联接基金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类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/C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D8117A" w:rsidRPr="00D8117A" w:rsidRDefault="00D8117A" w:rsidP="00D811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006286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/</w:t>
            </w:r>
            <w:r w:rsidRPr="00D8117A">
              <w:rPr>
                <w:rFonts w:ascii="Arial" w:eastAsia="宋体" w:hAnsi="Arial" w:cs="Arial"/>
                <w:kern w:val="0"/>
                <w:sz w:val="20"/>
                <w:szCs w:val="20"/>
              </w:rPr>
              <w:t>006</w:t>
            </w:r>
            <w:r w:rsidRPr="00D8117A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293</w:t>
            </w:r>
          </w:p>
        </w:tc>
      </w:tr>
    </w:tbl>
    <w:p w:rsidR="00C82AA9" w:rsidRPr="00896BAC" w:rsidRDefault="00C82AA9" w:rsidP="00D70F30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二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、费率优惠活动</w:t>
      </w:r>
    </w:p>
    <w:p w:rsidR="0011521D" w:rsidRPr="006679D8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6679D8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1、费率优惠内容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自20</w:t>
      </w:r>
      <w:r w:rsidR="00896BA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日起，投资者通过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</w:t>
      </w:r>
      <w:r w:rsidR="00D8117A" w:rsidRPr="0080678B">
        <w:rPr>
          <w:rFonts w:asciiTheme="majorEastAsia" w:eastAsiaTheme="majorEastAsia" w:hAnsiTheme="majorEastAsia" w:cs="Calibri"/>
          <w:color w:val="000000" w:themeColor="text1"/>
          <w:szCs w:val="21"/>
        </w:rPr>
        <w:t>申购</w:t>
      </w:r>
      <w:r w:rsidR="00D8117A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及定期定额投资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上述基金</w:t>
      </w:r>
      <w:r w:rsidR="00D8117A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享有</w:t>
      </w:r>
      <w:r w:rsidR="00D8117A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申购（含定期定额投资）</w:t>
      </w:r>
      <w:r w:rsidR="00D8117A" w:rsidRP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优惠</w:t>
      </w:r>
      <w:r w:rsidR="00D8117A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，具体折扣费率以</w:t>
      </w:r>
      <w:r w:rsidR="00E9484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</w:t>
      </w:r>
      <w:r w:rsidR="00D8117A" w:rsidRPr="00651840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页面公示</w:t>
      </w:r>
      <w:r w:rsidR="00D8117A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为准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。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4E50D3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原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费率请详见</w:t>
      </w:r>
      <w:r w:rsidR="00E75776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招募说明书（更新）等法律文件，以及本公司发布的最新业务公告。</w:t>
      </w: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2、费率优惠期限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具体以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官方网站所示公告为准。</w:t>
      </w:r>
    </w:p>
    <w:p w:rsidR="006679D8" w:rsidRPr="00D8117A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2717FF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三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、重要提示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1、本优惠活动仅适用于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基金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申购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及定期定额投资</w:t>
      </w:r>
      <w:r w:rsidR="003B2AB7" w:rsidRP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业务的手续费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，不包括基金赎回等其他业务的手续费。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2、费率优惠活动解释权</w:t>
      </w:r>
      <w:r w:rsidR="003B2AB7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归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所有，有关优惠活动的具体规定如有变化，敬请投资者留意前述销售机构的有关公告。</w:t>
      </w: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3、费率优惠活动期间，业务办理的流程以</w:t>
      </w:r>
      <w:r w:rsidR="00D8117A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和合期货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的规定为准。投资者欲了解基金产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lastRenderedPageBreak/>
        <w:t>品的详细情况，请仔细阅读基金的基金合同、招募说明书等法律文件。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6679D8" w:rsidRDefault="00312C49" w:rsidP="00DF2A40">
      <w:pPr>
        <w:spacing w:line="360" w:lineRule="auto"/>
        <w:ind w:firstLineChars="200" w:firstLine="422"/>
        <w:outlineLvl w:val="0"/>
        <w:rPr>
          <w:rFonts w:asciiTheme="majorEastAsia" w:eastAsiaTheme="majorEastAsia" w:hAnsiTheme="majorEastAsia" w:cs="Calibri"/>
          <w:b/>
          <w:color w:val="000000" w:themeColor="text1"/>
          <w:szCs w:val="21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四</w:t>
      </w:r>
      <w:r w:rsidR="0011521D" w:rsidRPr="006679D8">
        <w:rPr>
          <w:rFonts w:asciiTheme="majorEastAsia" w:eastAsiaTheme="majorEastAsia" w:hAnsiTheme="majorEastAsia" w:cs="Calibri" w:hint="eastAsia"/>
          <w:b/>
          <w:color w:val="000000" w:themeColor="text1"/>
          <w:szCs w:val="21"/>
        </w:rPr>
        <w:t>、投资者可通过以下途径了解或咨询相关情况</w:t>
      </w:r>
    </w:p>
    <w:p w:rsidR="00562D14" w:rsidRPr="00562D14" w:rsidRDefault="00562D14" w:rsidP="00562D14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bookmarkStart w:id="0" w:name="_GoBack"/>
      <w:bookmarkEnd w:id="0"/>
      <w:r w:rsidRPr="00562D1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1、和合期货有限公司</w:t>
      </w:r>
    </w:p>
    <w:p w:rsidR="00562D14" w:rsidRPr="00562D14" w:rsidRDefault="00562D14" w:rsidP="00562D14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562D1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客服电话：400-660-4882</w:t>
      </w:r>
    </w:p>
    <w:p w:rsidR="00562D14" w:rsidRDefault="00562D14" w:rsidP="00562D14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562D1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</w:t>
      </w:r>
      <w:hyperlink r:id="rId6" w:history="1">
        <w:r w:rsidRPr="00FF392D">
          <w:rPr>
            <w:rStyle w:val="ac"/>
            <w:rFonts w:asciiTheme="majorEastAsia" w:eastAsiaTheme="majorEastAsia" w:hAnsiTheme="majorEastAsia" w:cs="Calibri" w:hint="eastAsia"/>
            <w:szCs w:val="21"/>
          </w:rPr>
          <w:t>www.hhqh.com.cn</w:t>
        </w:r>
      </w:hyperlink>
    </w:p>
    <w:p w:rsidR="00C117DF" w:rsidRPr="0080678B" w:rsidRDefault="00C117DF" w:rsidP="00562D14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2、华泰柏瑞基金管理有限公司</w:t>
      </w:r>
    </w:p>
    <w:p w:rsidR="00C117DF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客服电话：400-888-0001、（028）38784638</w:t>
      </w:r>
    </w:p>
    <w:p w:rsidR="0011521D" w:rsidRPr="0080678B" w:rsidRDefault="00C117DF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公司网址：www.huatai-pb.com</w:t>
      </w:r>
    </w:p>
    <w:p w:rsidR="006679D8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风险提示：</w:t>
      </w:r>
      <w:r w:rsidR="00C117DF"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本基金管理人承诺以诚实信用、勤勉尽责的原则管理和运用基金资产，但不保证基金一定盈利，也不保证最低收益。投资者投资于本基金管理人管理的基金时应认真阅读基金合同、招募说明书等法律文件，并注意投资风险。</w:t>
      </w:r>
    </w:p>
    <w:p w:rsidR="006679D8" w:rsidRPr="0080678B" w:rsidRDefault="006679D8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特此公告。</w:t>
      </w: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6679D8" w:rsidRDefault="006679D8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</w:p>
    <w:p w:rsidR="0011521D" w:rsidRPr="0080678B" w:rsidRDefault="0011521D" w:rsidP="00264356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 w:cs="Calibri"/>
          <w:color w:val="000000" w:themeColor="text1"/>
          <w:szCs w:val="21"/>
        </w:rPr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华泰柏瑞基金管理有限公司</w:t>
      </w:r>
    </w:p>
    <w:p w:rsidR="00BE2FC3" w:rsidRDefault="0011521D" w:rsidP="00357008">
      <w:pPr>
        <w:spacing w:line="360" w:lineRule="auto"/>
        <w:ind w:firstLineChars="200" w:firstLine="420"/>
        <w:jc w:val="right"/>
      </w:pP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="00896BAC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20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年</w:t>
      </w:r>
      <w:r w:rsidR="00562D1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4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月</w:t>
      </w:r>
      <w:r w:rsidR="00562D14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1</w:t>
      </w:r>
      <w:r w:rsidRPr="0080678B">
        <w:rPr>
          <w:rFonts w:asciiTheme="majorEastAsia" w:eastAsiaTheme="majorEastAsia" w:hAnsiTheme="majorEastAsia" w:cs="Calibri" w:hint="eastAsia"/>
          <w:color w:val="000000" w:themeColor="text1"/>
          <w:szCs w:val="21"/>
        </w:rPr>
        <w:t>日</w:t>
      </w:r>
    </w:p>
    <w:sectPr w:rsidR="00BE2FC3" w:rsidSect="00F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56" w:rsidRDefault="00C00856" w:rsidP="0011521D">
      <w:r>
        <w:separator/>
      </w:r>
    </w:p>
  </w:endnote>
  <w:endnote w:type="continuationSeparator" w:id="1">
    <w:p w:rsidR="00C00856" w:rsidRDefault="00C00856" w:rsidP="0011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56" w:rsidRDefault="00C00856" w:rsidP="0011521D">
      <w:r>
        <w:separator/>
      </w:r>
    </w:p>
  </w:footnote>
  <w:footnote w:type="continuationSeparator" w:id="1">
    <w:p w:rsidR="00C00856" w:rsidRDefault="00C00856" w:rsidP="00115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21D"/>
    <w:rsid w:val="00007F18"/>
    <w:rsid w:val="00025103"/>
    <w:rsid w:val="000404DA"/>
    <w:rsid w:val="0004579D"/>
    <w:rsid w:val="00057F20"/>
    <w:rsid w:val="00076907"/>
    <w:rsid w:val="00080526"/>
    <w:rsid w:val="000F6413"/>
    <w:rsid w:val="0011134D"/>
    <w:rsid w:val="001128A8"/>
    <w:rsid w:val="0011521D"/>
    <w:rsid w:val="001739FE"/>
    <w:rsid w:val="001B2A02"/>
    <w:rsid w:val="002543E7"/>
    <w:rsid w:val="0026262B"/>
    <w:rsid w:val="00264356"/>
    <w:rsid w:val="002717FF"/>
    <w:rsid w:val="002B6793"/>
    <w:rsid w:val="00312C49"/>
    <w:rsid w:val="00316DC5"/>
    <w:rsid w:val="00356E42"/>
    <w:rsid w:val="00357008"/>
    <w:rsid w:val="003A3A63"/>
    <w:rsid w:val="003B2AB7"/>
    <w:rsid w:val="003F0788"/>
    <w:rsid w:val="003F0E09"/>
    <w:rsid w:val="00444E7D"/>
    <w:rsid w:val="0049134E"/>
    <w:rsid w:val="00496B38"/>
    <w:rsid w:val="004E50D3"/>
    <w:rsid w:val="00547C11"/>
    <w:rsid w:val="00562D14"/>
    <w:rsid w:val="005A6B1A"/>
    <w:rsid w:val="005C4A8B"/>
    <w:rsid w:val="005C6F6D"/>
    <w:rsid w:val="005D1430"/>
    <w:rsid w:val="00651840"/>
    <w:rsid w:val="006679D8"/>
    <w:rsid w:val="006B0350"/>
    <w:rsid w:val="00760913"/>
    <w:rsid w:val="007A76E5"/>
    <w:rsid w:val="007E5150"/>
    <w:rsid w:val="007F0A5C"/>
    <w:rsid w:val="007F7EEA"/>
    <w:rsid w:val="0080678B"/>
    <w:rsid w:val="00832847"/>
    <w:rsid w:val="00896BAC"/>
    <w:rsid w:val="008C25AE"/>
    <w:rsid w:val="008F1EC5"/>
    <w:rsid w:val="00902C4F"/>
    <w:rsid w:val="009061B4"/>
    <w:rsid w:val="009637B6"/>
    <w:rsid w:val="0098794E"/>
    <w:rsid w:val="009E42C2"/>
    <w:rsid w:val="009F768C"/>
    <w:rsid w:val="00A8632B"/>
    <w:rsid w:val="00B2593D"/>
    <w:rsid w:val="00B456E8"/>
    <w:rsid w:val="00B95E26"/>
    <w:rsid w:val="00BD1275"/>
    <w:rsid w:val="00BE2FC3"/>
    <w:rsid w:val="00C00856"/>
    <w:rsid w:val="00C117DF"/>
    <w:rsid w:val="00C76610"/>
    <w:rsid w:val="00C82AA9"/>
    <w:rsid w:val="00C95477"/>
    <w:rsid w:val="00D21B63"/>
    <w:rsid w:val="00D70F30"/>
    <w:rsid w:val="00D8117A"/>
    <w:rsid w:val="00DD16C8"/>
    <w:rsid w:val="00DF2A40"/>
    <w:rsid w:val="00E476E1"/>
    <w:rsid w:val="00E75776"/>
    <w:rsid w:val="00E8688E"/>
    <w:rsid w:val="00E9484C"/>
    <w:rsid w:val="00F50C44"/>
    <w:rsid w:val="00F9214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1521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1521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21D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1521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1521D"/>
    <w:rPr>
      <w:rFonts w:ascii="宋体" w:eastAsia="宋体" w:hAnsi="宋体" w:cs="宋体"/>
      <w:b/>
      <w:bCs/>
      <w:kern w:val="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6B035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B0350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2593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2593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96B38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96B38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96B38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96B38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96B38"/>
    <w:rPr>
      <w:b/>
      <w:bCs/>
    </w:rPr>
  </w:style>
  <w:style w:type="paragraph" w:styleId="ab">
    <w:name w:val="Revision"/>
    <w:hidden/>
    <w:uiPriority w:val="99"/>
    <w:semiHidden/>
    <w:rsid w:val="00496B38"/>
  </w:style>
  <w:style w:type="character" w:styleId="ac">
    <w:name w:val="Hyperlink"/>
    <w:basedOn w:val="a0"/>
    <w:uiPriority w:val="99"/>
    <w:unhideWhenUsed/>
    <w:rsid w:val="009F768C"/>
    <w:rPr>
      <w:color w:val="0000FF" w:themeColor="hyperlink"/>
      <w:u w:val="single"/>
    </w:rPr>
  </w:style>
  <w:style w:type="paragraph" w:customStyle="1" w:styleId="p9">
    <w:name w:val="p9"/>
    <w:basedOn w:val="a"/>
    <w:rsid w:val="00D81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D811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qh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4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张爱兵(Zhang  Aibing)</dc:creator>
  <cp:lastModifiedBy>JonMMx 2000</cp:lastModifiedBy>
  <cp:revision>2</cp:revision>
  <cp:lastPrinted>2019-11-13T09:10:00Z</cp:lastPrinted>
  <dcterms:created xsi:type="dcterms:W3CDTF">2020-03-31T16:00:00Z</dcterms:created>
  <dcterms:modified xsi:type="dcterms:W3CDTF">2020-03-31T16:00:00Z</dcterms:modified>
</cp:coreProperties>
</file>