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A4" w:rsidRDefault="00B12BA4">
      <w:pPr>
        <w:jc w:val="center"/>
      </w:pPr>
      <w:r>
        <w:rPr>
          <w:rFonts w:ascii="宋体" w:eastAsia="宋体" w:hAnsi="Times New Roman" w:cs="宋体" w:hint="eastAsia"/>
          <w:b/>
          <w:color w:val="000000"/>
          <w:kern w:val="0"/>
          <w:sz w:val="32"/>
          <w:szCs w:val="32"/>
        </w:rPr>
        <w:t>银华基金管理股份有限公司关于旗下部分交易型开放式指数证券投资基金指数许可使用费调整的公告</w:t>
      </w:r>
    </w:p>
    <w:p w:rsidR="00B12BA4" w:rsidRDefault="00B12BA4"/>
    <w:p w:rsidR="00B12BA4" w:rsidRDefault="00B12BA4">
      <w:pPr>
        <w:adjustRightInd w:val="0"/>
        <w:snapToGrid w:val="0"/>
        <w:spacing w:line="360" w:lineRule="auto"/>
        <w:ind w:firstLineChars="200" w:firstLine="480"/>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根据</w:t>
      </w:r>
      <w:r w:rsidR="007D5306" w:rsidRPr="007D5306">
        <w:rPr>
          <w:rFonts w:ascii="宋体" w:eastAsia="宋体" w:hAnsi="宋体" w:cs="宋体" w:hint="eastAsia"/>
          <w:color w:val="000000"/>
          <w:kern w:val="0"/>
          <w:sz w:val="24"/>
          <w:szCs w:val="24"/>
        </w:rPr>
        <w:t>深圳证券信息有限公司</w:t>
      </w:r>
      <w:r>
        <w:rPr>
          <w:rFonts w:ascii="宋体" w:eastAsia="宋体" w:hAnsi="宋体" w:cs="宋体" w:hint="eastAsia"/>
          <w:color w:val="000000"/>
          <w:kern w:val="0"/>
          <w:sz w:val="24"/>
          <w:szCs w:val="24"/>
        </w:rPr>
        <w:t>《</w:t>
      </w:r>
      <w:r w:rsidR="007D5306" w:rsidRPr="007D5306">
        <w:rPr>
          <w:rFonts w:ascii="宋体" w:eastAsia="宋体" w:hAnsi="宋体" w:cs="宋体" w:hint="eastAsia"/>
          <w:color w:val="000000"/>
          <w:kern w:val="0"/>
          <w:sz w:val="24"/>
          <w:szCs w:val="24"/>
        </w:rPr>
        <w:t>关于调整境内</w:t>
      </w:r>
      <w:r w:rsidR="007D5306" w:rsidRPr="007D5306">
        <w:rPr>
          <w:rFonts w:ascii="宋体" w:eastAsia="宋体" w:hAnsi="宋体" w:cs="宋体"/>
          <w:color w:val="000000"/>
          <w:kern w:val="0"/>
          <w:sz w:val="24"/>
          <w:szCs w:val="24"/>
        </w:rPr>
        <w:t>A股ETF指数使用收费的通知函</w:t>
      </w:r>
      <w:r>
        <w:rPr>
          <w:rFonts w:ascii="宋体" w:eastAsia="宋体" w:hAnsi="宋体" w:cs="宋体" w:hint="eastAsia"/>
          <w:color w:val="000000"/>
          <w:kern w:val="0"/>
          <w:sz w:val="24"/>
          <w:szCs w:val="24"/>
        </w:rPr>
        <w:t>》及《</w:t>
      </w:r>
      <w:r w:rsidR="007D5306" w:rsidRPr="007D5306">
        <w:rPr>
          <w:rFonts w:ascii="宋体" w:eastAsia="宋体" w:hAnsi="宋体" w:cs="宋体" w:hint="eastAsia"/>
          <w:color w:val="000000"/>
          <w:kern w:val="0"/>
          <w:sz w:val="24"/>
          <w:szCs w:val="24"/>
        </w:rPr>
        <w:t>银华巨潮小盘价值交易型开放式指数证券投资基金</w:t>
      </w:r>
      <w:r>
        <w:rPr>
          <w:rFonts w:ascii="宋体" w:eastAsia="宋体" w:hAnsi="宋体" w:cs="宋体" w:hint="eastAsia"/>
          <w:color w:val="000000"/>
          <w:kern w:val="0"/>
          <w:sz w:val="24"/>
          <w:szCs w:val="24"/>
        </w:rPr>
        <w:t>基金合同》、《</w:t>
      </w:r>
      <w:r w:rsidR="007D5306" w:rsidRPr="007D5306">
        <w:rPr>
          <w:rFonts w:ascii="宋体" w:eastAsia="宋体" w:hAnsi="宋体" w:cs="宋体" w:hint="eastAsia"/>
          <w:color w:val="000000"/>
          <w:kern w:val="0"/>
          <w:sz w:val="24"/>
          <w:szCs w:val="24"/>
        </w:rPr>
        <w:t>银华深证</w:t>
      </w:r>
      <w:r w:rsidR="007D5306" w:rsidRPr="007D5306">
        <w:rPr>
          <w:rFonts w:ascii="宋体" w:eastAsia="宋体" w:hAnsi="宋体" w:cs="宋体"/>
          <w:color w:val="000000"/>
          <w:kern w:val="0"/>
          <w:sz w:val="24"/>
          <w:szCs w:val="24"/>
        </w:rPr>
        <w:t>100交易型开放式指数证券投资基金</w:t>
      </w:r>
      <w:r>
        <w:rPr>
          <w:rFonts w:ascii="宋体" w:eastAsia="宋体" w:hAnsi="宋体" w:cs="宋体" w:hint="eastAsia"/>
          <w:color w:val="000000"/>
          <w:kern w:val="0"/>
          <w:sz w:val="24"/>
          <w:szCs w:val="24"/>
        </w:rPr>
        <w:t>基金合同》、《</w:t>
      </w:r>
      <w:r w:rsidR="007D5306" w:rsidRPr="007D5306">
        <w:rPr>
          <w:rFonts w:ascii="宋体" w:eastAsia="宋体" w:hAnsi="宋体" w:cs="宋体" w:hint="eastAsia"/>
          <w:color w:val="000000"/>
          <w:kern w:val="0"/>
          <w:sz w:val="24"/>
          <w:szCs w:val="24"/>
        </w:rPr>
        <w:t>银华巨潮小盘价值交易型开放式指数证券投资基金</w:t>
      </w:r>
      <w:r>
        <w:rPr>
          <w:rFonts w:ascii="宋体" w:eastAsia="宋体" w:hAnsi="宋体" w:cs="宋体" w:hint="eastAsia"/>
          <w:color w:val="000000"/>
          <w:kern w:val="0"/>
          <w:sz w:val="24"/>
          <w:szCs w:val="24"/>
        </w:rPr>
        <w:t>招募说明书》、《</w:t>
      </w:r>
      <w:r w:rsidR="007D5306" w:rsidRPr="007D5306">
        <w:rPr>
          <w:rFonts w:ascii="宋体" w:eastAsia="宋体" w:hAnsi="宋体" w:cs="宋体" w:hint="eastAsia"/>
          <w:color w:val="000000"/>
          <w:kern w:val="0"/>
          <w:sz w:val="24"/>
          <w:szCs w:val="24"/>
        </w:rPr>
        <w:t>银华深证</w:t>
      </w:r>
      <w:r w:rsidR="007D5306" w:rsidRPr="007D5306">
        <w:rPr>
          <w:rFonts w:ascii="宋体" w:eastAsia="宋体" w:hAnsi="宋体" w:cs="宋体"/>
          <w:color w:val="000000"/>
          <w:kern w:val="0"/>
          <w:sz w:val="24"/>
          <w:szCs w:val="24"/>
        </w:rPr>
        <w:t>100交易型开放式指数证券投资基金</w:t>
      </w:r>
      <w:r>
        <w:rPr>
          <w:rFonts w:ascii="宋体" w:eastAsia="宋体" w:hAnsi="宋体" w:cs="宋体" w:hint="eastAsia"/>
          <w:color w:val="000000"/>
          <w:kern w:val="0"/>
          <w:sz w:val="24"/>
          <w:szCs w:val="24"/>
        </w:rPr>
        <w:t>招募说明书》的有关约定，经银华基金管理股份有限公司（以下简称“本公司”）与</w:t>
      </w:r>
      <w:r w:rsidR="00C56375">
        <w:rPr>
          <w:rFonts w:ascii="宋体" w:eastAsia="宋体" w:hAnsi="宋体" w:cs="宋体" w:hint="eastAsia"/>
          <w:color w:val="000000"/>
          <w:kern w:val="0"/>
          <w:sz w:val="24"/>
          <w:szCs w:val="24"/>
        </w:rPr>
        <w:t>基金托管人</w:t>
      </w:r>
      <w:r>
        <w:rPr>
          <w:rFonts w:ascii="宋体" w:eastAsia="宋体" w:hAnsi="宋体" w:cs="宋体" w:hint="eastAsia"/>
          <w:color w:val="000000"/>
          <w:kern w:val="0"/>
          <w:sz w:val="24"/>
          <w:szCs w:val="24"/>
        </w:rPr>
        <w:t>协商一致，自</w:t>
      </w:r>
      <w:r>
        <w:rPr>
          <w:rFonts w:ascii="宋体" w:eastAsia="宋体" w:hAnsi="宋体" w:cs="宋体"/>
          <w:color w:val="000000"/>
          <w:kern w:val="0"/>
          <w:sz w:val="24"/>
          <w:szCs w:val="24"/>
        </w:rPr>
        <w:t>2020年3</w:t>
      </w:r>
      <w:r>
        <w:rPr>
          <w:rFonts w:ascii="宋体" w:eastAsia="宋体" w:hAnsi="宋体" w:cs="宋体" w:hint="eastAsia"/>
          <w:color w:val="000000"/>
          <w:kern w:val="0"/>
          <w:sz w:val="24"/>
          <w:szCs w:val="24"/>
        </w:rPr>
        <w:t>月</w:t>
      </w:r>
      <w:r w:rsidR="00982D0D">
        <w:rPr>
          <w:rFonts w:ascii="宋体" w:eastAsia="宋体" w:hAnsi="宋体" w:cs="宋体" w:hint="eastAsia"/>
          <w:color w:val="000000"/>
          <w:kern w:val="0"/>
          <w:sz w:val="24"/>
          <w:szCs w:val="24"/>
        </w:rPr>
        <w:t>2</w:t>
      </w:r>
      <w:r w:rsidR="00982D0D">
        <w:rPr>
          <w:rFonts w:ascii="宋体" w:eastAsia="宋体" w:hAnsi="宋体" w:cs="宋体"/>
          <w:color w:val="000000"/>
          <w:kern w:val="0"/>
          <w:sz w:val="24"/>
          <w:szCs w:val="24"/>
        </w:rPr>
        <w:t>7</w:t>
      </w:r>
      <w:r>
        <w:rPr>
          <w:rFonts w:ascii="宋体" w:eastAsia="宋体" w:hAnsi="宋体" w:cs="宋体" w:hint="eastAsia"/>
          <w:color w:val="000000"/>
          <w:kern w:val="0"/>
          <w:sz w:val="24"/>
          <w:szCs w:val="24"/>
        </w:rPr>
        <w:t>日起，本公司将调整前述基金的指数许可使用费收费方案。现将有关事项公告如下：</w:t>
      </w:r>
    </w:p>
    <w:p w:rsidR="00B12BA4" w:rsidRPr="0095477C"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上述基金在基金合同生效后的指数许可使用费，由原来的收取下限为每季度人民币伍万元（50，000），调整为：当本基金的季度日均基金资产净值(季度日均基金资产净值=基金当季存续日的基金资产净值之和/基金当季存续天数)大于人民币5000万元时，许可使用费的收取下限为每季度人民币3.5万元，计费期间不足一季度的，根据实际天数按比例计算；当本基金的季度日均基金资产净值</w:t>
      </w:r>
      <w:r w:rsidRPr="0095477C">
        <w:rPr>
          <w:rFonts w:ascii="宋体" w:eastAsia="宋体" w:hAnsi="宋体" w:cs="宋体" w:hint="eastAsia"/>
          <w:color w:val="000000"/>
          <w:kern w:val="0"/>
          <w:sz w:val="24"/>
          <w:szCs w:val="24"/>
        </w:rPr>
        <w:t>小于或等于人民币5000万元时，无</w:t>
      </w:r>
      <w:r w:rsidR="00262491">
        <w:rPr>
          <w:rFonts w:ascii="宋体" w:eastAsia="宋体" w:hAnsi="宋体" w:cs="宋体" w:hint="eastAsia"/>
          <w:color w:val="000000"/>
          <w:kern w:val="0"/>
          <w:sz w:val="24"/>
          <w:szCs w:val="24"/>
        </w:rPr>
        <w:t>指数</w:t>
      </w:r>
      <w:r w:rsidRPr="0095477C">
        <w:rPr>
          <w:rFonts w:ascii="宋体" w:eastAsia="宋体" w:hAnsi="宋体" w:cs="宋体" w:hint="eastAsia"/>
          <w:color w:val="000000"/>
          <w:kern w:val="0"/>
          <w:sz w:val="24"/>
          <w:szCs w:val="24"/>
        </w:rPr>
        <w:t>许可使用费的收取下限</w:t>
      </w:r>
      <w:r w:rsidR="00262491">
        <w:rPr>
          <w:rFonts w:ascii="宋体" w:eastAsia="宋体" w:hAnsi="宋体" w:cs="宋体" w:hint="eastAsia"/>
          <w:color w:val="000000"/>
          <w:kern w:val="0"/>
          <w:sz w:val="24"/>
          <w:szCs w:val="24"/>
        </w:rPr>
        <w:t>，指数</w:t>
      </w:r>
      <w:r w:rsidR="00262491" w:rsidRPr="0095477C">
        <w:rPr>
          <w:rFonts w:ascii="宋体" w:eastAsia="宋体" w:hAnsi="宋体" w:cs="宋体" w:hint="eastAsia"/>
          <w:color w:val="000000"/>
          <w:kern w:val="0"/>
          <w:sz w:val="24"/>
          <w:szCs w:val="24"/>
        </w:rPr>
        <w:t>许可使用费</w:t>
      </w:r>
      <w:r w:rsidR="00262491">
        <w:rPr>
          <w:rFonts w:ascii="宋体" w:eastAsia="宋体" w:hAnsi="宋体" w:cs="宋体" w:hint="eastAsia"/>
          <w:color w:val="000000"/>
          <w:kern w:val="0"/>
          <w:sz w:val="24"/>
          <w:szCs w:val="24"/>
        </w:rPr>
        <w:t>收取则按照</w:t>
      </w:r>
      <w:r w:rsidR="00262491" w:rsidRPr="00262491">
        <w:rPr>
          <w:rFonts w:ascii="宋体" w:eastAsia="宋体" w:hAnsi="宋体" w:cs="宋体" w:hint="eastAsia"/>
          <w:color w:val="000000"/>
          <w:kern w:val="0"/>
          <w:sz w:val="24"/>
          <w:szCs w:val="24"/>
        </w:rPr>
        <w:t>基点</w:t>
      </w:r>
      <w:r w:rsidR="00262491">
        <w:rPr>
          <w:rFonts w:ascii="宋体" w:eastAsia="宋体" w:hAnsi="宋体" w:cs="宋体" w:hint="eastAsia"/>
          <w:color w:val="000000"/>
          <w:kern w:val="0"/>
          <w:sz w:val="24"/>
          <w:szCs w:val="24"/>
        </w:rPr>
        <w:t>费</w:t>
      </w:r>
      <w:r w:rsidR="00262491" w:rsidRPr="00262491">
        <w:rPr>
          <w:rFonts w:ascii="宋体" w:eastAsia="宋体" w:hAnsi="宋体" w:cs="宋体" w:hint="eastAsia"/>
          <w:color w:val="000000"/>
          <w:kern w:val="0"/>
          <w:sz w:val="24"/>
          <w:szCs w:val="24"/>
        </w:rPr>
        <w:t>计费公式</w:t>
      </w:r>
      <w:r w:rsidR="00262491">
        <w:rPr>
          <w:rFonts w:ascii="宋体" w:eastAsia="宋体" w:hAnsi="宋体" w:cs="宋体" w:hint="eastAsia"/>
          <w:color w:val="000000"/>
          <w:kern w:val="0"/>
          <w:sz w:val="24"/>
          <w:szCs w:val="24"/>
        </w:rPr>
        <w:t>以</w:t>
      </w:r>
      <w:r w:rsidR="00262491" w:rsidRPr="00262491">
        <w:rPr>
          <w:rFonts w:ascii="宋体" w:eastAsia="宋体" w:hAnsi="宋体" w:cs="宋体" w:hint="eastAsia"/>
          <w:color w:val="000000"/>
          <w:kern w:val="0"/>
          <w:sz w:val="24"/>
          <w:szCs w:val="24"/>
        </w:rPr>
        <w:t>基金当季存续天数计算。</w:t>
      </w:r>
    </w:p>
    <w:p w:rsidR="00B12BA4" w:rsidRDefault="00B12BA4">
      <w:pPr>
        <w:adjustRightInd w:val="0"/>
        <w:snapToGrid w:val="0"/>
        <w:spacing w:line="360" w:lineRule="auto"/>
        <w:ind w:firstLineChars="200" w:firstLine="480"/>
        <w:rPr>
          <w:rFonts w:ascii="宋体" w:eastAsia="宋体" w:hAnsi="宋体" w:cs="宋体" w:hint="eastAsia"/>
          <w:color w:val="000000"/>
          <w:kern w:val="0"/>
          <w:sz w:val="24"/>
          <w:szCs w:val="24"/>
        </w:rPr>
      </w:pPr>
      <w:r w:rsidRPr="0095477C">
        <w:rPr>
          <w:rFonts w:ascii="宋体" w:eastAsia="宋体" w:hAnsi="宋体" w:cs="宋体" w:hint="eastAsia"/>
          <w:color w:val="000000"/>
          <w:kern w:val="0"/>
          <w:sz w:val="24"/>
          <w:szCs w:val="24"/>
        </w:rPr>
        <w:t>根据《基金合同》关于“基金份额持有人大会”章节约定“</w:t>
      </w:r>
      <w:r w:rsidRPr="0095477C">
        <w:rPr>
          <w:rFonts w:ascii="宋体" w:eastAsia="宋体" w:hAnsi="宋体" w:cs="宋体"/>
          <w:color w:val="000000"/>
          <w:kern w:val="0"/>
          <w:sz w:val="24"/>
          <w:szCs w:val="24"/>
        </w:rPr>
        <w:t>2、在法律法规规定和基金合同约定的范围内且对基金份额持有人利益无实质性不利影响的前提下，以下情况可由基金管理人和基金托管人协商后修改，不需召开基金份额持有人大会：……</w:t>
      </w:r>
      <w:r w:rsidRPr="00C80E5D">
        <w:rPr>
          <w:rFonts w:ascii="宋体" w:eastAsia="宋体" w:hAnsi="宋体" w:cs="宋体" w:hint="eastAsia"/>
          <w:color w:val="000000"/>
          <w:kern w:val="0"/>
          <w:sz w:val="24"/>
          <w:szCs w:val="24"/>
        </w:rPr>
        <w:t>（</w:t>
      </w:r>
      <w:r w:rsidRPr="00C80E5D">
        <w:rPr>
          <w:rFonts w:ascii="宋体" w:eastAsia="宋体" w:hAnsi="宋体" w:cs="宋体"/>
          <w:color w:val="000000"/>
          <w:kern w:val="0"/>
          <w:sz w:val="24"/>
          <w:szCs w:val="24"/>
        </w:rPr>
        <w:t>6）标的指数更名或调整指数编制方法，以及变更业绩比较基准；根据指数使用许可协议的约定，变更标的指数许可使用费费率、计算方法或支付方式；</w:t>
      </w:r>
      <w:r w:rsidRPr="0095477C">
        <w:rPr>
          <w:rFonts w:ascii="宋体" w:eastAsia="宋体" w:hAnsi="宋体" w:cs="宋体"/>
          <w:color w:val="000000"/>
          <w:kern w:val="0"/>
          <w:sz w:val="24"/>
          <w:szCs w:val="24"/>
        </w:rPr>
        <w:t>……</w:t>
      </w:r>
      <w:r w:rsidRPr="0095477C">
        <w:rPr>
          <w:rFonts w:ascii="宋体" w:eastAsia="宋体" w:hAnsi="宋体" w:cs="宋体" w:hint="eastAsia"/>
          <w:color w:val="000000"/>
          <w:kern w:val="0"/>
          <w:sz w:val="24"/>
          <w:szCs w:val="24"/>
        </w:rPr>
        <w:t>”，本次修改不需召开</w:t>
      </w:r>
      <w:r w:rsidR="00262491">
        <w:rPr>
          <w:rFonts w:ascii="宋体" w:eastAsia="宋体" w:hAnsi="宋体" w:cs="宋体" w:hint="eastAsia"/>
          <w:color w:val="000000"/>
          <w:kern w:val="0"/>
          <w:sz w:val="24"/>
          <w:szCs w:val="24"/>
        </w:rPr>
        <w:t>基金份额</w:t>
      </w:r>
      <w:r w:rsidRPr="0095477C">
        <w:rPr>
          <w:rFonts w:ascii="宋体" w:eastAsia="宋体" w:hAnsi="宋体" w:cs="宋体" w:hint="eastAsia"/>
          <w:color w:val="000000"/>
          <w:kern w:val="0"/>
          <w:sz w:val="24"/>
          <w:szCs w:val="24"/>
        </w:rPr>
        <w:t>持有人大会。</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本公告仅对指数许可使用费调整的有关事项进行说明，上述基金的招募说明书中涉及的调整内容将进行相应更新。</w:t>
      </w:r>
    </w:p>
    <w:p w:rsidR="00B12BA4" w:rsidRDefault="00B12BA4">
      <w:pPr>
        <w:adjustRightInd w:val="0"/>
        <w:snapToGrid w:val="0"/>
        <w:spacing w:line="360" w:lineRule="auto"/>
        <w:ind w:firstLineChars="200" w:firstLine="480"/>
        <w:rPr>
          <w:rFonts w:ascii="宋体" w:hAnsi="宋体" w:cs="等线"/>
          <w:color w:val="000000"/>
          <w:kern w:val="0"/>
          <w:sz w:val="24"/>
          <w:szCs w:val="24"/>
        </w:rPr>
      </w:pPr>
    </w:p>
    <w:p w:rsidR="00B12BA4" w:rsidRDefault="00B12BA4">
      <w:pPr>
        <w:adjustRightInd w:val="0"/>
        <w:snapToGrid w:val="0"/>
        <w:spacing w:line="360" w:lineRule="auto"/>
        <w:ind w:firstLineChars="200" w:firstLine="482"/>
        <w:rPr>
          <w:rFonts w:ascii="宋体" w:eastAsia="宋体" w:hAnsi="宋体" w:cs="宋体"/>
          <w:b/>
          <w:color w:val="000000"/>
          <w:kern w:val="0"/>
          <w:sz w:val="24"/>
          <w:szCs w:val="24"/>
          <w:lang w:val="zh-CN"/>
        </w:rPr>
      </w:pPr>
      <w:r>
        <w:rPr>
          <w:rFonts w:ascii="宋体" w:eastAsia="宋体" w:hAnsi="宋体" w:cs="宋体" w:hint="eastAsia"/>
          <w:b/>
          <w:color w:val="000000"/>
          <w:kern w:val="0"/>
          <w:sz w:val="24"/>
          <w:szCs w:val="24"/>
          <w:lang w:val="zh-CN"/>
        </w:rPr>
        <w:t>其他需要提示的事项</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bookmarkStart w:id="0" w:name="t_3_2_2646_a1_fm1"/>
      <w:bookmarkEnd w:id="0"/>
      <w:r>
        <w:rPr>
          <w:rFonts w:ascii="宋体" w:eastAsia="宋体" w:hAnsi="宋体" w:cs="宋体" w:hint="eastAsia"/>
          <w:color w:val="000000"/>
          <w:kern w:val="0"/>
          <w:sz w:val="24"/>
          <w:szCs w:val="24"/>
        </w:rPr>
        <w:t>投资者可以通过以下途径咨询有关详情：</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银华基金管理股份有限公司</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客户服务电话：400-678-3333、010-85186558</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网址：www.yhfund.com.cn</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风险提示：</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本公司承诺以诚实信用、勤勉尽责的原则管理和运用基金资产，但不保证基金一定盈利，也不保证最低收益。敬请投资者留意投资风险。</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本公告解释权归本公司。</w:t>
      </w:r>
    </w:p>
    <w:p w:rsidR="00B12BA4" w:rsidRDefault="00B12BA4">
      <w:pPr>
        <w:adjustRightInd w:val="0"/>
        <w:snapToGrid w:val="0"/>
        <w:spacing w:line="360" w:lineRule="auto"/>
        <w:ind w:firstLineChars="200" w:firstLine="480"/>
        <w:rPr>
          <w:rFonts w:ascii="宋体" w:eastAsia="宋体" w:hAnsi="宋体" w:cs="宋体"/>
          <w:color w:val="000000"/>
          <w:kern w:val="0"/>
          <w:sz w:val="24"/>
          <w:szCs w:val="24"/>
        </w:rPr>
      </w:pPr>
    </w:p>
    <w:p w:rsidR="00B12BA4" w:rsidRDefault="00B12BA4">
      <w:pPr>
        <w:adjustRightInd w:val="0"/>
        <w:snapToGrid w:val="0"/>
        <w:spacing w:line="360" w:lineRule="auto"/>
        <w:ind w:firstLineChars="200" w:firstLine="480"/>
        <w:rPr>
          <w:rFonts w:ascii="宋体" w:eastAsia="宋体" w:hAnsi="Times New Roman" w:cs="宋体"/>
          <w:color w:val="000000"/>
          <w:kern w:val="0"/>
          <w:sz w:val="24"/>
          <w:szCs w:val="32"/>
        </w:rPr>
      </w:pPr>
      <w:r>
        <w:rPr>
          <w:rFonts w:ascii="宋体" w:eastAsia="宋体" w:hAnsi="宋体" w:cs="宋体" w:hint="eastAsia"/>
          <w:color w:val="000000"/>
          <w:kern w:val="0"/>
          <w:sz w:val="24"/>
          <w:szCs w:val="24"/>
        </w:rPr>
        <w:t>特此公告。</w:t>
      </w:r>
    </w:p>
    <w:p w:rsidR="00B12BA4" w:rsidRDefault="00B12BA4">
      <w:pPr>
        <w:spacing w:line="480" w:lineRule="auto"/>
        <w:jc w:val="right"/>
        <w:rPr>
          <w:rFonts w:ascii="宋体" w:eastAsia="宋体" w:hAnsi="Times New Roman" w:cs="宋体"/>
          <w:color w:val="000000"/>
          <w:kern w:val="0"/>
          <w:sz w:val="24"/>
          <w:szCs w:val="32"/>
        </w:rPr>
      </w:pPr>
    </w:p>
    <w:p w:rsidR="00B12BA4" w:rsidRDefault="00B12BA4">
      <w:pPr>
        <w:spacing w:line="480" w:lineRule="auto"/>
        <w:jc w:val="right"/>
        <w:rPr>
          <w:rFonts w:ascii="宋体" w:eastAsia="宋体" w:hAnsi="Times New Roman" w:cs="宋体"/>
          <w:color w:val="000000"/>
          <w:kern w:val="0"/>
          <w:sz w:val="24"/>
          <w:szCs w:val="32"/>
        </w:rPr>
      </w:pPr>
      <w:r>
        <w:rPr>
          <w:rFonts w:ascii="宋体" w:eastAsia="宋体" w:hAnsi="Times New Roman" w:cs="宋体" w:hint="eastAsia"/>
          <w:color w:val="000000"/>
          <w:kern w:val="0"/>
          <w:sz w:val="24"/>
          <w:szCs w:val="32"/>
        </w:rPr>
        <w:t>银华基金管理股份有限公司</w:t>
      </w:r>
    </w:p>
    <w:p w:rsidR="00B12BA4" w:rsidRDefault="00B12BA4">
      <w:pPr>
        <w:spacing w:line="480" w:lineRule="auto"/>
        <w:jc w:val="right"/>
        <w:rPr>
          <w:rFonts w:ascii="Calibri" w:eastAsia="宋体" w:hAnsi="Calibri"/>
          <w:sz w:val="18"/>
        </w:rPr>
      </w:pPr>
      <w:r>
        <w:rPr>
          <w:rFonts w:ascii="宋体" w:eastAsia="宋体" w:hAnsi="Times New Roman" w:cs="宋体" w:hint="eastAsia"/>
          <w:color w:val="000000"/>
          <w:kern w:val="0"/>
          <w:sz w:val="24"/>
          <w:szCs w:val="32"/>
        </w:rPr>
        <w:t>2020年</w:t>
      </w:r>
      <w:r>
        <w:rPr>
          <w:rFonts w:ascii="宋体" w:eastAsia="宋体" w:hAnsi="Times New Roman" w:cs="宋体"/>
          <w:color w:val="000000"/>
          <w:kern w:val="0"/>
          <w:sz w:val="24"/>
          <w:szCs w:val="32"/>
        </w:rPr>
        <w:t>3</w:t>
      </w:r>
      <w:r>
        <w:rPr>
          <w:rFonts w:ascii="宋体" w:eastAsia="宋体" w:hAnsi="Times New Roman" w:cs="宋体" w:hint="eastAsia"/>
          <w:color w:val="000000"/>
          <w:kern w:val="0"/>
          <w:sz w:val="24"/>
          <w:szCs w:val="32"/>
        </w:rPr>
        <w:t>月</w:t>
      </w:r>
      <w:r w:rsidR="00E414BF">
        <w:rPr>
          <w:rFonts w:ascii="宋体" w:eastAsia="宋体" w:hAnsi="Times New Roman" w:cs="宋体"/>
          <w:color w:val="000000"/>
          <w:kern w:val="0"/>
          <w:sz w:val="24"/>
          <w:szCs w:val="32"/>
        </w:rPr>
        <w:t>27</w:t>
      </w:r>
      <w:r>
        <w:rPr>
          <w:rFonts w:ascii="宋体" w:eastAsia="宋体" w:hAnsi="Times New Roman" w:cs="宋体" w:hint="eastAsia"/>
          <w:color w:val="000000"/>
          <w:kern w:val="0"/>
          <w:sz w:val="24"/>
          <w:szCs w:val="32"/>
        </w:rPr>
        <w:t>日</w:t>
      </w:r>
    </w:p>
    <w:sectPr w:rsidR="00B12BA4">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1F" w:rsidRDefault="00003F1F">
      <w:r>
        <w:separator/>
      </w:r>
    </w:p>
  </w:endnote>
  <w:endnote w:type="continuationSeparator" w:id="1">
    <w:p w:rsidR="00003F1F" w:rsidRDefault="00003F1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1F" w:rsidRDefault="00003F1F">
      <w:r>
        <w:separator/>
      </w:r>
    </w:p>
  </w:footnote>
  <w:footnote w:type="continuationSeparator" w:id="1">
    <w:p w:rsidR="00003F1F" w:rsidRDefault="00003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A4" w:rsidRDefault="00B12BA4">
    <w:pPr>
      <w:pStyle w:val="a4"/>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99.5pt;height:21.75pt;mso-position-horizontal-relative:page;mso-position-vertical-relative:page">
          <v:fill o:detectmouseclick="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061D"/>
    <w:rsid w:val="00003F1F"/>
    <w:rsid w:val="000508D6"/>
    <w:rsid w:val="0006273A"/>
    <w:rsid w:val="0006464E"/>
    <w:rsid w:val="000B061D"/>
    <w:rsid w:val="000D2CF3"/>
    <w:rsid w:val="00167748"/>
    <w:rsid w:val="001A6646"/>
    <w:rsid w:val="00262491"/>
    <w:rsid w:val="00264DBC"/>
    <w:rsid w:val="002745C8"/>
    <w:rsid w:val="002E0B09"/>
    <w:rsid w:val="00335247"/>
    <w:rsid w:val="00353DA6"/>
    <w:rsid w:val="003A35A5"/>
    <w:rsid w:val="003F0A73"/>
    <w:rsid w:val="00441E62"/>
    <w:rsid w:val="00463541"/>
    <w:rsid w:val="004A7DC5"/>
    <w:rsid w:val="00544220"/>
    <w:rsid w:val="00564F1D"/>
    <w:rsid w:val="005D2839"/>
    <w:rsid w:val="00636558"/>
    <w:rsid w:val="00703242"/>
    <w:rsid w:val="007314D5"/>
    <w:rsid w:val="007B7B20"/>
    <w:rsid w:val="007D5306"/>
    <w:rsid w:val="00827FCE"/>
    <w:rsid w:val="0084243F"/>
    <w:rsid w:val="00864E28"/>
    <w:rsid w:val="0095477C"/>
    <w:rsid w:val="00982D0D"/>
    <w:rsid w:val="00991FCF"/>
    <w:rsid w:val="00A21633"/>
    <w:rsid w:val="00A77B82"/>
    <w:rsid w:val="00B12BA4"/>
    <w:rsid w:val="00B83C21"/>
    <w:rsid w:val="00B95215"/>
    <w:rsid w:val="00C4396B"/>
    <w:rsid w:val="00C56375"/>
    <w:rsid w:val="00C80E5D"/>
    <w:rsid w:val="00CB2EE5"/>
    <w:rsid w:val="00CD345A"/>
    <w:rsid w:val="00CD34EC"/>
    <w:rsid w:val="00CE5019"/>
    <w:rsid w:val="00D02681"/>
    <w:rsid w:val="00D34758"/>
    <w:rsid w:val="00D46B64"/>
    <w:rsid w:val="00E07D87"/>
    <w:rsid w:val="00E414BF"/>
    <w:rsid w:val="00E43D89"/>
    <w:rsid w:val="00EC2A7C"/>
    <w:rsid w:val="00EE08DC"/>
    <w:rsid w:val="0FCF7ED2"/>
    <w:rsid w:val="167E0524"/>
    <w:rsid w:val="1F350B69"/>
    <w:rsid w:val="316F446B"/>
    <w:rsid w:val="376C6DC7"/>
    <w:rsid w:val="39DE255A"/>
    <w:rsid w:val="43A00C93"/>
    <w:rsid w:val="44FE6D03"/>
    <w:rsid w:val="58D24B16"/>
    <w:rsid w:val="5CF037AE"/>
    <w:rsid w:val="5F891F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uiPriority="3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qFormat/>
    <w:rPr>
      <w:sz w:val="18"/>
      <w:szCs w:val="18"/>
    </w:rPr>
  </w:style>
  <w:style w:type="character" w:customStyle="1" w:styleId="a5">
    <w:name w:val="页脚 字符"/>
    <w:link w:val="a6"/>
    <w:uiPriority w:val="99"/>
    <w:qFormat/>
    <w:rPr>
      <w:sz w:val="18"/>
      <w:szCs w:val="18"/>
    </w:rPr>
  </w:style>
  <w:style w:type="character" w:customStyle="1" w:styleId="apple-converted-space">
    <w:name w:val="apple-converted-space"/>
    <w:basedOn w:val="a0"/>
    <w:qFormat/>
  </w:style>
  <w:style w:type="character" w:customStyle="1" w:styleId="a7">
    <w:name w:val="批注框文本 字符"/>
    <w:link w:val="a8"/>
    <w:uiPriority w:val="99"/>
    <w:semiHidden/>
    <w:qFormat/>
    <w:rPr>
      <w:kern w:val="2"/>
      <w:sz w:val="18"/>
      <w:szCs w:val="18"/>
    </w:rPr>
  </w:style>
  <w:style w:type="paragraph" w:styleId="a4">
    <w:name w:val="header"/>
    <w:basedOn w:val="a"/>
    <w:link w:val="a3"/>
    <w:uiPriority w:val="99"/>
    <w:unhideWhenUsed/>
    <w:qFormat/>
    <w:pPr>
      <w:pBdr>
        <w:bottom w:val="single" w:sz="6" w:space="1" w:color="auto"/>
      </w:pBdr>
      <w:tabs>
        <w:tab w:val="center" w:pos="4153"/>
        <w:tab w:val="right" w:pos="8306"/>
      </w:tabs>
      <w:snapToGrid w:val="0"/>
      <w:jc w:val="center"/>
    </w:pPr>
    <w:rPr>
      <w:kern w:val="0"/>
      <w:sz w:val="18"/>
      <w:szCs w:val="18"/>
      <w:lang/>
    </w:rPr>
  </w:style>
  <w:style w:type="paragraph" w:styleId="a6">
    <w:name w:val="footer"/>
    <w:basedOn w:val="a"/>
    <w:link w:val="a5"/>
    <w:uiPriority w:val="99"/>
    <w:unhideWhenUsed/>
    <w:qFormat/>
    <w:pPr>
      <w:tabs>
        <w:tab w:val="center" w:pos="4153"/>
        <w:tab w:val="right" w:pos="8306"/>
      </w:tabs>
      <w:snapToGrid w:val="0"/>
      <w:jc w:val="left"/>
    </w:pPr>
    <w:rPr>
      <w:kern w:val="0"/>
      <w:sz w:val="18"/>
      <w:szCs w:val="18"/>
      <w:lang/>
    </w:rPr>
  </w:style>
  <w:style w:type="paragraph" w:styleId="a8">
    <w:name w:val="Balloon Text"/>
    <w:basedOn w:val="a"/>
    <w:link w:val="a7"/>
    <w:uiPriority w:val="99"/>
    <w:unhideWhenUsed/>
    <w:qFormat/>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4</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dc:creator>
  <cp:keywords/>
  <cp:lastModifiedBy>JonMMx 2000</cp:lastModifiedBy>
  <cp:revision>2</cp:revision>
  <dcterms:created xsi:type="dcterms:W3CDTF">2020-03-26T16:01:00Z</dcterms:created>
  <dcterms:modified xsi:type="dcterms:W3CDTF">2020-03-26T16:01:00Z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