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D9" w:rsidRDefault="001530D9" w:rsidP="001530D9">
      <w:pPr>
        <w:spacing w:after="240" w:line="360" w:lineRule="auto"/>
        <w:ind w:firstLine="555"/>
        <w:jc w:val="center"/>
        <w:rPr>
          <w:rFonts w:eastAsia="Times New Roman"/>
        </w:rPr>
      </w:pPr>
      <w:r>
        <w:rPr>
          <w:rFonts w:ascii="宋体" w:eastAsia="宋体" w:hAnsi="宋体" w:cs="宋体" w:hint="eastAsia"/>
          <w:b/>
          <w:bCs/>
          <w:sz w:val="29"/>
          <w:szCs w:val="29"/>
        </w:rPr>
        <w:t>鹏华基金管理有限公司关于增加广东南粤银行股份有限公司为旗下部分基金销售机构的公告</w:t>
      </w:r>
    </w:p>
    <w:p w:rsidR="001530D9" w:rsidRDefault="001530D9" w:rsidP="001530D9">
      <w:pPr>
        <w:spacing w:before="240" w:after="240" w:line="360" w:lineRule="auto"/>
        <w:ind w:firstLine="480"/>
        <w:rPr>
          <w:rFonts w:eastAsia="Times New Roman"/>
        </w:rPr>
      </w:pPr>
      <w:r>
        <w:rPr>
          <w:rFonts w:ascii="宋体" w:eastAsia="宋体" w:hAnsi="宋体" w:cs="宋体" w:hint="eastAsia"/>
        </w:rPr>
        <w:t>根据鹏华基金管理有限公司（以下简称“本公司”）与广东南粤银行股份有限公司签署的销售协议，自2020年03月27日起，本公司增加广东南粤银行股份有限公司为本公司旗下部分基金的销售机构，投资者可通过广东南粤银行股份有限公司的指定渠道办理下述基金的开户、交易等基金相关业务。具体基金信息如下：</w:t>
      </w:r>
    </w:p>
    <w:p w:rsidR="001530D9" w:rsidRDefault="001530D9" w:rsidP="001530D9">
      <w:pPr>
        <w:spacing w:before="240" w:after="240" w:line="360" w:lineRule="auto"/>
        <w:ind w:firstLine="480"/>
        <w:rPr>
          <w:rFonts w:eastAsia="Times New Roman"/>
        </w:rPr>
      </w:pPr>
      <w:r>
        <w:rPr>
          <w:rFonts w:ascii="宋体" w:eastAsia="宋体" w:hAnsi="宋体" w:cs="宋体" w:hint="eastAsia"/>
        </w:rPr>
        <w:t> </w:t>
      </w:r>
    </w:p>
    <w:tbl>
      <w:tblPr>
        <w:tblW w:w="0" w:type="auto"/>
        <w:jc w:val="center"/>
        <w:tblBorders>
          <w:top w:val="outset" w:sz="6" w:space="0" w:color="000000"/>
          <w:left w:val="outset" w:sz="6" w:space="0" w:color="000000"/>
          <w:bottom w:val="outset" w:sz="6" w:space="0" w:color="000000"/>
          <w:right w:val="outset" w:sz="6" w:space="0" w:color="000000"/>
          <w:insideH w:val="nil"/>
          <w:insideV w:val="nil"/>
        </w:tblBorders>
        <w:tblLook w:val="04A0"/>
      </w:tblPr>
      <w:tblGrid>
        <w:gridCol w:w="937"/>
        <w:gridCol w:w="1749"/>
        <w:gridCol w:w="5604"/>
      </w:tblGrid>
      <w:tr w:rsidR="001530D9" w:rsidTr="001530D9">
        <w:trPr>
          <w:jc w:val="center"/>
        </w:trPr>
        <w:tc>
          <w:tcPr>
            <w:tcW w:w="937"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1530D9" w:rsidRDefault="001530D9">
            <w:pPr>
              <w:jc w:val="center"/>
              <w:rPr>
                <w:rFonts w:eastAsia="Times New Roman"/>
                <w:b/>
                <w:bCs/>
              </w:rPr>
            </w:pPr>
            <w:r>
              <w:rPr>
                <w:rFonts w:ascii="宋体" w:eastAsia="宋体" w:hAnsi="宋体" w:cs="宋体" w:hint="eastAsia"/>
                <w:b/>
                <w:bCs/>
              </w:rPr>
              <w:t>序号</w:t>
            </w:r>
          </w:p>
        </w:tc>
        <w:tc>
          <w:tcPr>
            <w:tcW w:w="1749" w:type="dxa"/>
            <w:tcBorders>
              <w:top w:val="single" w:sz="6" w:space="0" w:color="000000"/>
              <w:left w:val="nil"/>
              <w:bottom w:val="single" w:sz="6" w:space="0" w:color="000000"/>
              <w:right w:val="single" w:sz="6" w:space="0" w:color="000000"/>
            </w:tcBorders>
            <w:tcMar>
              <w:top w:w="8" w:type="dxa"/>
              <w:left w:w="110" w:type="dxa"/>
              <w:bottom w:w="8" w:type="dxa"/>
              <w:right w:w="112" w:type="dxa"/>
            </w:tcMar>
            <w:hideMark/>
          </w:tcPr>
          <w:p w:rsidR="001530D9" w:rsidRDefault="001530D9">
            <w:pPr>
              <w:jc w:val="center"/>
              <w:rPr>
                <w:rFonts w:eastAsia="Times New Roman"/>
                <w:b/>
                <w:bCs/>
              </w:rPr>
            </w:pPr>
            <w:r>
              <w:rPr>
                <w:rFonts w:ascii="宋体" w:eastAsia="宋体" w:hAnsi="宋体" w:cs="宋体" w:hint="eastAsia"/>
                <w:b/>
                <w:bCs/>
              </w:rPr>
              <w:t>基金代码</w:t>
            </w:r>
          </w:p>
        </w:tc>
        <w:tc>
          <w:tcPr>
            <w:tcW w:w="5604" w:type="dxa"/>
            <w:tcBorders>
              <w:top w:val="single" w:sz="6" w:space="0" w:color="000000"/>
              <w:left w:val="nil"/>
              <w:bottom w:val="single" w:sz="6" w:space="0" w:color="000000"/>
              <w:right w:val="single" w:sz="6" w:space="0" w:color="000000"/>
            </w:tcBorders>
            <w:tcMar>
              <w:top w:w="8" w:type="dxa"/>
              <w:left w:w="112" w:type="dxa"/>
              <w:bottom w:w="8" w:type="dxa"/>
              <w:right w:w="112" w:type="dxa"/>
            </w:tcMar>
            <w:hideMark/>
          </w:tcPr>
          <w:p w:rsidR="001530D9" w:rsidRDefault="001530D9">
            <w:pPr>
              <w:jc w:val="center"/>
              <w:rPr>
                <w:rFonts w:eastAsia="Times New Roman"/>
                <w:b/>
                <w:bCs/>
              </w:rPr>
            </w:pPr>
            <w:r>
              <w:rPr>
                <w:rFonts w:ascii="宋体" w:eastAsia="宋体" w:hAnsi="宋体" w:cs="宋体" w:hint="eastAsia"/>
                <w:b/>
                <w:bCs/>
              </w:rPr>
              <w:t>基金名称</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001122</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鹏华弘利灵活配置混合型证券投资基金</w:t>
            </w:r>
            <w:r>
              <w:rPr>
                <w:rFonts w:eastAsia="Times New Roman" w:hint="eastAsia"/>
              </w:rPr>
              <w:t>A</w:t>
            </w:r>
            <w:r>
              <w:rPr>
                <w:rFonts w:ascii="宋体" w:eastAsia="宋体" w:hAnsi="宋体" w:cs="宋体" w:hint="eastAsia"/>
              </w:rPr>
              <w:t>类</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2</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002504</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鹏华金鼎灵活配置混合型证券投资基金</w:t>
            </w:r>
            <w:r>
              <w:rPr>
                <w:rFonts w:eastAsia="Times New Roman" w:hint="eastAsia"/>
              </w:rPr>
              <w:t>A</w:t>
            </w:r>
            <w:r>
              <w:rPr>
                <w:rFonts w:ascii="宋体" w:eastAsia="宋体" w:hAnsi="宋体" w:cs="宋体" w:hint="eastAsia"/>
              </w:rPr>
              <w:t>类</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3</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003165</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鹏华弘嘉灵活配置混合型证券投资基金</w:t>
            </w:r>
            <w:r>
              <w:rPr>
                <w:rFonts w:eastAsia="Times New Roman" w:hint="eastAsia"/>
              </w:rPr>
              <w:t>A</w:t>
            </w:r>
            <w:r>
              <w:rPr>
                <w:rFonts w:ascii="宋体" w:eastAsia="宋体" w:hAnsi="宋体" w:cs="宋体" w:hint="eastAsia"/>
              </w:rPr>
              <w:t>类</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4</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005416</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鹏华尊惠</w:t>
            </w:r>
            <w:r>
              <w:rPr>
                <w:rFonts w:eastAsia="Times New Roman" w:hint="eastAsia"/>
              </w:rPr>
              <w:t>18</w:t>
            </w:r>
            <w:r>
              <w:rPr>
                <w:rFonts w:ascii="宋体" w:eastAsia="宋体" w:hAnsi="宋体" w:cs="宋体" w:hint="eastAsia"/>
              </w:rPr>
              <w:t>个月定期开放混合型证券投资基金</w:t>
            </w:r>
            <w:r>
              <w:rPr>
                <w:rFonts w:eastAsia="Times New Roman" w:hint="eastAsia"/>
              </w:rPr>
              <w:t>A</w:t>
            </w:r>
            <w:r>
              <w:rPr>
                <w:rFonts w:ascii="宋体" w:eastAsia="宋体" w:hAnsi="宋体" w:cs="宋体" w:hint="eastAsia"/>
              </w:rPr>
              <w:t>类</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5</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206003</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鹏华信用增利债券型证券投资基金</w:t>
            </w:r>
            <w:r>
              <w:rPr>
                <w:rFonts w:eastAsia="Times New Roman" w:hint="eastAsia"/>
              </w:rPr>
              <w:t>A</w:t>
            </w:r>
            <w:r>
              <w:rPr>
                <w:rFonts w:ascii="宋体" w:eastAsia="宋体" w:hAnsi="宋体" w:cs="宋体" w:hint="eastAsia"/>
              </w:rPr>
              <w:t>类</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6</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000409</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鹏华环保产业股票型证券投资基金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7</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000431</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鹏华品牌传承灵活配置混合型证券投资基金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8</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000854</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鹏华养老产业股票型证券投资基金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9</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001222</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鹏华外延成长灵活配置混合型证券投资基金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10</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001666</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鹏华添利宝货币市场基金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11</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002643</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bookmarkStart w:id="0" w:name="_GoBack"/>
            <w:bookmarkEnd w:id="0"/>
            <w:r>
              <w:rPr>
                <w:rFonts w:ascii="宋体" w:eastAsia="宋体" w:hAnsi="宋体" w:cs="宋体" w:hint="eastAsia"/>
              </w:rPr>
              <w:t>鹏华兴利混合型证券投资基金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12</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003547</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鹏华丰禄债券型证券投资基金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13</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004127</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鹏华丰康债券型证券投资基金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14</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004986</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鹏华策略回报灵活配置混合型证券投资基金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15</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005812</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鹏华产业精选灵活配置混合型证券投资基金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16</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206002</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鹏华精选成长混合型证券投资基金</w:t>
            </w:r>
          </w:p>
        </w:tc>
      </w:tr>
      <w:tr w:rsidR="001530D9" w:rsidTr="001530D9">
        <w:trPr>
          <w:jc w:val="center"/>
        </w:trPr>
        <w:tc>
          <w:tcPr>
            <w:tcW w:w="0" w:type="auto"/>
            <w:tcBorders>
              <w:top w:val="inset" w:sz="6" w:space="0" w:color="000000"/>
              <w:left w:val="out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17</w:t>
            </w:r>
          </w:p>
        </w:tc>
        <w:tc>
          <w:tcPr>
            <w:tcW w:w="174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206009</w:t>
            </w:r>
          </w:p>
        </w:tc>
        <w:tc>
          <w:tcPr>
            <w:tcW w:w="5604" w:type="dxa"/>
            <w:tcBorders>
              <w:top w:val="inset" w:sz="6" w:space="0" w:color="000000"/>
              <w:left w:val="inset" w:sz="6" w:space="0" w:color="000000"/>
              <w:bottom w:val="in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鹏华新兴产业混合型证券投资基金</w:t>
            </w:r>
          </w:p>
        </w:tc>
      </w:tr>
      <w:tr w:rsidR="001530D9" w:rsidTr="001530D9">
        <w:trPr>
          <w:jc w:val="center"/>
        </w:trPr>
        <w:tc>
          <w:tcPr>
            <w:tcW w:w="0" w:type="auto"/>
            <w:tcBorders>
              <w:top w:val="inset" w:sz="6" w:space="0" w:color="000000"/>
              <w:left w:val="outset" w:sz="6" w:space="0" w:color="000000"/>
              <w:bottom w:val="out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18</w:t>
            </w:r>
          </w:p>
        </w:tc>
        <w:tc>
          <w:tcPr>
            <w:tcW w:w="1749" w:type="dxa"/>
            <w:tcBorders>
              <w:top w:val="inset" w:sz="6" w:space="0" w:color="000000"/>
              <w:left w:val="inset" w:sz="6" w:space="0" w:color="000000"/>
              <w:bottom w:val="outset" w:sz="6" w:space="0" w:color="000000"/>
              <w:right w:val="in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eastAsia="Times New Roman" w:hint="eastAsia"/>
              </w:rPr>
              <w:t>206018</w:t>
            </w:r>
          </w:p>
        </w:tc>
        <w:tc>
          <w:tcPr>
            <w:tcW w:w="5604" w:type="dxa"/>
            <w:tcBorders>
              <w:top w:val="inset" w:sz="6" w:space="0" w:color="000000"/>
              <w:left w:val="inset" w:sz="6" w:space="0" w:color="000000"/>
              <w:bottom w:val="outset" w:sz="6" w:space="0" w:color="000000"/>
              <w:right w:val="outset" w:sz="6" w:space="0" w:color="000000"/>
            </w:tcBorders>
            <w:tcMar>
              <w:top w:w="22" w:type="dxa"/>
              <w:left w:w="22" w:type="dxa"/>
              <w:bottom w:w="22" w:type="dxa"/>
              <w:right w:w="22" w:type="dxa"/>
            </w:tcMar>
            <w:vAlign w:val="center"/>
            <w:hideMark/>
          </w:tcPr>
          <w:p w:rsidR="001530D9" w:rsidRDefault="001530D9">
            <w:pPr>
              <w:jc w:val="center"/>
              <w:rPr>
                <w:rFonts w:eastAsia="Times New Roman"/>
              </w:rPr>
            </w:pPr>
            <w:r>
              <w:rPr>
                <w:rFonts w:ascii="宋体" w:eastAsia="宋体" w:hAnsi="宋体" w:cs="宋体" w:hint="eastAsia"/>
              </w:rPr>
              <w:t>鹏华产业债债券型证券投资基金</w:t>
            </w:r>
          </w:p>
        </w:tc>
      </w:tr>
    </w:tbl>
    <w:p w:rsidR="001530D9" w:rsidRDefault="001530D9" w:rsidP="001530D9">
      <w:pPr>
        <w:spacing w:before="240" w:after="240" w:line="360" w:lineRule="auto"/>
        <w:ind w:firstLine="480"/>
        <w:rPr>
          <w:rFonts w:eastAsia="Times New Roman"/>
        </w:rPr>
      </w:pPr>
      <w:r>
        <w:rPr>
          <w:rFonts w:ascii="宋体" w:eastAsia="宋体" w:hAnsi="宋体" w:cs="宋体" w:hint="eastAsia"/>
        </w:rPr>
        <w:t> </w:t>
      </w:r>
    </w:p>
    <w:p w:rsidR="001530D9" w:rsidRDefault="001530D9" w:rsidP="001530D9">
      <w:pPr>
        <w:spacing w:before="240" w:after="240" w:line="360" w:lineRule="auto"/>
        <w:ind w:firstLine="480"/>
        <w:rPr>
          <w:rFonts w:eastAsia="Times New Roman"/>
        </w:rPr>
      </w:pPr>
      <w:r>
        <w:rPr>
          <w:rFonts w:ascii="宋体" w:eastAsia="宋体" w:hAnsi="宋体" w:cs="宋体" w:hint="eastAsia"/>
        </w:rPr>
        <w:lastRenderedPageBreak/>
        <w:t>上述基金的具体业务规则、费率及相关重要事项等详见本公司发布的上述基金基金合同、招募说明书（更新）及相关业务公告。投资者可通过以下途径咨询有关详情：</w:t>
      </w:r>
    </w:p>
    <w:p w:rsidR="001530D9" w:rsidRDefault="001530D9" w:rsidP="001530D9">
      <w:pPr>
        <w:pStyle w:val="MsoListParagraph0"/>
        <w:spacing w:line="360" w:lineRule="auto"/>
        <w:ind w:left="360"/>
        <w:rPr>
          <w:rFonts w:eastAsia="Times New Roman"/>
        </w:rPr>
      </w:pPr>
      <w:r>
        <w:rPr>
          <w:rFonts w:ascii="宋体" w:eastAsia="宋体" w:hAnsi="宋体" w:cs="宋体" w:hint="eastAsia"/>
          <w:b/>
          <w:bCs/>
        </w:rPr>
        <w:t xml:space="preserve">1. 广东南粤银行股份有限公司 </w:t>
      </w:r>
    </w:p>
    <w:p w:rsidR="001530D9" w:rsidRDefault="001530D9" w:rsidP="001530D9">
      <w:pPr>
        <w:spacing w:before="240" w:after="240" w:line="360" w:lineRule="auto"/>
        <w:rPr>
          <w:rFonts w:eastAsia="Times New Roman"/>
        </w:rPr>
      </w:pPr>
      <w:r>
        <w:rPr>
          <w:rFonts w:ascii="宋体" w:eastAsia="宋体" w:hAnsi="宋体" w:cs="宋体" w:hint="eastAsia"/>
        </w:rPr>
        <w:t>客户服务电话：4000-961818</w:t>
      </w:r>
    </w:p>
    <w:p w:rsidR="001530D9" w:rsidRDefault="001530D9" w:rsidP="001530D9">
      <w:pPr>
        <w:spacing w:before="240" w:after="240" w:line="360" w:lineRule="auto"/>
        <w:rPr>
          <w:rFonts w:eastAsia="Times New Roman"/>
        </w:rPr>
      </w:pPr>
      <w:r>
        <w:rPr>
          <w:rFonts w:ascii="宋体" w:eastAsia="宋体" w:hAnsi="宋体" w:cs="宋体" w:hint="eastAsia"/>
        </w:rPr>
        <w:t>公司网站：http://www.gdnybank.com/</w:t>
      </w:r>
    </w:p>
    <w:p w:rsidR="001530D9" w:rsidRDefault="001530D9" w:rsidP="001530D9">
      <w:pPr>
        <w:pStyle w:val="MsoListParagraph0"/>
        <w:spacing w:line="360" w:lineRule="auto"/>
        <w:ind w:left="360"/>
        <w:rPr>
          <w:rFonts w:eastAsia="Times New Roman"/>
        </w:rPr>
      </w:pPr>
      <w:r>
        <w:rPr>
          <w:rFonts w:ascii="宋体" w:eastAsia="宋体" w:hAnsi="宋体" w:cs="宋体" w:hint="eastAsia"/>
          <w:b/>
          <w:bCs/>
        </w:rPr>
        <w:t>2. 鹏华基金管理有限公司</w:t>
      </w:r>
    </w:p>
    <w:p w:rsidR="001530D9" w:rsidRDefault="001530D9" w:rsidP="001530D9">
      <w:pPr>
        <w:spacing w:before="240" w:after="240" w:line="360" w:lineRule="auto"/>
        <w:rPr>
          <w:rFonts w:eastAsia="Times New Roman"/>
        </w:rPr>
      </w:pPr>
      <w:r>
        <w:rPr>
          <w:rFonts w:ascii="宋体" w:eastAsia="宋体" w:hAnsi="宋体" w:cs="宋体" w:hint="eastAsia"/>
        </w:rPr>
        <w:t>客户服务中心电话：400-6788-999或400-6788-533</w:t>
      </w:r>
    </w:p>
    <w:p w:rsidR="001530D9" w:rsidRDefault="001530D9" w:rsidP="001530D9">
      <w:pPr>
        <w:spacing w:before="240" w:after="240" w:line="360" w:lineRule="auto"/>
        <w:rPr>
          <w:rFonts w:eastAsia="Times New Roman"/>
        </w:rPr>
      </w:pPr>
      <w:r>
        <w:rPr>
          <w:rFonts w:ascii="宋体" w:eastAsia="宋体" w:hAnsi="宋体" w:cs="宋体" w:hint="eastAsia"/>
        </w:rPr>
        <w:t xml:space="preserve">网址： www.phfund.com </w:t>
      </w:r>
    </w:p>
    <w:p w:rsidR="001530D9" w:rsidRDefault="001530D9" w:rsidP="001530D9">
      <w:pPr>
        <w:spacing w:before="240" w:after="240" w:line="360" w:lineRule="auto"/>
        <w:rPr>
          <w:rFonts w:eastAsia="Times New Roman"/>
        </w:rPr>
      </w:pPr>
      <w:r>
        <w:rPr>
          <w:rFonts w:ascii="宋体" w:eastAsia="宋体" w:hAnsi="宋体" w:cs="宋体" w:hint="eastAsia"/>
        </w:rPr>
        <w:t> </w:t>
      </w:r>
    </w:p>
    <w:p w:rsidR="001530D9" w:rsidRDefault="001530D9" w:rsidP="001530D9">
      <w:pPr>
        <w:spacing w:before="240" w:after="240" w:line="360" w:lineRule="auto"/>
        <w:ind w:firstLine="480"/>
        <w:rPr>
          <w:rFonts w:eastAsia="Times New Roman"/>
        </w:rPr>
      </w:pPr>
      <w:r>
        <w:rPr>
          <w:rFonts w:ascii="宋体" w:eastAsia="宋体" w:hAnsi="宋体" w:cs="宋体" w:hint="eastAsia"/>
        </w:rPr>
        <w:t>风险提示：本公司承诺以诚实信用、勤勉尽责的原则管理和运用基金财产,但不保证基金一定盈利,也不保证最低收益。投资者投资于本公司上述基金时应认真阅读相关基金基金合同、招募说明书（更新）等文件，并根据自身风险承受能力选择适合自己的基金产品。敬请投资者注意投资风险。</w:t>
      </w:r>
    </w:p>
    <w:p w:rsidR="001530D9" w:rsidRDefault="001530D9" w:rsidP="001530D9">
      <w:pPr>
        <w:spacing w:before="240" w:after="240" w:line="360" w:lineRule="auto"/>
        <w:ind w:firstLine="480"/>
        <w:rPr>
          <w:rFonts w:eastAsia="Times New Roman"/>
        </w:rPr>
      </w:pPr>
      <w:r>
        <w:rPr>
          <w:rFonts w:ascii="宋体" w:eastAsia="宋体" w:hAnsi="宋体" w:cs="宋体" w:hint="eastAsia"/>
        </w:rPr>
        <w:t xml:space="preserve">特此公告。 </w:t>
      </w:r>
    </w:p>
    <w:p w:rsidR="001530D9" w:rsidRDefault="001530D9" w:rsidP="001530D9">
      <w:pPr>
        <w:spacing w:before="240" w:after="240" w:line="360" w:lineRule="auto"/>
        <w:ind w:firstLine="480"/>
        <w:rPr>
          <w:rFonts w:eastAsia="Times New Roman"/>
        </w:rPr>
      </w:pPr>
      <w:r>
        <w:rPr>
          <w:rFonts w:ascii="宋体" w:eastAsia="宋体" w:hAnsi="宋体" w:cs="宋体" w:hint="eastAsia"/>
        </w:rPr>
        <w:t> </w:t>
      </w:r>
    </w:p>
    <w:p w:rsidR="001530D9" w:rsidRDefault="001530D9" w:rsidP="001530D9">
      <w:pPr>
        <w:spacing w:before="240" w:after="240" w:line="360" w:lineRule="auto"/>
        <w:jc w:val="right"/>
        <w:rPr>
          <w:rFonts w:eastAsia="Times New Roman"/>
        </w:rPr>
      </w:pPr>
      <w:r>
        <w:rPr>
          <w:rFonts w:ascii="宋体" w:eastAsia="宋体" w:hAnsi="宋体" w:cs="宋体" w:hint="eastAsia"/>
        </w:rPr>
        <w:t xml:space="preserve">    鹏华基金管理有限公司 </w:t>
      </w:r>
    </w:p>
    <w:p w:rsidR="001530D9" w:rsidRDefault="001530D9" w:rsidP="001530D9">
      <w:pPr>
        <w:ind w:right="120"/>
        <w:jc w:val="right"/>
        <w:rPr>
          <w:rFonts w:eastAsia="Times New Roman"/>
        </w:rPr>
      </w:pPr>
      <w:r>
        <w:rPr>
          <w:rFonts w:ascii="宋体" w:eastAsia="宋体" w:hAnsi="宋体" w:cs="宋体" w:hint="eastAsia"/>
        </w:rPr>
        <w:t>  2020年03月27日</w:t>
      </w:r>
    </w:p>
    <w:p w:rsidR="001530D9" w:rsidRDefault="001530D9" w:rsidP="001530D9">
      <w:pPr>
        <w:spacing w:before="240" w:after="240"/>
        <w:rPr>
          <w:rFonts w:eastAsia="Times New Roman"/>
        </w:rPr>
      </w:pPr>
      <w:r>
        <w:rPr>
          <w:rFonts w:eastAsia="Times New Roman"/>
        </w:rPr>
        <w:t> </w:t>
      </w:r>
    </w:p>
    <w:p w:rsidR="001530D9" w:rsidRDefault="001530D9" w:rsidP="001530D9"/>
    <w:p w:rsidR="000A77D4" w:rsidRDefault="000A77D4"/>
    <w:sectPr w:rsidR="000A77D4" w:rsidSect="00B23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43" w:rsidRDefault="00C54743" w:rsidP="00C54743">
      <w:r>
        <w:separator/>
      </w:r>
    </w:p>
  </w:endnote>
  <w:endnote w:type="continuationSeparator" w:id="1">
    <w:p w:rsidR="00C54743" w:rsidRDefault="00C54743" w:rsidP="00C54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43" w:rsidRDefault="00C54743" w:rsidP="00C54743">
      <w:r>
        <w:separator/>
      </w:r>
    </w:p>
  </w:footnote>
  <w:footnote w:type="continuationSeparator" w:id="1">
    <w:p w:rsidR="00C54743" w:rsidRDefault="00C54743" w:rsidP="00C54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05"/>
    <w:rsid w:val="00035905"/>
    <w:rsid w:val="000A77D4"/>
    <w:rsid w:val="001530D9"/>
    <w:rsid w:val="00B23587"/>
    <w:rsid w:val="00C54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D9"/>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1530D9"/>
  </w:style>
  <w:style w:type="paragraph" w:styleId="a3">
    <w:name w:val="header"/>
    <w:basedOn w:val="a"/>
    <w:link w:val="Char"/>
    <w:uiPriority w:val="99"/>
    <w:semiHidden/>
    <w:unhideWhenUsed/>
    <w:rsid w:val="00C547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4743"/>
    <w:rPr>
      <w:rFonts w:ascii="Times New Roman" w:hAnsi="Times New Roman" w:cs="Times New Roman"/>
      <w:kern w:val="0"/>
      <w:sz w:val="18"/>
      <w:szCs w:val="18"/>
    </w:rPr>
  </w:style>
  <w:style w:type="paragraph" w:styleId="a4">
    <w:name w:val="footer"/>
    <w:basedOn w:val="a"/>
    <w:link w:val="Char0"/>
    <w:uiPriority w:val="99"/>
    <w:semiHidden/>
    <w:unhideWhenUsed/>
    <w:rsid w:val="00C54743"/>
    <w:pPr>
      <w:tabs>
        <w:tab w:val="center" w:pos="4153"/>
        <w:tab w:val="right" w:pos="8306"/>
      </w:tabs>
      <w:snapToGrid w:val="0"/>
    </w:pPr>
    <w:rPr>
      <w:sz w:val="18"/>
      <w:szCs w:val="18"/>
    </w:rPr>
  </w:style>
  <w:style w:type="character" w:customStyle="1" w:styleId="Char0">
    <w:name w:val="页脚 Char"/>
    <w:basedOn w:val="a0"/>
    <w:link w:val="a4"/>
    <w:uiPriority w:val="99"/>
    <w:semiHidden/>
    <w:rsid w:val="00C54743"/>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6395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4</DocSecurity>
  <Lines>7</Lines>
  <Paragraphs>2</Paragraphs>
  <ScaleCrop>false</ScaleCrop>
  <Company>PHFUND</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dc:description/>
  <cp:lastModifiedBy>JonMMx 2000</cp:lastModifiedBy>
  <cp:revision>2</cp:revision>
  <dcterms:created xsi:type="dcterms:W3CDTF">2020-03-26T16:01:00Z</dcterms:created>
  <dcterms:modified xsi:type="dcterms:W3CDTF">2020-03-26T16:01:00Z</dcterms:modified>
</cp:coreProperties>
</file>