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41C" w:rsidRDefault="009A20FB">
      <w:pPr>
        <w:pStyle w:val="HTML"/>
        <w:spacing w:line="360" w:lineRule="auto"/>
        <w:jc w:val="center"/>
        <w:rPr>
          <w:b/>
          <w:sz w:val="30"/>
          <w:szCs w:val="30"/>
        </w:rPr>
      </w:pPr>
      <w:bookmarkStart w:id="0" w:name="OLE_LINK2"/>
      <w:bookmarkStart w:id="1" w:name="OLE_LINK1"/>
      <w:r>
        <w:rPr>
          <w:b/>
          <w:sz w:val="30"/>
          <w:szCs w:val="30"/>
        </w:rPr>
        <w:t>关于浦银安盛</w:t>
      </w:r>
      <w:r w:rsidR="00A41129" w:rsidRPr="00A41129">
        <w:rPr>
          <w:rFonts w:hint="eastAsia"/>
          <w:b/>
          <w:sz w:val="30"/>
          <w:szCs w:val="30"/>
        </w:rPr>
        <w:t>基金管理有限公司</w:t>
      </w:r>
      <w:bookmarkStart w:id="2" w:name="_GoBack"/>
      <w:bookmarkEnd w:id="2"/>
      <w:r>
        <w:rPr>
          <w:rFonts w:hint="eastAsia"/>
          <w:b/>
          <w:sz w:val="30"/>
          <w:szCs w:val="30"/>
        </w:rPr>
        <w:t>旗下部分基金在同花顺基金开通</w:t>
      </w:r>
      <w:r>
        <w:rPr>
          <w:b/>
          <w:sz w:val="30"/>
          <w:szCs w:val="30"/>
        </w:rPr>
        <w:t>基金转换业务</w:t>
      </w:r>
      <w:r>
        <w:rPr>
          <w:rFonts w:hint="eastAsia"/>
          <w:b/>
          <w:sz w:val="30"/>
          <w:szCs w:val="30"/>
        </w:rPr>
        <w:t>的</w:t>
      </w:r>
      <w:r>
        <w:rPr>
          <w:b/>
          <w:sz w:val="30"/>
          <w:szCs w:val="30"/>
        </w:rPr>
        <w:t>公告</w:t>
      </w:r>
    </w:p>
    <w:bookmarkEnd w:id="0"/>
    <w:bookmarkEnd w:id="1"/>
    <w:p w:rsidR="0007341C" w:rsidRDefault="0007341C">
      <w:pPr>
        <w:pStyle w:val="HTML"/>
        <w:spacing w:line="360" w:lineRule="auto"/>
        <w:jc w:val="both"/>
        <w:rPr>
          <w:sz w:val="21"/>
          <w:szCs w:val="21"/>
        </w:rPr>
      </w:pPr>
    </w:p>
    <w:p w:rsidR="0007341C" w:rsidRDefault="009A20FB">
      <w:pPr>
        <w:pStyle w:val="HTML"/>
        <w:spacing w:line="360" w:lineRule="auto"/>
        <w:ind w:firstLine="420"/>
        <w:jc w:val="both"/>
        <w:rPr>
          <w:sz w:val="21"/>
          <w:szCs w:val="21"/>
        </w:rPr>
      </w:pPr>
      <w:r>
        <w:rPr>
          <w:rFonts w:hint="eastAsia"/>
          <w:sz w:val="21"/>
          <w:szCs w:val="21"/>
        </w:rPr>
        <w:t>根据浦银安盛</w:t>
      </w:r>
      <w:r>
        <w:rPr>
          <w:sz w:val="21"/>
          <w:szCs w:val="21"/>
        </w:rPr>
        <w:t>基金管理有限公司（以下简称“本公司”）与</w:t>
      </w:r>
      <w:r>
        <w:rPr>
          <w:rFonts w:hint="eastAsia"/>
          <w:sz w:val="21"/>
          <w:szCs w:val="21"/>
        </w:rPr>
        <w:t>浙江同花顺基金销售有限公司</w:t>
      </w:r>
      <w:r>
        <w:rPr>
          <w:sz w:val="21"/>
          <w:szCs w:val="21"/>
        </w:rPr>
        <w:t>（以下简称“</w:t>
      </w:r>
      <w:r>
        <w:rPr>
          <w:rFonts w:hint="eastAsia"/>
          <w:sz w:val="21"/>
          <w:szCs w:val="21"/>
        </w:rPr>
        <w:t>同花顺基金</w:t>
      </w:r>
      <w:r>
        <w:rPr>
          <w:sz w:val="21"/>
          <w:szCs w:val="21"/>
        </w:rPr>
        <w:t>”）协商</w:t>
      </w:r>
      <w:r>
        <w:rPr>
          <w:rFonts w:hint="eastAsia"/>
          <w:sz w:val="21"/>
          <w:szCs w:val="21"/>
        </w:rPr>
        <w:t>一致，决定自2020年3月25日起本公司旗下部分基金在同花顺基金开通基金</w:t>
      </w:r>
      <w:r>
        <w:rPr>
          <w:sz w:val="21"/>
          <w:szCs w:val="21"/>
        </w:rPr>
        <w:t>转换业务</w:t>
      </w:r>
      <w:r>
        <w:rPr>
          <w:rFonts w:hint="eastAsia"/>
          <w:sz w:val="21"/>
          <w:szCs w:val="21"/>
        </w:rPr>
        <w:t>。</w:t>
      </w:r>
    </w:p>
    <w:p w:rsidR="0007341C" w:rsidRDefault="009A20FB">
      <w:pPr>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投资者可通过</w:t>
      </w:r>
      <w:r>
        <w:rPr>
          <w:rFonts w:hint="eastAsia"/>
          <w:szCs w:val="21"/>
        </w:rPr>
        <w:t>同花顺基金</w:t>
      </w:r>
      <w:r>
        <w:rPr>
          <w:rFonts w:ascii="宋体" w:hAnsi="宋体" w:cs="宋体"/>
          <w:color w:val="000000"/>
          <w:kern w:val="0"/>
          <w:szCs w:val="21"/>
        </w:rPr>
        <w:t>办理</w:t>
      </w:r>
      <w:r>
        <w:rPr>
          <w:rFonts w:ascii="宋体" w:hAnsi="宋体" w:cs="宋体" w:hint="eastAsia"/>
          <w:color w:val="000000"/>
          <w:kern w:val="0"/>
          <w:szCs w:val="21"/>
        </w:rPr>
        <w:t>旗下基金的</w:t>
      </w:r>
      <w:r>
        <w:rPr>
          <w:rFonts w:ascii="宋体" w:hAnsi="宋体" w:cs="宋体"/>
          <w:color w:val="000000"/>
          <w:kern w:val="0"/>
          <w:szCs w:val="21"/>
        </w:rPr>
        <w:t>开户</w:t>
      </w:r>
      <w:r>
        <w:rPr>
          <w:rFonts w:ascii="宋体" w:hAnsi="宋体" w:cs="宋体" w:hint="eastAsia"/>
          <w:color w:val="000000"/>
          <w:kern w:val="0"/>
          <w:szCs w:val="21"/>
        </w:rPr>
        <w:t>、申购、</w:t>
      </w:r>
      <w:r>
        <w:rPr>
          <w:rFonts w:ascii="宋体" w:hAnsi="宋体" w:cs="宋体"/>
          <w:color w:val="000000"/>
          <w:kern w:val="0"/>
          <w:szCs w:val="21"/>
        </w:rPr>
        <w:t>赎回</w:t>
      </w:r>
      <w:r>
        <w:rPr>
          <w:rFonts w:ascii="宋体" w:hAnsi="宋体" w:cs="宋体" w:hint="eastAsia"/>
          <w:color w:val="000000"/>
          <w:kern w:val="0"/>
          <w:szCs w:val="21"/>
        </w:rPr>
        <w:t>、转换</w:t>
      </w:r>
      <w:r>
        <w:rPr>
          <w:rFonts w:ascii="宋体" w:hAnsi="宋体" w:cs="宋体"/>
          <w:color w:val="000000"/>
          <w:kern w:val="0"/>
          <w:szCs w:val="21"/>
        </w:rPr>
        <w:t>等业务</w:t>
      </w:r>
      <w:r>
        <w:rPr>
          <w:rFonts w:ascii="宋体" w:hAnsi="宋体" w:cs="宋体" w:hint="eastAsia"/>
          <w:color w:val="000000"/>
          <w:kern w:val="0"/>
          <w:szCs w:val="21"/>
        </w:rPr>
        <w:t>，具体业务办理程序以</w:t>
      </w:r>
      <w:r>
        <w:rPr>
          <w:rFonts w:hint="eastAsia"/>
          <w:szCs w:val="21"/>
        </w:rPr>
        <w:t>同花顺基金</w:t>
      </w:r>
      <w:r>
        <w:rPr>
          <w:rFonts w:ascii="宋体" w:hAnsi="宋体" w:cs="宋体" w:hint="eastAsia"/>
          <w:color w:val="000000"/>
          <w:kern w:val="0"/>
          <w:szCs w:val="21"/>
        </w:rPr>
        <w:t>相关业务规定为准。</w:t>
      </w:r>
    </w:p>
    <w:p w:rsidR="0007341C" w:rsidRDefault="009A20FB">
      <w:pPr>
        <w:pStyle w:val="HTML"/>
        <w:spacing w:line="360" w:lineRule="auto"/>
        <w:ind w:firstLine="420"/>
        <w:jc w:val="both"/>
        <w:rPr>
          <w:b/>
          <w:sz w:val="21"/>
          <w:szCs w:val="21"/>
        </w:rPr>
      </w:pPr>
      <w:r>
        <w:rPr>
          <w:rFonts w:hint="eastAsia"/>
          <w:b/>
          <w:sz w:val="21"/>
          <w:szCs w:val="21"/>
        </w:rPr>
        <w:t>一、基金转换</w:t>
      </w:r>
    </w:p>
    <w:p w:rsidR="0007341C" w:rsidRDefault="009A20FB">
      <w:pPr>
        <w:pStyle w:val="HTML"/>
        <w:spacing w:line="360" w:lineRule="auto"/>
        <w:ind w:firstLineChars="200" w:firstLine="422"/>
        <w:jc w:val="both"/>
        <w:rPr>
          <w:b/>
          <w:sz w:val="21"/>
          <w:szCs w:val="21"/>
        </w:rPr>
      </w:pPr>
      <w:r>
        <w:rPr>
          <w:rFonts w:hint="eastAsia"/>
          <w:b/>
          <w:sz w:val="21"/>
          <w:szCs w:val="21"/>
        </w:rPr>
        <w:t>1、参与基金</w:t>
      </w:r>
    </w:p>
    <w:p w:rsidR="0007341C" w:rsidRDefault="009A20FB">
      <w:pPr>
        <w:pStyle w:val="HTML"/>
        <w:spacing w:line="360" w:lineRule="auto"/>
        <w:ind w:firstLineChars="100" w:firstLine="210"/>
        <w:jc w:val="both"/>
        <w:rPr>
          <w:rFonts w:ascii="Times New Roman" w:hAnsi="Times New Roman" w:cs="Times New Roman"/>
          <w:color w:val="auto"/>
          <w:kern w:val="2"/>
          <w:sz w:val="21"/>
          <w:szCs w:val="21"/>
        </w:rPr>
      </w:pPr>
      <w:r>
        <w:rPr>
          <w:rFonts w:ascii="Times New Roman" w:hAnsi="Times New Roman" w:cs="Times New Roman" w:hint="eastAsia"/>
          <w:color w:val="auto"/>
          <w:kern w:val="2"/>
          <w:sz w:val="21"/>
          <w:szCs w:val="21"/>
        </w:rPr>
        <w:t>注册在中登</w:t>
      </w:r>
      <w:r>
        <w:rPr>
          <w:rFonts w:ascii="Times New Roman" w:hAnsi="Times New Roman" w:cs="Times New Roman" w:hint="eastAsia"/>
          <w:color w:val="auto"/>
          <w:kern w:val="2"/>
          <w:sz w:val="21"/>
          <w:szCs w:val="21"/>
        </w:rPr>
        <w:t>TA</w:t>
      </w:r>
      <w:r>
        <w:rPr>
          <w:rFonts w:ascii="Times New Roman" w:hAnsi="Times New Roman" w:cs="Times New Roman" w:hint="eastAsia"/>
          <w:color w:val="auto"/>
          <w:kern w:val="2"/>
          <w:sz w:val="21"/>
          <w:szCs w:val="21"/>
        </w:rPr>
        <w:t>系统的产品名单：</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1276"/>
        <w:gridCol w:w="6080"/>
      </w:tblGrid>
      <w:tr w:rsidR="0007341C">
        <w:trPr>
          <w:jc w:val="center"/>
        </w:trPr>
        <w:tc>
          <w:tcPr>
            <w:tcW w:w="752"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序号</w:t>
            </w:r>
          </w:p>
        </w:tc>
        <w:tc>
          <w:tcPr>
            <w:tcW w:w="1276"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基金代码</w:t>
            </w:r>
          </w:p>
        </w:tc>
        <w:tc>
          <w:tcPr>
            <w:tcW w:w="6080"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基金名称</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519110</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浦银安盛价值成长混合型证券投资基金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519111</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浦银安盛优化收益债券型证券投资基金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519112</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浦银安盛优化收益债券型证券投资基金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4</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519113</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浦银安盛精致生活灵活配置混合型证券投资基金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5</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519115</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浦银安盛红利精选混合型证券投资基金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6</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浦银安盛沪深</w:t>
            </w:r>
            <w:r>
              <w:rPr>
                <w:rFonts w:hint="eastAsia"/>
                <w:color w:val="000000"/>
                <w:sz w:val="22"/>
                <w:szCs w:val="22"/>
              </w:rPr>
              <w:t>300</w:t>
            </w:r>
            <w:r>
              <w:rPr>
                <w:rFonts w:hint="eastAsia"/>
                <w:color w:val="000000"/>
                <w:sz w:val="22"/>
                <w:szCs w:val="22"/>
              </w:rPr>
              <w:t>指数增强型证券投资基金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7</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519117</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浦银安盛中证锐联基本面</w:t>
            </w:r>
            <w:r>
              <w:rPr>
                <w:rFonts w:hint="eastAsia"/>
                <w:color w:val="000000"/>
                <w:sz w:val="22"/>
                <w:szCs w:val="22"/>
              </w:rPr>
              <w:t>400</w:t>
            </w:r>
            <w:r>
              <w:rPr>
                <w:rFonts w:hint="eastAsia"/>
                <w:color w:val="000000"/>
                <w:sz w:val="22"/>
                <w:szCs w:val="22"/>
              </w:rPr>
              <w:t>指数证券投资基金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8</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519118</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浦银安盛幸福回报定期开放债券型证券投资基金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9</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519119</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浦银安盛幸福回报定期开放债券型证券投资基金</w:t>
            </w:r>
            <w:r>
              <w:rPr>
                <w:rFonts w:hint="eastAsia"/>
                <w:color w:val="000000"/>
                <w:sz w:val="22"/>
                <w:szCs w:val="22"/>
              </w:rPr>
              <w:t>B</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10</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519120</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浦银安盛战略新兴产业混合型证券投资基金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11</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519121</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w:t>
            </w:r>
            <w:r>
              <w:rPr>
                <w:rFonts w:hint="eastAsia"/>
                <w:color w:val="000000"/>
                <w:sz w:val="22"/>
                <w:szCs w:val="22"/>
              </w:rPr>
              <w:t>6</w:t>
            </w:r>
            <w:r>
              <w:rPr>
                <w:rFonts w:hint="eastAsia"/>
                <w:color w:val="000000"/>
                <w:sz w:val="22"/>
                <w:szCs w:val="22"/>
              </w:rPr>
              <w:t>个月定期开放债券型证券投资基金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12</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519122</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w:t>
            </w:r>
            <w:r>
              <w:rPr>
                <w:rFonts w:hint="eastAsia"/>
                <w:color w:val="000000"/>
                <w:sz w:val="22"/>
                <w:szCs w:val="22"/>
              </w:rPr>
              <w:t>6</w:t>
            </w:r>
            <w:r>
              <w:rPr>
                <w:rFonts w:hint="eastAsia"/>
                <w:color w:val="000000"/>
                <w:sz w:val="22"/>
                <w:szCs w:val="22"/>
              </w:rPr>
              <w:t>个月定期开放债券型证券投资基金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lastRenderedPageBreak/>
              <w:t>13</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519123</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浦银安盛季季添利定期开放债券型证券投资基金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14</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519124</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浦银安盛季季添利定期开放债券型证券投资基金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15</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519125</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浦银安盛消费升级灵活配置混合型证券投资基金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16</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519176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浦银安盛消费升级灵活配置混合型证券投资基金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17</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519126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浦银安盛新经济结构灵活配置混合型证券投资基金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18</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519127</w:t>
            </w:r>
          </w:p>
        </w:tc>
        <w:tc>
          <w:tcPr>
            <w:tcW w:w="6080" w:type="dxa"/>
            <w:vAlign w:val="center"/>
          </w:tcPr>
          <w:p w:rsidR="0007341C" w:rsidRDefault="009A20FB">
            <w:pPr>
              <w:rPr>
                <w:color w:val="000000"/>
                <w:sz w:val="22"/>
                <w:szCs w:val="22"/>
              </w:rPr>
            </w:pPr>
            <w:r>
              <w:rPr>
                <w:rFonts w:hint="eastAsia"/>
                <w:color w:val="000000"/>
                <w:sz w:val="22"/>
                <w:szCs w:val="22"/>
              </w:rPr>
              <w:t>浦银安盛盛世精选灵活配置混合型证券投资基金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19</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519177</w:t>
            </w:r>
          </w:p>
        </w:tc>
        <w:tc>
          <w:tcPr>
            <w:tcW w:w="6080" w:type="dxa"/>
            <w:vAlign w:val="center"/>
          </w:tcPr>
          <w:p w:rsidR="0007341C" w:rsidRDefault="009A20FB">
            <w:pPr>
              <w:rPr>
                <w:color w:val="000000"/>
                <w:sz w:val="22"/>
                <w:szCs w:val="22"/>
              </w:rPr>
            </w:pPr>
            <w:r>
              <w:rPr>
                <w:rFonts w:hint="eastAsia"/>
                <w:color w:val="000000"/>
                <w:sz w:val="22"/>
                <w:szCs w:val="22"/>
              </w:rPr>
              <w:t>浦银安盛盛世精选灵活配置混合型证券投资基金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20</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519128</w:t>
            </w:r>
          </w:p>
        </w:tc>
        <w:tc>
          <w:tcPr>
            <w:tcW w:w="6080" w:type="dxa"/>
            <w:vAlign w:val="center"/>
          </w:tcPr>
          <w:p w:rsidR="0007341C" w:rsidRDefault="009A20FB">
            <w:pPr>
              <w:rPr>
                <w:color w:val="000000"/>
                <w:sz w:val="22"/>
                <w:szCs w:val="22"/>
              </w:rPr>
            </w:pPr>
            <w:r>
              <w:rPr>
                <w:rFonts w:hint="eastAsia"/>
                <w:color w:val="000000"/>
                <w:sz w:val="22"/>
                <w:szCs w:val="22"/>
              </w:rPr>
              <w:t>浦银安盛月月盈定期支付债券型证券投资基金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21</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519129</w:t>
            </w:r>
          </w:p>
        </w:tc>
        <w:tc>
          <w:tcPr>
            <w:tcW w:w="6080" w:type="dxa"/>
            <w:vAlign w:val="center"/>
          </w:tcPr>
          <w:p w:rsidR="0007341C" w:rsidRDefault="009A20FB">
            <w:pPr>
              <w:rPr>
                <w:color w:val="000000"/>
                <w:sz w:val="22"/>
                <w:szCs w:val="22"/>
              </w:rPr>
            </w:pPr>
            <w:r>
              <w:rPr>
                <w:rFonts w:hint="eastAsia"/>
                <w:color w:val="000000"/>
                <w:sz w:val="22"/>
                <w:szCs w:val="22"/>
              </w:rPr>
              <w:t>浦银安盛月月盈定期支付债券型证券投资基金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22</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519170</w:t>
            </w:r>
          </w:p>
        </w:tc>
        <w:tc>
          <w:tcPr>
            <w:tcW w:w="6080" w:type="dxa"/>
            <w:vAlign w:val="center"/>
          </w:tcPr>
          <w:p w:rsidR="0007341C" w:rsidRDefault="009A20FB">
            <w:pPr>
              <w:rPr>
                <w:color w:val="000000"/>
                <w:sz w:val="22"/>
                <w:szCs w:val="22"/>
              </w:rPr>
            </w:pPr>
            <w:r>
              <w:rPr>
                <w:rFonts w:hint="eastAsia"/>
                <w:color w:val="000000"/>
                <w:sz w:val="22"/>
                <w:szCs w:val="22"/>
              </w:rPr>
              <w:t>浦银安盛增长动力灵活配置混合型证券投资基金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23</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519171</w:t>
            </w:r>
          </w:p>
        </w:tc>
        <w:tc>
          <w:tcPr>
            <w:tcW w:w="6080" w:type="dxa"/>
            <w:vAlign w:val="center"/>
          </w:tcPr>
          <w:p w:rsidR="0007341C" w:rsidRDefault="009A20FB">
            <w:pPr>
              <w:rPr>
                <w:color w:val="000000"/>
                <w:sz w:val="22"/>
                <w:szCs w:val="22"/>
              </w:rPr>
            </w:pPr>
            <w:r>
              <w:rPr>
                <w:rFonts w:hint="eastAsia"/>
                <w:color w:val="000000"/>
                <w:sz w:val="22"/>
                <w:szCs w:val="22"/>
              </w:rPr>
              <w:t>浦银安盛医疗健康灵活配置混合型证券投资基金</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24</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519172</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浦银安盛睿智精选灵活配置混合型证券投资基金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25</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519173</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浦银安盛睿智精选灵活配置混合型证券投资基金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26</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519175</w:t>
            </w:r>
          </w:p>
        </w:tc>
        <w:tc>
          <w:tcPr>
            <w:tcW w:w="6080" w:type="dxa"/>
            <w:vAlign w:val="center"/>
          </w:tcPr>
          <w:p w:rsidR="0007341C" w:rsidRDefault="009A20FB">
            <w:pPr>
              <w:rPr>
                <w:color w:val="000000"/>
                <w:sz w:val="22"/>
                <w:szCs w:val="22"/>
              </w:rPr>
            </w:pPr>
            <w:r>
              <w:rPr>
                <w:rFonts w:hint="eastAsia"/>
                <w:color w:val="000000"/>
                <w:sz w:val="22"/>
                <w:szCs w:val="22"/>
              </w:rPr>
              <w:t>浦银安盛经济带崛起灵活配置混合型证券投资基金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hint="eastAsia"/>
                <w:b/>
                <w:color w:val="000000"/>
              </w:rPr>
              <w:t>27</w:t>
            </w:r>
          </w:p>
        </w:tc>
        <w:tc>
          <w:tcPr>
            <w:tcW w:w="1276" w:type="dxa"/>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008162</w:t>
            </w:r>
          </w:p>
        </w:tc>
        <w:tc>
          <w:tcPr>
            <w:tcW w:w="6080" w:type="dxa"/>
            <w:vAlign w:val="center"/>
          </w:tcPr>
          <w:p w:rsidR="0007341C" w:rsidRDefault="009A20FB">
            <w:pPr>
              <w:rPr>
                <w:color w:val="000000"/>
                <w:sz w:val="22"/>
                <w:szCs w:val="22"/>
              </w:rPr>
            </w:pPr>
            <w:r>
              <w:rPr>
                <w:rFonts w:hint="eastAsia"/>
                <w:color w:val="000000"/>
                <w:sz w:val="22"/>
                <w:szCs w:val="22"/>
              </w:rPr>
              <w:t>浦银安盛经济带崛起灵活配置混合型证券投资基金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28</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519320</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浦银安盛幸福聚利定期开放债券型证券投资基金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29</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519321</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浦银安盛幸福聚利定期开放债券型证券投资基金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30</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519326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浦银安盛幸福聚益</w:t>
            </w:r>
            <w:r>
              <w:rPr>
                <w:rFonts w:hint="eastAsia"/>
                <w:color w:val="000000"/>
                <w:sz w:val="22"/>
                <w:szCs w:val="22"/>
              </w:rPr>
              <w:t>18</w:t>
            </w:r>
            <w:r>
              <w:rPr>
                <w:rFonts w:hint="eastAsia"/>
                <w:color w:val="000000"/>
                <w:sz w:val="22"/>
                <w:szCs w:val="22"/>
              </w:rPr>
              <w:t>个月定期开放债券型证券投资基金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31</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519327</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浦银安盛幸福聚益</w:t>
            </w:r>
            <w:r>
              <w:rPr>
                <w:rFonts w:hint="eastAsia"/>
                <w:color w:val="000000"/>
                <w:sz w:val="22"/>
                <w:szCs w:val="22"/>
              </w:rPr>
              <w:t>18</w:t>
            </w:r>
            <w:r>
              <w:rPr>
                <w:rFonts w:hint="eastAsia"/>
                <w:color w:val="000000"/>
                <w:sz w:val="22"/>
                <w:szCs w:val="22"/>
              </w:rPr>
              <w:t>个月定期开放债券型证券投资基金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32</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004276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浦银安盛安和回报定期开放混合型证券投资基金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33</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004277</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浦银安盛安和回报定期开放混合型证券投资基金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34</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004801</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浦银安盛安久回报定期开放混合型证券投资基金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lastRenderedPageBreak/>
              <w:t>35</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004802</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浦银安盛安久回报定期开放混合型证券投资基金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36</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004274</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浦银安盛安恒回报定期开放混合型证券投资基金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37</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004275</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浦银安盛安恒回报定期开放混合型证券投资基金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38</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005865</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浦银安盛量化多策略灵活配置混合型证券投资基金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39</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005866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浦银安盛量化多策略灵活配置混合型证券投资基金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40</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006466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浦银安盛双债增强债券型证券投资基金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rFonts w:ascii="宋体" w:hAnsi="宋体" w:cs="宋体"/>
                <w:b/>
                <w:kern w:val="0"/>
                <w:szCs w:val="21"/>
              </w:rPr>
            </w:pPr>
            <w:r>
              <w:rPr>
                <w:rFonts w:ascii="宋体" w:hAnsi="宋体" w:cs="宋体" w:hint="eastAsia"/>
                <w:b/>
                <w:kern w:val="0"/>
                <w:szCs w:val="21"/>
              </w:rPr>
              <w:t>41</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006467</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浦银安盛双债增强债券型证券投资基金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42</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007163</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浦银安盛环保新能源混合型证券投资基金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43</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007164</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浦银安盛环保新能源混合型证券投资基金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44</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519509</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浦银安盛货币市场证券投资基金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45</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519510</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浦银安盛货币市场证券投资基金</w:t>
            </w:r>
            <w:r>
              <w:rPr>
                <w:rFonts w:hint="eastAsia"/>
                <w:color w:val="000000"/>
                <w:sz w:val="22"/>
                <w:szCs w:val="22"/>
              </w:rPr>
              <w:t>B</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46</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519566</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浦银安盛日日盈货币市场基金</w:t>
            </w:r>
            <w:r>
              <w:rPr>
                <w:rFonts w:hint="eastAsia"/>
                <w:color w:val="000000"/>
                <w:sz w:val="22"/>
                <w:szCs w:val="22"/>
              </w:rPr>
              <w:t>A</w:t>
            </w:r>
            <w:r>
              <w:rPr>
                <w:rFonts w:hint="eastAsia"/>
                <w:color w:val="000000"/>
                <w:sz w:val="22"/>
                <w:szCs w:val="22"/>
              </w:rPr>
              <w:t>类</w:t>
            </w:r>
          </w:p>
        </w:tc>
      </w:tr>
      <w:tr w:rsidR="0007341C">
        <w:trPr>
          <w:jc w:val="center"/>
        </w:trPr>
        <w:tc>
          <w:tcPr>
            <w:tcW w:w="752" w:type="dxa"/>
            <w:vAlign w:val="center"/>
          </w:tcPr>
          <w:p w:rsidR="0007341C" w:rsidRDefault="009A20FB">
            <w:pPr>
              <w:jc w:val="center"/>
              <w:rPr>
                <w:b/>
                <w:color w:val="000000"/>
              </w:rPr>
            </w:pPr>
            <w:r>
              <w:rPr>
                <w:rFonts w:hint="eastAsia"/>
                <w:b/>
                <w:color w:val="000000"/>
              </w:rPr>
              <w:t>47</w:t>
            </w:r>
          </w:p>
        </w:tc>
        <w:tc>
          <w:tcPr>
            <w:tcW w:w="1276" w:type="dxa"/>
            <w:vAlign w:val="center"/>
          </w:tcPr>
          <w:p w:rsidR="0007341C" w:rsidRDefault="009A20FB">
            <w:pPr>
              <w:jc w:val="center"/>
              <w:rPr>
                <w:rFonts w:ascii="微软雅黑" w:eastAsia="微软雅黑" w:hAnsi="微软雅黑" w:cs="宋体"/>
                <w:color w:val="4D4D4D"/>
                <w:sz w:val="22"/>
                <w:szCs w:val="22"/>
              </w:rPr>
            </w:pPr>
            <w:r>
              <w:rPr>
                <w:rFonts w:ascii="微软雅黑" w:eastAsia="微软雅黑" w:hAnsi="微软雅黑" w:hint="eastAsia"/>
                <w:color w:val="4D4D4D"/>
                <w:sz w:val="22"/>
                <w:szCs w:val="22"/>
              </w:rPr>
              <w:t>519567</w:t>
            </w:r>
          </w:p>
        </w:tc>
        <w:tc>
          <w:tcPr>
            <w:tcW w:w="6080" w:type="dxa"/>
            <w:vAlign w:val="center"/>
          </w:tcPr>
          <w:p w:rsidR="0007341C" w:rsidRDefault="009A20FB">
            <w:pPr>
              <w:rPr>
                <w:rFonts w:ascii="宋体" w:hAnsi="宋体" w:cs="宋体"/>
                <w:color w:val="000000"/>
                <w:sz w:val="22"/>
                <w:szCs w:val="22"/>
              </w:rPr>
            </w:pPr>
            <w:r>
              <w:rPr>
                <w:rFonts w:hint="eastAsia"/>
                <w:color w:val="000000"/>
                <w:sz w:val="22"/>
                <w:szCs w:val="22"/>
              </w:rPr>
              <w:t>浦银安盛日日盈货币市场基金</w:t>
            </w:r>
            <w:r>
              <w:rPr>
                <w:rFonts w:hint="eastAsia"/>
                <w:color w:val="000000"/>
                <w:sz w:val="22"/>
                <w:szCs w:val="22"/>
              </w:rPr>
              <w:t>B</w:t>
            </w:r>
            <w:r>
              <w:rPr>
                <w:rFonts w:hint="eastAsia"/>
                <w:color w:val="000000"/>
                <w:sz w:val="22"/>
                <w:szCs w:val="22"/>
              </w:rPr>
              <w:t>类</w:t>
            </w:r>
          </w:p>
        </w:tc>
      </w:tr>
    </w:tbl>
    <w:p w:rsidR="0007341C" w:rsidRDefault="0007341C">
      <w:pPr>
        <w:pStyle w:val="HTML"/>
        <w:spacing w:line="360" w:lineRule="auto"/>
        <w:ind w:firstLineChars="100" w:firstLine="210"/>
        <w:jc w:val="both"/>
        <w:rPr>
          <w:rFonts w:ascii="Times New Roman" w:hAnsi="Times New Roman" w:cs="Times New Roman"/>
          <w:color w:val="auto"/>
          <w:kern w:val="2"/>
          <w:sz w:val="21"/>
          <w:szCs w:val="21"/>
        </w:rPr>
      </w:pPr>
    </w:p>
    <w:p w:rsidR="0007341C" w:rsidRDefault="009A20FB">
      <w:pPr>
        <w:pStyle w:val="HTML"/>
        <w:spacing w:line="360" w:lineRule="auto"/>
        <w:ind w:firstLineChars="100" w:firstLine="210"/>
        <w:jc w:val="both"/>
        <w:rPr>
          <w:sz w:val="21"/>
          <w:szCs w:val="21"/>
        </w:rPr>
      </w:pPr>
      <w:r>
        <w:rPr>
          <w:rFonts w:ascii="Times New Roman" w:hAnsi="Times New Roman" w:cs="Times New Roman" w:hint="eastAsia"/>
          <w:color w:val="auto"/>
          <w:kern w:val="2"/>
          <w:sz w:val="21"/>
          <w:szCs w:val="21"/>
        </w:rPr>
        <w:t>注册在自建</w:t>
      </w:r>
      <w:r>
        <w:rPr>
          <w:rFonts w:ascii="Times New Roman" w:hAnsi="Times New Roman" w:cs="Times New Roman" w:hint="eastAsia"/>
          <w:color w:val="auto"/>
          <w:kern w:val="2"/>
          <w:sz w:val="21"/>
          <w:szCs w:val="21"/>
        </w:rPr>
        <w:t>TA</w:t>
      </w:r>
      <w:r>
        <w:rPr>
          <w:rFonts w:ascii="Times New Roman" w:hAnsi="Times New Roman" w:cs="Times New Roman" w:hint="eastAsia"/>
          <w:color w:val="auto"/>
          <w:kern w:val="2"/>
          <w:sz w:val="21"/>
          <w:szCs w:val="21"/>
        </w:rPr>
        <w:t>系统的产品名单：</w:t>
      </w:r>
    </w:p>
    <w:tbl>
      <w:tblPr>
        <w:tblW w:w="8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2"/>
        <w:gridCol w:w="1276"/>
        <w:gridCol w:w="6080"/>
      </w:tblGrid>
      <w:tr w:rsidR="0007341C">
        <w:trPr>
          <w:jc w:val="center"/>
        </w:trPr>
        <w:tc>
          <w:tcPr>
            <w:tcW w:w="752"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序号</w:t>
            </w:r>
          </w:p>
        </w:tc>
        <w:tc>
          <w:tcPr>
            <w:tcW w:w="1276"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基金代码</w:t>
            </w:r>
          </w:p>
        </w:tc>
        <w:tc>
          <w:tcPr>
            <w:tcW w:w="6080" w:type="dxa"/>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基金名称</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1</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006436</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浦银安盛中短债债券型证券投资基金</w:t>
            </w:r>
            <w:r>
              <w:rPr>
                <w:rFonts w:hint="eastAsia"/>
                <w:color w:val="000000"/>
                <w:sz w:val="22"/>
                <w:szCs w:val="22"/>
              </w:rPr>
              <w:t>A</w:t>
            </w:r>
            <w:r>
              <w:rPr>
                <w:rFonts w:hint="eastAsia"/>
                <w:color w:val="000000"/>
                <w:sz w:val="22"/>
                <w:szCs w:val="22"/>
              </w:rPr>
              <w:t>类</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2</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006437</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浦银安盛中短债债券型证券投资基金</w:t>
            </w:r>
            <w:r>
              <w:rPr>
                <w:rFonts w:hint="eastAsia"/>
                <w:color w:val="000000"/>
                <w:sz w:val="22"/>
                <w:szCs w:val="22"/>
              </w:rPr>
              <w:t>C</w:t>
            </w:r>
            <w:r>
              <w:rPr>
                <w:rFonts w:hint="eastAsia"/>
                <w:color w:val="000000"/>
                <w:sz w:val="22"/>
                <w:szCs w:val="22"/>
              </w:rPr>
              <w:t>类</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3</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003534</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浦银安盛日日丰货币市场基金</w:t>
            </w:r>
            <w:r>
              <w:rPr>
                <w:rFonts w:hint="eastAsia"/>
                <w:color w:val="000000"/>
                <w:sz w:val="22"/>
                <w:szCs w:val="22"/>
              </w:rPr>
              <w:t>A</w:t>
            </w:r>
            <w:r>
              <w:rPr>
                <w:rFonts w:hint="eastAsia"/>
                <w:color w:val="000000"/>
                <w:sz w:val="22"/>
                <w:szCs w:val="22"/>
              </w:rPr>
              <w:t>类</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4</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003535</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浦银安盛日日丰货币市场基金</w:t>
            </w:r>
            <w:r>
              <w:rPr>
                <w:rFonts w:hint="eastAsia"/>
                <w:color w:val="000000"/>
                <w:sz w:val="22"/>
                <w:szCs w:val="22"/>
              </w:rPr>
              <w:t>B</w:t>
            </w:r>
            <w:r>
              <w:rPr>
                <w:rFonts w:hint="eastAsia"/>
                <w:color w:val="000000"/>
                <w:sz w:val="22"/>
                <w:szCs w:val="22"/>
              </w:rPr>
              <w:t>类</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5</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003228</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浦银安盛日日鑫货币市场基金</w:t>
            </w:r>
            <w:r>
              <w:rPr>
                <w:rFonts w:hint="eastAsia"/>
                <w:color w:val="000000"/>
                <w:sz w:val="22"/>
                <w:szCs w:val="22"/>
              </w:rPr>
              <w:t>A</w:t>
            </w:r>
            <w:r>
              <w:rPr>
                <w:rFonts w:hint="eastAsia"/>
                <w:color w:val="000000"/>
                <w:sz w:val="22"/>
                <w:szCs w:val="22"/>
              </w:rPr>
              <w:t>类</w:t>
            </w:r>
          </w:p>
        </w:tc>
      </w:tr>
      <w:tr w:rsidR="0007341C">
        <w:trPr>
          <w:jc w:val="center"/>
        </w:trPr>
        <w:tc>
          <w:tcPr>
            <w:tcW w:w="752" w:type="dxa"/>
            <w:tcBorders>
              <w:top w:val="single" w:sz="4" w:space="0" w:color="auto"/>
              <w:left w:val="single" w:sz="4" w:space="0" w:color="auto"/>
              <w:bottom w:val="single" w:sz="4" w:space="0" w:color="auto"/>
              <w:right w:val="single" w:sz="4" w:space="0" w:color="auto"/>
            </w:tcBorders>
            <w:vAlign w:val="center"/>
          </w:tcPr>
          <w:p w:rsidR="0007341C" w:rsidRDefault="009A20FB">
            <w:pPr>
              <w:widowControl/>
              <w:snapToGrid w:val="0"/>
              <w:spacing w:line="500" w:lineRule="exact"/>
              <w:jc w:val="center"/>
              <w:rPr>
                <w:rFonts w:ascii="宋体" w:hAnsi="宋体" w:cs="宋体"/>
                <w:b/>
                <w:kern w:val="0"/>
                <w:szCs w:val="21"/>
              </w:rPr>
            </w:pPr>
            <w:r>
              <w:rPr>
                <w:rFonts w:ascii="宋体" w:hAnsi="宋体" w:cs="宋体" w:hint="eastAsia"/>
                <w:b/>
                <w:kern w:val="0"/>
                <w:szCs w:val="21"/>
              </w:rPr>
              <w:t>6</w:t>
            </w:r>
          </w:p>
        </w:tc>
        <w:tc>
          <w:tcPr>
            <w:tcW w:w="1276" w:type="dxa"/>
            <w:tcBorders>
              <w:top w:val="single" w:sz="4" w:space="0" w:color="auto"/>
              <w:left w:val="single" w:sz="4" w:space="0" w:color="auto"/>
              <w:bottom w:val="single" w:sz="4" w:space="0" w:color="auto"/>
              <w:right w:val="single" w:sz="4" w:space="0" w:color="auto"/>
            </w:tcBorders>
            <w:vAlign w:val="center"/>
          </w:tcPr>
          <w:p w:rsidR="0007341C" w:rsidRDefault="009A20FB">
            <w:pPr>
              <w:jc w:val="center"/>
              <w:rPr>
                <w:rFonts w:ascii="微软雅黑" w:eastAsia="微软雅黑" w:hAnsi="微软雅黑"/>
                <w:color w:val="4D4D4D"/>
                <w:sz w:val="22"/>
                <w:szCs w:val="22"/>
              </w:rPr>
            </w:pPr>
            <w:r>
              <w:rPr>
                <w:rFonts w:ascii="微软雅黑" w:eastAsia="微软雅黑" w:hAnsi="微软雅黑" w:hint="eastAsia"/>
                <w:color w:val="4D4D4D"/>
                <w:sz w:val="22"/>
                <w:szCs w:val="22"/>
              </w:rPr>
              <w:t>003229</w:t>
            </w:r>
          </w:p>
        </w:tc>
        <w:tc>
          <w:tcPr>
            <w:tcW w:w="6080" w:type="dxa"/>
            <w:tcBorders>
              <w:top w:val="single" w:sz="4" w:space="0" w:color="auto"/>
              <w:left w:val="single" w:sz="4" w:space="0" w:color="auto"/>
              <w:bottom w:val="single" w:sz="4" w:space="0" w:color="auto"/>
              <w:right w:val="single" w:sz="4" w:space="0" w:color="auto"/>
            </w:tcBorders>
            <w:vAlign w:val="center"/>
          </w:tcPr>
          <w:p w:rsidR="0007341C" w:rsidRDefault="009A20FB">
            <w:pPr>
              <w:rPr>
                <w:color w:val="000000"/>
                <w:sz w:val="22"/>
                <w:szCs w:val="22"/>
              </w:rPr>
            </w:pPr>
            <w:r>
              <w:rPr>
                <w:rFonts w:hint="eastAsia"/>
                <w:color w:val="000000"/>
                <w:sz w:val="22"/>
                <w:szCs w:val="22"/>
              </w:rPr>
              <w:t>浦银安盛日日鑫货币市场基金</w:t>
            </w:r>
            <w:r>
              <w:rPr>
                <w:rFonts w:hint="eastAsia"/>
                <w:color w:val="000000"/>
                <w:sz w:val="22"/>
                <w:szCs w:val="22"/>
              </w:rPr>
              <w:t>B</w:t>
            </w:r>
            <w:r>
              <w:rPr>
                <w:rFonts w:hint="eastAsia"/>
                <w:color w:val="000000"/>
                <w:sz w:val="22"/>
                <w:szCs w:val="22"/>
              </w:rPr>
              <w:t>类</w:t>
            </w:r>
          </w:p>
        </w:tc>
      </w:tr>
    </w:tbl>
    <w:p w:rsidR="0007341C" w:rsidRDefault="0007341C">
      <w:pPr>
        <w:pStyle w:val="HTML"/>
        <w:spacing w:line="360" w:lineRule="auto"/>
        <w:jc w:val="both"/>
        <w:rPr>
          <w:sz w:val="21"/>
          <w:szCs w:val="21"/>
        </w:rPr>
      </w:pPr>
    </w:p>
    <w:p w:rsidR="0007341C" w:rsidRDefault="009A20FB">
      <w:pPr>
        <w:pStyle w:val="HTML"/>
        <w:spacing w:line="360" w:lineRule="auto"/>
        <w:ind w:firstLineChars="200" w:firstLine="422"/>
        <w:jc w:val="both"/>
        <w:rPr>
          <w:b/>
          <w:sz w:val="21"/>
          <w:szCs w:val="21"/>
        </w:rPr>
      </w:pPr>
      <w:r>
        <w:rPr>
          <w:rFonts w:hint="eastAsia"/>
          <w:b/>
          <w:sz w:val="21"/>
          <w:szCs w:val="21"/>
        </w:rPr>
        <w:t>2、</w:t>
      </w:r>
      <w:r>
        <w:rPr>
          <w:b/>
          <w:sz w:val="21"/>
          <w:szCs w:val="21"/>
        </w:rPr>
        <w:t>适用基金</w:t>
      </w:r>
      <w:r>
        <w:rPr>
          <w:rFonts w:hint="eastAsia"/>
          <w:b/>
          <w:sz w:val="21"/>
          <w:szCs w:val="21"/>
        </w:rPr>
        <w:t>范围</w:t>
      </w:r>
    </w:p>
    <w:p w:rsidR="0007341C" w:rsidRDefault="009A20FB">
      <w:pPr>
        <w:pStyle w:val="HTML"/>
        <w:tabs>
          <w:tab w:val="clear" w:pos="1832"/>
          <w:tab w:val="left" w:pos="1515"/>
        </w:tabs>
        <w:spacing w:line="360" w:lineRule="auto"/>
        <w:ind w:firstLine="420"/>
        <w:jc w:val="both"/>
        <w:rPr>
          <w:sz w:val="21"/>
          <w:szCs w:val="21"/>
        </w:rPr>
      </w:pPr>
      <w:r>
        <w:rPr>
          <w:rFonts w:hint="eastAsia"/>
          <w:sz w:val="21"/>
          <w:szCs w:val="21"/>
        </w:rPr>
        <w:t>本公司注册在中登TA系统的产品均开通相互之间的转换业务。但浦银安盛优化收益债券型证券投资基金 A 类和 C 类、浦银安盛幸福回报定期开放债券型证券投资基金A类和B类、浦银安盛6个月定期开放债券型证券投资基金 A 类和 C 类、 浦银安盛季季添利定期开放债券型证券投资基金 A 类和 C 类、 浦银安盛消费升级灵活配置混合型证券投资基金A类和 C 类、浦银安盛盛世精选灵活配置混合型证券投资基金A类和C类、浦银安盛月月盈定期支付债券型证券投资基金A类和C类、浦银安盛睿智精选灵活配置混合型证券投资基金 A 类和 C 类、浦银安盛经济带崛起灵活配置混合型证券投资基金A类和C类、浦银安盛幸福聚利定期开放债券型证券投资基金A类和C类、浦银安盛幸福聚益18个月定期开放债券型证券投资基金A类和C类、浦银安盛安和回报定期开放混合型证券投资基金A类和C类、浦银安盛安久回报定期开放混合型证券投资基金A类和C类、浦银安盛安恒回报定期开放混合型证券投资基金A类和C类、浦银安盛量化多策略灵活配置混合型证券投资基金A类和C类、浦银安盛双债增强债券型证券投资基金A类和C类、浦银安盛环保新能源混合型证券投资基金A类和C类、浦银安盛货币市场证券投资基金 A 类和 B 类、浦银安盛日日盈货币市场基金 A 类和 B 类等基金两类份额之间不可互相转换，并且浦银安盛中证锐联基本面400指数证券投资基金与浦银安盛货币市场证券投资基金B类之间也不可互相转换。注册在自建TA系统的产品均开通相互之间的转换业务，但浦银安盛中短债债券型证券投资基金A类和C类、浦银安盛日日丰货币市场基金A类和</w:t>
      </w:r>
      <w:r>
        <w:rPr>
          <w:sz w:val="21"/>
          <w:szCs w:val="21"/>
        </w:rPr>
        <w:t>B</w:t>
      </w:r>
      <w:r>
        <w:rPr>
          <w:rFonts w:hint="eastAsia"/>
          <w:sz w:val="21"/>
          <w:szCs w:val="21"/>
        </w:rPr>
        <w:t>类、浦银安盛日日鑫货币市场基金A类和</w:t>
      </w:r>
      <w:r>
        <w:rPr>
          <w:sz w:val="21"/>
          <w:szCs w:val="21"/>
        </w:rPr>
        <w:t>B</w:t>
      </w:r>
      <w:r>
        <w:rPr>
          <w:rFonts w:hint="eastAsia"/>
          <w:sz w:val="21"/>
          <w:szCs w:val="21"/>
        </w:rPr>
        <w:t>类等两类份额之间不可互相转换。</w:t>
      </w:r>
    </w:p>
    <w:p w:rsidR="0007341C" w:rsidRDefault="009A20FB">
      <w:pPr>
        <w:pStyle w:val="HTML"/>
        <w:tabs>
          <w:tab w:val="clear" w:pos="1832"/>
          <w:tab w:val="left" w:pos="1515"/>
        </w:tabs>
        <w:spacing w:line="360" w:lineRule="auto"/>
        <w:ind w:firstLine="420"/>
        <w:jc w:val="both"/>
        <w:rPr>
          <w:sz w:val="21"/>
          <w:szCs w:val="21"/>
        </w:rPr>
      </w:pPr>
      <w:r>
        <w:rPr>
          <w:rFonts w:hint="eastAsia"/>
          <w:sz w:val="21"/>
          <w:szCs w:val="21"/>
        </w:rPr>
        <w:t>此外，注册在中登TA系统的产品和注册在自建TA系统的产品之间不可互相转换。</w:t>
      </w:r>
    </w:p>
    <w:p w:rsidR="0007341C" w:rsidRDefault="009A20FB">
      <w:pPr>
        <w:pStyle w:val="HTML"/>
        <w:spacing w:line="360" w:lineRule="auto"/>
        <w:ind w:firstLine="420"/>
        <w:jc w:val="both"/>
        <w:rPr>
          <w:sz w:val="21"/>
          <w:szCs w:val="21"/>
        </w:rPr>
      </w:pPr>
      <w:r>
        <w:rPr>
          <w:rFonts w:hint="eastAsia"/>
          <w:sz w:val="21"/>
          <w:szCs w:val="21"/>
        </w:rPr>
        <w:t>本公司今后发行的其他开放式基金的基金转换业务将另行公告。</w:t>
      </w:r>
    </w:p>
    <w:p w:rsidR="0007341C" w:rsidRDefault="009A20FB">
      <w:pPr>
        <w:pStyle w:val="HTML"/>
        <w:spacing w:line="360" w:lineRule="auto"/>
        <w:ind w:firstLineChars="200" w:firstLine="422"/>
        <w:jc w:val="both"/>
        <w:rPr>
          <w:b/>
          <w:sz w:val="21"/>
          <w:szCs w:val="21"/>
        </w:rPr>
      </w:pPr>
      <w:r>
        <w:rPr>
          <w:rFonts w:hint="eastAsia"/>
          <w:b/>
          <w:sz w:val="21"/>
          <w:szCs w:val="21"/>
        </w:rPr>
        <w:t>3、</w:t>
      </w:r>
      <w:r>
        <w:rPr>
          <w:b/>
          <w:sz w:val="21"/>
          <w:szCs w:val="21"/>
        </w:rPr>
        <w:t>适用投资人</w:t>
      </w:r>
    </w:p>
    <w:p w:rsidR="0007341C" w:rsidRDefault="009A20FB">
      <w:pPr>
        <w:pStyle w:val="HTML"/>
        <w:spacing w:line="360" w:lineRule="auto"/>
        <w:ind w:firstLineChars="200" w:firstLine="420"/>
        <w:jc w:val="both"/>
        <w:rPr>
          <w:sz w:val="21"/>
          <w:szCs w:val="21"/>
        </w:rPr>
      </w:pPr>
      <w:r>
        <w:rPr>
          <w:sz w:val="21"/>
          <w:szCs w:val="21"/>
        </w:rPr>
        <w:t>本</w:t>
      </w:r>
      <w:r>
        <w:rPr>
          <w:rFonts w:hint="eastAsia"/>
          <w:sz w:val="21"/>
          <w:szCs w:val="21"/>
        </w:rPr>
        <w:t>次开通的</w:t>
      </w:r>
      <w:r>
        <w:rPr>
          <w:sz w:val="21"/>
          <w:szCs w:val="21"/>
        </w:rPr>
        <w:t>基金转换业务适用于所有已</w:t>
      </w:r>
      <w:r>
        <w:rPr>
          <w:rFonts w:hint="eastAsia"/>
          <w:sz w:val="21"/>
          <w:szCs w:val="21"/>
        </w:rPr>
        <w:t>通过同花顺基金渠道</w:t>
      </w:r>
      <w:r>
        <w:rPr>
          <w:sz w:val="21"/>
          <w:szCs w:val="21"/>
        </w:rPr>
        <w:t>持有上述任一基金的</w:t>
      </w:r>
      <w:r>
        <w:rPr>
          <w:rFonts w:hint="eastAsia"/>
          <w:sz w:val="21"/>
          <w:szCs w:val="21"/>
        </w:rPr>
        <w:t>机构投资者和</w:t>
      </w:r>
      <w:r>
        <w:rPr>
          <w:sz w:val="21"/>
          <w:szCs w:val="21"/>
        </w:rPr>
        <w:t>个人投资者。</w:t>
      </w:r>
    </w:p>
    <w:p w:rsidR="0007341C" w:rsidRDefault="009A20FB">
      <w:pPr>
        <w:pStyle w:val="HTML"/>
        <w:spacing w:line="360" w:lineRule="auto"/>
        <w:ind w:firstLineChars="200" w:firstLine="422"/>
        <w:jc w:val="both"/>
        <w:rPr>
          <w:b/>
          <w:sz w:val="21"/>
          <w:szCs w:val="21"/>
        </w:rPr>
      </w:pPr>
      <w:r>
        <w:rPr>
          <w:rFonts w:hint="eastAsia"/>
          <w:b/>
          <w:sz w:val="21"/>
          <w:szCs w:val="21"/>
        </w:rPr>
        <w:t>4、</w:t>
      </w:r>
      <w:r>
        <w:rPr>
          <w:b/>
          <w:sz w:val="21"/>
          <w:szCs w:val="21"/>
        </w:rPr>
        <w:t>适用销售机构</w:t>
      </w:r>
    </w:p>
    <w:p w:rsidR="0007341C" w:rsidRDefault="009A20FB">
      <w:pPr>
        <w:pStyle w:val="HTML"/>
        <w:spacing w:line="360" w:lineRule="auto"/>
        <w:ind w:firstLineChars="200" w:firstLine="420"/>
        <w:jc w:val="both"/>
        <w:rPr>
          <w:sz w:val="21"/>
          <w:szCs w:val="21"/>
        </w:rPr>
      </w:pPr>
      <w:r>
        <w:rPr>
          <w:rFonts w:hint="eastAsia"/>
          <w:sz w:val="21"/>
          <w:szCs w:val="21"/>
        </w:rPr>
        <w:t>同花顺基金销售渠道</w:t>
      </w:r>
      <w:r>
        <w:rPr>
          <w:sz w:val="21"/>
          <w:szCs w:val="21"/>
        </w:rPr>
        <w:t>。</w:t>
      </w:r>
    </w:p>
    <w:p w:rsidR="0007341C" w:rsidRDefault="009A20FB">
      <w:pPr>
        <w:pStyle w:val="HTML"/>
        <w:spacing w:line="360" w:lineRule="auto"/>
        <w:ind w:firstLineChars="200" w:firstLine="422"/>
        <w:jc w:val="both"/>
        <w:rPr>
          <w:b/>
          <w:sz w:val="21"/>
          <w:szCs w:val="21"/>
        </w:rPr>
      </w:pPr>
      <w:r>
        <w:rPr>
          <w:rFonts w:hint="eastAsia"/>
          <w:b/>
          <w:sz w:val="21"/>
          <w:szCs w:val="21"/>
        </w:rPr>
        <w:t>5、基金转换业务费用</w:t>
      </w:r>
    </w:p>
    <w:p w:rsidR="0007341C" w:rsidRDefault="009A20FB">
      <w:pPr>
        <w:pStyle w:val="HTML"/>
        <w:spacing w:line="360" w:lineRule="auto"/>
        <w:ind w:firstLineChars="200" w:firstLine="420"/>
        <w:jc w:val="both"/>
        <w:rPr>
          <w:sz w:val="21"/>
          <w:szCs w:val="21"/>
        </w:rPr>
      </w:pPr>
      <w:r>
        <w:rPr>
          <w:rFonts w:hint="eastAsia"/>
          <w:sz w:val="21"/>
          <w:szCs w:val="21"/>
        </w:rPr>
        <w:t>基金</w:t>
      </w:r>
      <w:r>
        <w:rPr>
          <w:sz w:val="21"/>
          <w:szCs w:val="21"/>
        </w:rPr>
        <w:t>转换费</w:t>
      </w:r>
      <w:r>
        <w:rPr>
          <w:rFonts w:hint="eastAsia"/>
          <w:sz w:val="21"/>
          <w:szCs w:val="21"/>
        </w:rPr>
        <w:t>用依照</w:t>
      </w:r>
      <w:r>
        <w:rPr>
          <w:sz w:val="21"/>
          <w:szCs w:val="21"/>
        </w:rPr>
        <w:t>转出基金的赎回费用加上转出与转入基金申购费补差的标准收取。</w:t>
      </w:r>
    </w:p>
    <w:p w:rsidR="0007341C" w:rsidRDefault="009A20FB">
      <w:pPr>
        <w:pStyle w:val="HTML"/>
        <w:spacing w:line="360" w:lineRule="auto"/>
        <w:ind w:firstLineChars="200" w:firstLine="422"/>
        <w:jc w:val="both"/>
        <w:rPr>
          <w:b/>
          <w:sz w:val="21"/>
          <w:szCs w:val="21"/>
        </w:rPr>
      </w:pPr>
      <w:r>
        <w:rPr>
          <w:rFonts w:hint="eastAsia"/>
          <w:b/>
          <w:sz w:val="21"/>
          <w:szCs w:val="21"/>
        </w:rPr>
        <w:t>1）赎回费用</w:t>
      </w:r>
    </w:p>
    <w:p w:rsidR="0007341C" w:rsidRDefault="009A20FB">
      <w:pPr>
        <w:pStyle w:val="HTML"/>
        <w:spacing w:line="360" w:lineRule="auto"/>
        <w:ind w:firstLineChars="200" w:firstLine="420"/>
        <w:jc w:val="both"/>
        <w:rPr>
          <w:sz w:val="21"/>
          <w:szCs w:val="21"/>
        </w:rPr>
      </w:pPr>
      <w:r>
        <w:rPr>
          <w:rFonts w:ascii="Times New Roman" w:hint="eastAsia"/>
          <w:sz w:val="21"/>
          <w:szCs w:val="21"/>
        </w:rPr>
        <w:t>按转出基金正常赎回时的赎回费率收取费用，具体各基金的赎回费率请参见各基金的招募说明书或登陆本公司网站（</w:t>
      </w:r>
      <w:r>
        <w:rPr>
          <w:rFonts w:ascii="Times New Roman" w:hAnsi="Times New Roman" w:hint="eastAsia"/>
          <w:sz w:val="21"/>
          <w:szCs w:val="21"/>
        </w:rPr>
        <w:t>www.py-axa.com</w:t>
      </w:r>
      <w:r>
        <w:rPr>
          <w:rFonts w:ascii="Times New Roman"/>
          <w:sz w:val="21"/>
          <w:szCs w:val="21"/>
        </w:rPr>
        <w:t>）</w:t>
      </w:r>
      <w:r>
        <w:rPr>
          <w:rFonts w:ascii="Times New Roman" w:hint="eastAsia"/>
          <w:sz w:val="21"/>
          <w:szCs w:val="21"/>
        </w:rPr>
        <w:t>查询。</w:t>
      </w:r>
    </w:p>
    <w:p w:rsidR="0007341C" w:rsidRDefault="009A20FB">
      <w:pPr>
        <w:pStyle w:val="HTML"/>
        <w:spacing w:line="360" w:lineRule="auto"/>
        <w:ind w:firstLineChars="200" w:firstLine="422"/>
        <w:jc w:val="both"/>
        <w:rPr>
          <w:b/>
          <w:sz w:val="21"/>
          <w:szCs w:val="21"/>
        </w:rPr>
      </w:pPr>
      <w:r>
        <w:rPr>
          <w:rFonts w:hint="eastAsia"/>
          <w:b/>
          <w:sz w:val="21"/>
          <w:szCs w:val="21"/>
        </w:rPr>
        <w:t>2）申购费用补差</w:t>
      </w:r>
    </w:p>
    <w:p w:rsidR="0007341C" w:rsidRDefault="009A20FB">
      <w:pPr>
        <w:pStyle w:val="HTML"/>
        <w:spacing w:line="360" w:lineRule="auto"/>
        <w:ind w:firstLineChars="200" w:firstLine="420"/>
        <w:jc w:val="both"/>
        <w:rPr>
          <w:sz w:val="21"/>
          <w:szCs w:val="21"/>
        </w:rPr>
      </w:pPr>
      <w:r>
        <w:rPr>
          <w:rFonts w:ascii="Times New Roman" w:hint="eastAsia"/>
          <w:sz w:val="21"/>
          <w:szCs w:val="21"/>
        </w:rPr>
        <w:t>按照转入基金与转出基金申购费率的差额收取补差费，具体各基金的申购费率请参见各基金的招募说明书或登陆本公司网站（</w:t>
      </w:r>
      <w:r>
        <w:rPr>
          <w:rFonts w:ascii="Times New Roman" w:hAnsi="Times New Roman" w:hint="eastAsia"/>
          <w:sz w:val="21"/>
          <w:szCs w:val="21"/>
        </w:rPr>
        <w:t>www.py-axa.com</w:t>
      </w:r>
      <w:r>
        <w:rPr>
          <w:rFonts w:ascii="Times New Roman" w:hint="eastAsia"/>
          <w:sz w:val="21"/>
          <w:szCs w:val="21"/>
        </w:rPr>
        <w:t>）查询相关费率公告。当转出基金申购费率低于转入基金申购费率时，补差费率为转入基金和转出基金的申购费率差额；当转出基金申购费率高于转入基金申购费率时，补差费用为</w:t>
      </w:r>
      <w:r>
        <w:rPr>
          <w:rFonts w:ascii="Times New Roman" w:hAnsi="Times New Roman" w:hint="eastAsia"/>
          <w:sz w:val="21"/>
          <w:szCs w:val="21"/>
        </w:rPr>
        <w:t>0</w:t>
      </w:r>
      <w:r>
        <w:rPr>
          <w:rFonts w:ascii="Times New Roman" w:hint="eastAsia"/>
          <w:sz w:val="21"/>
          <w:szCs w:val="21"/>
        </w:rPr>
        <w:t>。</w:t>
      </w:r>
    </w:p>
    <w:p w:rsidR="0007341C" w:rsidRDefault="009A20FB">
      <w:pPr>
        <w:pStyle w:val="HTML"/>
        <w:spacing w:line="360" w:lineRule="auto"/>
        <w:ind w:firstLineChars="200" w:firstLine="422"/>
        <w:jc w:val="both"/>
        <w:rPr>
          <w:b/>
          <w:sz w:val="21"/>
          <w:szCs w:val="21"/>
        </w:rPr>
      </w:pPr>
      <w:r>
        <w:rPr>
          <w:rFonts w:hint="eastAsia"/>
          <w:b/>
          <w:sz w:val="21"/>
          <w:szCs w:val="21"/>
        </w:rPr>
        <w:t>3）</w:t>
      </w:r>
      <w:r>
        <w:rPr>
          <w:b/>
          <w:sz w:val="21"/>
          <w:szCs w:val="21"/>
        </w:rPr>
        <w:t>具体计算公式</w:t>
      </w:r>
    </w:p>
    <w:p w:rsidR="0007341C" w:rsidRDefault="009A20FB">
      <w:pPr>
        <w:pStyle w:val="HTML"/>
        <w:spacing w:line="360" w:lineRule="auto"/>
        <w:ind w:firstLineChars="200" w:firstLine="420"/>
        <w:jc w:val="both"/>
        <w:rPr>
          <w:sz w:val="21"/>
          <w:szCs w:val="21"/>
        </w:rPr>
      </w:pPr>
      <w:r>
        <w:rPr>
          <w:rFonts w:hint="eastAsia"/>
          <w:sz w:val="21"/>
          <w:szCs w:val="21"/>
        </w:rPr>
        <w:t>（1）转出基金为货币基金</w:t>
      </w:r>
    </w:p>
    <w:p w:rsidR="0007341C" w:rsidRDefault="009A20FB">
      <w:pPr>
        <w:pStyle w:val="HTML"/>
        <w:spacing w:line="360" w:lineRule="auto"/>
        <w:ind w:firstLineChars="200" w:firstLine="420"/>
        <w:jc w:val="both"/>
        <w:rPr>
          <w:sz w:val="21"/>
          <w:szCs w:val="21"/>
        </w:rPr>
      </w:pPr>
      <w:r>
        <w:rPr>
          <w:rFonts w:hint="eastAsia"/>
          <w:sz w:val="21"/>
          <w:szCs w:val="21"/>
        </w:rPr>
        <w:t>转出金额=转出基金份额×当日转出基金份额净值</w:t>
      </w:r>
    </w:p>
    <w:p w:rsidR="0007341C" w:rsidRDefault="009A20FB">
      <w:pPr>
        <w:pStyle w:val="HTML"/>
        <w:spacing w:line="360" w:lineRule="auto"/>
        <w:ind w:firstLineChars="200" w:firstLine="420"/>
        <w:jc w:val="both"/>
        <w:rPr>
          <w:sz w:val="21"/>
          <w:szCs w:val="21"/>
        </w:rPr>
      </w:pPr>
      <w:r>
        <w:rPr>
          <w:rFonts w:hint="eastAsia"/>
          <w:sz w:val="21"/>
          <w:szCs w:val="21"/>
        </w:rPr>
        <w:t xml:space="preserve">申购补差费率=转入基金的申购费率 </w:t>
      </w:r>
    </w:p>
    <w:p w:rsidR="0007341C" w:rsidRDefault="009A20FB">
      <w:pPr>
        <w:pStyle w:val="HTML"/>
        <w:spacing w:line="360" w:lineRule="auto"/>
        <w:ind w:firstLineChars="200" w:firstLine="420"/>
        <w:jc w:val="both"/>
        <w:rPr>
          <w:sz w:val="21"/>
          <w:szCs w:val="21"/>
        </w:rPr>
      </w:pPr>
      <w:r>
        <w:rPr>
          <w:rFonts w:hint="eastAsia"/>
          <w:sz w:val="21"/>
          <w:szCs w:val="21"/>
        </w:rPr>
        <w:t>申购补差费用＝转出金额×申购补差费率／（1＋申购补差费率）</w:t>
      </w:r>
    </w:p>
    <w:p w:rsidR="0007341C" w:rsidRDefault="009A20FB">
      <w:pPr>
        <w:pStyle w:val="HTML"/>
        <w:spacing w:line="360" w:lineRule="auto"/>
        <w:ind w:firstLineChars="200" w:firstLine="420"/>
        <w:jc w:val="both"/>
        <w:rPr>
          <w:sz w:val="21"/>
          <w:szCs w:val="21"/>
        </w:rPr>
      </w:pPr>
      <w:r>
        <w:rPr>
          <w:rFonts w:hint="eastAsia"/>
          <w:sz w:val="21"/>
          <w:szCs w:val="21"/>
        </w:rPr>
        <w:t>转换费用＝申购补差费用</w:t>
      </w:r>
    </w:p>
    <w:p w:rsidR="0007341C" w:rsidRDefault="009A20FB">
      <w:pPr>
        <w:pStyle w:val="HTML"/>
        <w:spacing w:line="360" w:lineRule="auto"/>
        <w:ind w:firstLineChars="200" w:firstLine="420"/>
        <w:jc w:val="both"/>
        <w:rPr>
          <w:sz w:val="21"/>
          <w:szCs w:val="21"/>
        </w:rPr>
      </w:pPr>
      <w:r>
        <w:rPr>
          <w:rFonts w:hint="eastAsia"/>
          <w:sz w:val="21"/>
          <w:szCs w:val="21"/>
        </w:rPr>
        <w:t>转入金额＝转出金额－转换费用+转出基金份额对应的未付收益</w:t>
      </w:r>
    </w:p>
    <w:p w:rsidR="0007341C" w:rsidRDefault="009A20FB">
      <w:pPr>
        <w:pStyle w:val="HTML"/>
        <w:spacing w:line="360" w:lineRule="auto"/>
        <w:ind w:firstLineChars="200" w:firstLine="420"/>
        <w:jc w:val="both"/>
        <w:rPr>
          <w:sz w:val="21"/>
          <w:szCs w:val="21"/>
        </w:rPr>
      </w:pPr>
      <w:r>
        <w:rPr>
          <w:rFonts w:hint="eastAsia"/>
          <w:sz w:val="21"/>
          <w:szCs w:val="21"/>
        </w:rPr>
        <w:t xml:space="preserve">转入份额＝转入金额／当日转入基金份额净值 </w:t>
      </w:r>
    </w:p>
    <w:p w:rsidR="0007341C" w:rsidRDefault="009A20FB" w:rsidP="00745A95">
      <w:pPr>
        <w:widowControl/>
        <w:spacing w:beforeLines="50" w:afterLines="50" w:line="360" w:lineRule="auto"/>
        <w:ind w:firstLineChars="200" w:firstLine="420"/>
        <w:jc w:val="left"/>
        <w:rPr>
          <w:rFonts w:ascii="宋体" w:hAnsi="宋体" w:cs="宋体"/>
          <w:kern w:val="0"/>
          <w:szCs w:val="21"/>
        </w:rPr>
      </w:pPr>
      <w:r>
        <w:rPr>
          <w:rFonts w:hint="eastAsia"/>
          <w:kern w:val="0"/>
          <w:szCs w:val="21"/>
        </w:rPr>
        <w:t>（</w:t>
      </w:r>
      <w:r>
        <w:rPr>
          <w:rFonts w:hint="eastAsia"/>
          <w:kern w:val="0"/>
          <w:szCs w:val="21"/>
        </w:rPr>
        <w:t>2</w:t>
      </w:r>
      <w:r>
        <w:rPr>
          <w:rFonts w:hint="eastAsia"/>
          <w:kern w:val="0"/>
          <w:szCs w:val="21"/>
        </w:rPr>
        <w:t>）</w:t>
      </w:r>
      <w:r>
        <w:rPr>
          <w:rFonts w:ascii="宋体" w:hAnsi="宋体" w:cs="宋体" w:hint="eastAsia"/>
          <w:kern w:val="0"/>
          <w:szCs w:val="21"/>
        </w:rPr>
        <w:t>转出基金为非货币基金</w:t>
      </w:r>
    </w:p>
    <w:p w:rsidR="0007341C" w:rsidRDefault="009A20FB">
      <w:pPr>
        <w:pStyle w:val="HTML"/>
        <w:spacing w:line="360" w:lineRule="auto"/>
        <w:ind w:firstLineChars="200" w:firstLine="420"/>
        <w:jc w:val="both"/>
        <w:rPr>
          <w:sz w:val="21"/>
          <w:szCs w:val="21"/>
        </w:rPr>
      </w:pPr>
      <w:r>
        <w:rPr>
          <w:sz w:val="21"/>
          <w:szCs w:val="21"/>
        </w:rPr>
        <w:t>赎回费</w:t>
      </w:r>
      <w:r>
        <w:rPr>
          <w:rFonts w:hint="eastAsia"/>
          <w:sz w:val="21"/>
          <w:szCs w:val="21"/>
        </w:rPr>
        <w:t>用</w:t>
      </w:r>
      <w:r>
        <w:rPr>
          <w:sz w:val="21"/>
          <w:szCs w:val="21"/>
        </w:rPr>
        <w:t>＝转出基金份额×当日转出基金份额净值×赎回费率</w:t>
      </w:r>
    </w:p>
    <w:p w:rsidR="0007341C" w:rsidRDefault="009A20FB">
      <w:pPr>
        <w:pStyle w:val="HTML"/>
        <w:spacing w:line="360" w:lineRule="auto"/>
        <w:ind w:firstLineChars="200" w:firstLine="420"/>
        <w:jc w:val="both"/>
        <w:rPr>
          <w:sz w:val="21"/>
          <w:szCs w:val="21"/>
        </w:rPr>
      </w:pPr>
      <w:r>
        <w:rPr>
          <w:rFonts w:hint="eastAsia"/>
          <w:sz w:val="21"/>
          <w:szCs w:val="21"/>
        </w:rPr>
        <w:t>转出金额＝转出基金份额×当日转出基金份额净值－赎回费用</w:t>
      </w:r>
    </w:p>
    <w:p w:rsidR="0007341C" w:rsidRDefault="009A20FB">
      <w:pPr>
        <w:widowControl/>
        <w:spacing w:line="360" w:lineRule="auto"/>
        <w:ind w:firstLineChars="200" w:firstLine="420"/>
        <w:jc w:val="left"/>
        <w:rPr>
          <w:rFonts w:ascii="宋体" w:hAnsi="宋体" w:cs="宋体"/>
          <w:color w:val="000000"/>
          <w:kern w:val="0"/>
          <w:szCs w:val="21"/>
        </w:rPr>
      </w:pPr>
      <w:r>
        <w:rPr>
          <w:rFonts w:ascii="宋体" w:hAnsi="宋体" w:cs="宋体"/>
          <w:color w:val="000000"/>
          <w:kern w:val="0"/>
          <w:szCs w:val="21"/>
        </w:rPr>
        <w:t>申购补差费率=转入基金的申购费率-转出基金的申购费率</w:t>
      </w:r>
      <w:r>
        <w:rPr>
          <w:rFonts w:ascii="宋体" w:hAnsi="宋体" w:cs="宋体" w:hint="eastAsia"/>
          <w:color w:val="000000"/>
          <w:kern w:val="0"/>
          <w:szCs w:val="21"/>
        </w:rPr>
        <w:t>（</w:t>
      </w:r>
      <w:r>
        <w:rPr>
          <w:rFonts w:hint="eastAsia"/>
          <w:szCs w:val="21"/>
        </w:rPr>
        <w:t>如为负数则取</w:t>
      </w:r>
      <w:r>
        <w:rPr>
          <w:szCs w:val="21"/>
        </w:rPr>
        <w:t>0</w:t>
      </w:r>
      <w:r>
        <w:rPr>
          <w:rFonts w:hint="eastAsia"/>
          <w:szCs w:val="21"/>
        </w:rPr>
        <w:t>）</w:t>
      </w:r>
    </w:p>
    <w:p w:rsidR="0007341C" w:rsidRDefault="009A20FB">
      <w:pPr>
        <w:pStyle w:val="HTML"/>
        <w:spacing w:line="360" w:lineRule="auto"/>
        <w:ind w:firstLineChars="200" w:firstLine="420"/>
        <w:jc w:val="both"/>
        <w:rPr>
          <w:sz w:val="21"/>
          <w:szCs w:val="21"/>
        </w:rPr>
      </w:pPr>
      <w:r>
        <w:rPr>
          <w:sz w:val="21"/>
          <w:szCs w:val="21"/>
        </w:rPr>
        <w:t>申购补差费</w:t>
      </w:r>
      <w:r>
        <w:rPr>
          <w:rFonts w:hint="eastAsia"/>
          <w:sz w:val="21"/>
          <w:szCs w:val="21"/>
        </w:rPr>
        <w:t>用</w:t>
      </w:r>
      <w:r>
        <w:rPr>
          <w:sz w:val="21"/>
          <w:szCs w:val="21"/>
        </w:rPr>
        <w:t>＝</w:t>
      </w:r>
      <w:r>
        <w:rPr>
          <w:rFonts w:hint="eastAsia"/>
          <w:sz w:val="21"/>
          <w:szCs w:val="21"/>
        </w:rPr>
        <w:t>转出金额</w:t>
      </w:r>
      <w:r>
        <w:rPr>
          <w:sz w:val="21"/>
          <w:szCs w:val="21"/>
        </w:rPr>
        <w:t>×申购补差费率／（１＋申购补差费率）</w:t>
      </w:r>
    </w:p>
    <w:p w:rsidR="0007341C" w:rsidRDefault="009A20FB">
      <w:pPr>
        <w:pStyle w:val="HTML"/>
        <w:spacing w:line="360" w:lineRule="auto"/>
        <w:ind w:firstLineChars="200" w:firstLine="420"/>
        <w:jc w:val="both"/>
        <w:rPr>
          <w:sz w:val="21"/>
          <w:szCs w:val="21"/>
        </w:rPr>
      </w:pPr>
      <w:r>
        <w:rPr>
          <w:sz w:val="21"/>
          <w:szCs w:val="21"/>
        </w:rPr>
        <w:t>转换费用＝赎回费</w:t>
      </w:r>
      <w:r>
        <w:rPr>
          <w:rFonts w:hint="eastAsia"/>
          <w:sz w:val="21"/>
          <w:szCs w:val="21"/>
        </w:rPr>
        <w:t>用</w:t>
      </w:r>
      <w:r>
        <w:rPr>
          <w:sz w:val="21"/>
          <w:szCs w:val="21"/>
        </w:rPr>
        <w:t>＋申购补差费</w:t>
      </w:r>
      <w:r>
        <w:rPr>
          <w:rFonts w:hint="eastAsia"/>
          <w:sz w:val="21"/>
          <w:szCs w:val="21"/>
        </w:rPr>
        <w:t>用</w:t>
      </w:r>
    </w:p>
    <w:p w:rsidR="0007341C" w:rsidRDefault="009A20FB">
      <w:pPr>
        <w:pStyle w:val="HTML"/>
        <w:spacing w:line="360" w:lineRule="auto"/>
        <w:ind w:firstLineChars="200" w:firstLine="420"/>
        <w:jc w:val="both"/>
        <w:rPr>
          <w:color w:val="auto"/>
          <w:sz w:val="21"/>
          <w:szCs w:val="21"/>
        </w:rPr>
      </w:pPr>
      <w:r>
        <w:rPr>
          <w:color w:val="auto"/>
          <w:sz w:val="21"/>
          <w:szCs w:val="21"/>
        </w:rPr>
        <w:t>转入</w:t>
      </w:r>
      <w:r>
        <w:rPr>
          <w:rFonts w:hint="eastAsia"/>
          <w:color w:val="auto"/>
          <w:sz w:val="21"/>
          <w:szCs w:val="21"/>
        </w:rPr>
        <w:t>金</w:t>
      </w:r>
      <w:r>
        <w:rPr>
          <w:color w:val="auto"/>
          <w:sz w:val="21"/>
          <w:szCs w:val="21"/>
        </w:rPr>
        <w:t>额＝转出基金份额×当日转出基金份额净值－转换费用</w:t>
      </w:r>
    </w:p>
    <w:p w:rsidR="0007341C" w:rsidRDefault="009A20FB">
      <w:pPr>
        <w:pStyle w:val="HTML"/>
        <w:spacing w:line="360" w:lineRule="auto"/>
        <w:ind w:firstLineChars="200" w:firstLine="420"/>
        <w:jc w:val="both"/>
        <w:rPr>
          <w:sz w:val="21"/>
          <w:szCs w:val="21"/>
        </w:rPr>
      </w:pPr>
      <w:r>
        <w:rPr>
          <w:color w:val="auto"/>
          <w:sz w:val="21"/>
          <w:szCs w:val="21"/>
        </w:rPr>
        <w:t>转入份额＝转入</w:t>
      </w:r>
      <w:r>
        <w:rPr>
          <w:rFonts w:hint="eastAsia"/>
          <w:color w:val="auto"/>
          <w:sz w:val="21"/>
          <w:szCs w:val="21"/>
        </w:rPr>
        <w:t>金</w:t>
      </w:r>
      <w:r>
        <w:rPr>
          <w:color w:val="auto"/>
          <w:sz w:val="21"/>
          <w:szCs w:val="21"/>
        </w:rPr>
        <w:t>额／当日转</w:t>
      </w:r>
      <w:r>
        <w:rPr>
          <w:sz w:val="21"/>
          <w:szCs w:val="21"/>
        </w:rPr>
        <w:t>入基金</w:t>
      </w:r>
      <w:r>
        <w:rPr>
          <w:rFonts w:hint="eastAsia"/>
          <w:sz w:val="21"/>
          <w:szCs w:val="21"/>
        </w:rPr>
        <w:t>份额</w:t>
      </w:r>
      <w:r>
        <w:rPr>
          <w:sz w:val="21"/>
          <w:szCs w:val="21"/>
        </w:rPr>
        <w:t>净值</w:t>
      </w:r>
    </w:p>
    <w:p w:rsidR="0007341C" w:rsidRDefault="009A20FB">
      <w:pPr>
        <w:pStyle w:val="HTML"/>
        <w:spacing w:line="360" w:lineRule="auto"/>
        <w:ind w:firstLineChars="200" w:firstLine="420"/>
        <w:jc w:val="both"/>
        <w:rPr>
          <w:sz w:val="21"/>
          <w:szCs w:val="21"/>
        </w:rPr>
      </w:pPr>
      <w:r>
        <w:rPr>
          <w:sz w:val="21"/>
          <w:szCs w:val="21"/>
        </w:rPr>
        <w:t>转换费用由基金份额持有人承担，对于转出基金赎回业务收取赎回费的，基金转出时，归入基金资产部分按赎回费的处理方法计算。</w:t>
      </w:r>
    </w:p>
    <w:p w:rsidR="0007341C" w:rsidRDefault="009A20FB">
      <w:pPr>
        <w:pStyle w:val="HTML"/>
        <w:spacing w:line="360" w:lineRule="auto"/>
        <w:ind w:firstLineChars="200" w:firstLine="422"/>
        <w:jc w:val="both"/>
        <w:rPr>
          <w:b/>
          <w:sz w:val="21"/>
          <w:szCs w:val="21"/>
        </w:rPr>
      </w:pPr>
      <w:r>
        <w:rPr>
          <w:rFonts w:hint="eastAsia"/>
          <w:b/>
          <w:sz w:val="21"/>
          <w:szCs w:val="21"/>
        </w:rPr>
        <w:t>4）基金转换业务举例说明</w:t>
      </w:r>
    </w:p>
    <w:p w:rsidR="0007341C" w:rsidRDefault="009A20FB">
      <w:pPr>
        <w:pStyle w:val="HTML"/>
        <w:spacing w:line="360" w:lineRule="auto"/>
        <w:jc w:val="both"/>
        <w:rPr>
          <w:rFonts w:ascii="Times New Roman" w:hAnsi="Times New Roman"/>
          <w:sz w:val="21"/>
          <w:szCs w:val="21"/>
        </w:rPr>
      </w:pPr>
      <w:r>
        <w:rPr>
          <w:rFonts w:ascii="Times New Roman" w:hint="eastAsia"/>
          <w:b/>
          <w:sz w:val="21"/>
          <w:szCs w:val="21"/>
        </w:rPr>
        <w:t>例一</w:t>
      </w:r>
      <w:r>
        <w:rPr>
          <w:rFonts w:ascii="Times New Roman" w:hint="eastAsia"/>
          <w:sz w:val="21"/>
          <w:szCs w:val="21"/>
        </w:rPr>
        <w:t>：某投资者投资在</w:t>
      </w:r>
      <w:r>
        <w:rPr>
          <w:rFonts w:hint="eastAsia"/>
          <w:sz w:val="21"/>
          <w:szCs w:val="21"/>
        </w:rPr>
        <w:t>同花顺基金</w:t>
      </w:r>
      <w:r>
        <w:rPr>
          <w:rFonts w:ascii="Times New Roman" w:hint="eastAsia"/>
          <w:sz w:val="21"/>
          <w:szCs w:val="21"/>
        </w:rPr>
        <w:t>渠道持有</w:t>
      </w:r>
      <w:r>
        <w:rPr>
          <w:rFonts w:hint="eastAsia"/>
          <w:sz w:val="21"/>
          <w:szCs w:val="21"/>
        </w:rPr>
        <w:t>浦银安盛货币市场证券投资基金</w:t>
      </w:r>
      <w:r>
        <w:rPr>
          <w:rFonts w:ascii="Times New Roman" w:hint="eastAsia"/>
          <w:sz w:val="21"/>
          <w:szCs w:val="21"/>
        </w:rPr>
        <w:t>基金份额</w:t>
      </w:r>
      <w:r>
        <w:rPr>
          <w:rFonts w:ascii="Times New Roman" w:hAnsi="Times New Roman" w:hint="eastAsia"/>
          <w:sz w:val="21"/>
          <w:szCs w:val="21"/>
        </w:rPr>
        <w:t>10,000</w:t>
      </w:r>
      <w:r>
        <w:rPr>
          <w:rFonts w:ascii="Times New Roman" w:hint="eastAsia"/>
          <w:sz w:val="21"/>
          <w:szCs w:val="21"/>
        </w:rPr>
        <w:t>份。该投资者将这</w:t>
      </w:r>
      <w:r>
        <w:rPr>
          <w:rFonts w:ascii="Times New Roman" w:hAnsi="Times New Roman" w:hint="eastAsia"/>
          <w:sz w:val="21"/>
          <w:szCs w:val="21"/>
        </w:rPr>
        <w:t>10,000</w:t>
      </w:r>
      <w:r>
        <w:rPr>
          <w:rFonts w:ascii="Times New Roman" w:hint="eastAsia"/>
          <w:sz w:val="21"/>
          <w:szCs w:val="21"/>
        </w:rPr>
        <w:t>份</w:t>
      </w:r>
      <w:r>
        <w:rPr>
          <w:rFonts w:hint="eastAsia"/>
          <w:sz w:val="21"/>
          <w:szCs w:val="21"/>
        </w:rPr>
        <w:t>浦银安盛货币市场证券投资基金</w:t>
      </w:r>
      <w:r>
        <w:rPr>
          <w:rFonts w:ascii="Times New Roman" w:hint="eastAsia"/>
          <w:sz w:val="21"/>
          <w:szCs w:val="21"/>
        </w:rPr>
        <w:t>基金份额转换为</w:t>
      </w:r>
      <w:r>
        <w:rPr>
          <w:rFonts w:hint="eastAsia"/>
          <w:sz w:val="21"/>
          <w:szCs w:val="21"/>
        </w:rPr>
        <w:t>浦银安盛环保新能源混合型证券投资基金A类</w:t>
      </w:r>
      <w:r>
        <w:rPr>
          <w:rFonts w:ascii="Times New Roman" w:hint="eastAsia"/>
          <w:sz w:val="21"/>
          <w:szCs w:val="21"/>
        </w:rPr>
        <w:t>，</w:t>
      </w:r>
      <w:r>
        <w:rPr>
          <w:rFonts w:ascii="Times New Roman" w:hAnsi="Times New Roman" w:hint="eastAsia"/>
          <w:sz w:val="21"/>
          <w:szCs w:val="21"/>
        </w:rPr>
        <w:t>10,000</w:t>
      </w:r>
      <w:r>
        <w:rPr>
          <w:rFonts w:ascii="Times New Roman" w:hint="eastAsia"/>
          <w:sz w:val="21"/>
          <w:szCs w:val="21"/>
        </w:rPr>
        <w:t>份</w:t>
      </w:r>
      <w:r>
        <w:rPr>
          <w:rFonts w:hint="eastAsia"/>
          <w:sz w:val="21"/>
          <w:szCs w:val="21"/>
        </w:rPr>
        <w:t>浦银安盛货币市场证券投资基金</w:t>
      </w:r>
      <w:r>
        <w:rPr>
          <w:rFonts w:ascii="Times New Roman" w:hint="eastAsia"/>
          <w:sz w:val="21"/>
          <w:szCs w:val="21"/>
        </w:rPr>
        <w:t>的未付收益为</w:t>
      </w:r>
      <w:r>
        <w:rPr>
          <w:rFonts w:ascii="Times New Roman" w:hAnsi="Times New Roman" w:hint="eastAsia"/>
          <w:sz w:val="21"/>
          <w:szCs w:val="21"/>
        </w:rPr>
        <w:t>10</w:t>
      </w:r>
      <w:r>
        <w:rPr>
          <w:rFonts w:ascii="Times New Roman" w:hint="eastAsia"/>
          <w:sz w:val="21"/>
          <w:szCs w:val="21"/>
        </w:rPr>
        <w:t>元，转入基金的申购费率为：</w:t>
      </w:r>
      <w:r>
        <w:rPr>
          <w:rFonts w:ascii="Times New Roman" w:hAnsi="Times New Roman" w:hint="eastAsia"/>
          <w:sz w:val="21"/>
          <w:szCs w:val="21"/>
        </w:rPr>
        <w:t>1.5</w:t>
      </w:r>
      <w:r>
        <w:rPr>
          <w:rFonts w:ascii="Times New Roman" w:hint="eastAsia"/>
          <w:sz w:val="21"/>
          <w:szCs w:val="21"/>
        </w:rPr>
        <w:t>％。假设转换日的基金份额净值分别为：</w:t>
      </w:r>
      <w:r>
        <w:rPr>
          <w:rFonts w:hint="eastAsia"/>
          <w:sz w:val="21"/>
          <w:szCs w:val="21"/>
        </w:rPr>
        <w:t>浦银安盛货币市场证券投资基金</w:t>
      </w:r>
      <w:r>
        <w:rPr>
          <w:rFonts w:ascii="Times New Roman" w:hint="eastAsia"/>
          <w:sz w:val="21"/>
          <w:szCs w:val="21"/>
        </w:rPr>
        <w:t>为</w:t>
      </w:r>
      <w:r>
        <w:rPr>
          <w:rFonts w:ascii="Times New Roman" w:hAnsi="Times New Roman" w:hint="eastAsia"/>
          <w:sz w:val="21"/>
          <w:szCs w:val="21"/>
        </w:rPr>
        <w:t>1.00</w:t>
      </w:r>
      <w:r>
        <w:rPr>
          <w:rFonts w:ascii="Times New Roman" w:hint="eastAsia"/>
          <w:sz w:val="21"/>
          <w:szCs w:val="21"/>
        </w:rPr>
        <w:t>元、</w:t>
      </w:r>
      <w:r>
        <w:rPr>
          <w:rFonts w:hint="eastAsia"/>
          <w:sz w:val="21"/>
          <w:szCs w:val="21"/>
        </w:rPr>
        <w:t>浦银安盛环保新能源混合型证券投资基金A类</w:t>
      </w:r>
      <w:r>
        <w:rPr>
          <w:rFonts w:ascii="Times New Roman" w:hint="eastAsia"/>
          <w:sz w:val="21"/>
          <w:szCs w:val="21"/>
        </w:rPr>
        <w:t>为</w:t>
      </w:r>
      <w:r>
        <w:rPr>
          <w:rFonts w:ascii="Times New Roman" w:hAnsi="Times New Roman"/>
          <w:sz w:val="21"/>
          <w:szCs w:val="21"/>
        </w:rPr>
        <w:t>1.2855</w:t>
      </w:r>
      <w:r>
        <w:rPr>
          <w:rFonts w:ascii="Times New Roman" w:hint="eastAsia"/>
          <w:sz w:val="21"/>
          <w:szCs w:val="21"/>
        </w:rPr>
        <w:t>元。该投资者可得的</w:t>
      </w:r>
      <w:r>
        <w:rPr>
          <w:rFonts w:hint="eastAsia"/>
          <w:sz w:val="21"/>
          <w:szCs w:val="21"/>
        </w:rPr>
        <w:t>浦银安盛环保新能源混合型证券投资基金A类</w:t>
      </w:r>
      <w:r>
        <w:rPr>
          <w:rFonts w:ascii="Times New Roman" w:hint="eastAsia"/>
          <w:sz w:val="21"/>
          <w:szCs w:val="21"/>
        </w:rPr>
        <w:t>的基金份额为：</w:t>
      </w:r>
    </w:p>
    <w:p w:rsidR="0007341C" w:rsidRDefault="009A20FB">
      <w:pPr>
        <w:pStyle w:val="HTML"/>
        <w:spacing w:line="360" w:lineRule="auto"/>
        <w:ind w:firstLineChars="202" w:firstLine="424"/>
        <w:jc w:val="both"/>
        <w:rPr>
          <w:rFonts w:ascii="Times New Roman" w:hAnsi="Times New Roman"/>
          <w:sz w:val="21"/>
          <w:szCs w:val="21"/>
        </w:rPr>
      </w:pPr>
      <w:r>
        <w:rPr>
          <w:rFonts w:ascii="Times New Roman" w:hint="eastAsia"/>
          <w:sz w:val="21"/>
          <w:szCs w:val="21"/>
        </w:rPr>
        <w:t>转出金额＝</w:t>
      </w:r>
      <w:r>
        <w:rPr>
          <w:rFonts w:ascii="Times New Roman" w:hAnsi="Times New Roman" w:hint="eastAsia"/>
          <w:sz w:val="21"/>
          <w:szCs w:val="21"/>
        </w:rPr>
        <w:t>10,000</w:t>
      </w:r>
      <w:r>
        <w:rPr>
          <w:rFonts w:ascii="Times New Roman" w:hAnsi="Times New Roman" w:hint="eastAsia"/>
          <w:sz w:val="21"/>
          <w:szCs w:val="21"/>
        </w:rPr>
        <w:t>×</w:t>
      </w:r>
      <w:r>
        <w:rPr>
          <w:rFonts w:ascii="Times New Roman" w:hAnsi="Times New Roman" w:hint="eastAsia"/>
          <w:sz w:val="21"/>
          <w:szCs w:val="21"/>
        </w:rPr>
        <w:t>1.00</w:t>
      </w:r>
      <w:r>
        <w:rPr>
          <w:rFonts w:ascii="Times New Roman" w:hint="eastAsia"/>
          <w:sz w:val="21"/>
          <w:szCs w:val="21"/>
        </w:rPr>
        <w:t>＝</w:t>
      </w:r>
      <w:r>
        <w:rPr>
          <w:rFonts w:ascii="Times New Roman" w:hAnsi="Times New Roman" w:hint="eastAsia"/>
          <w:sz w:val="21"/>
          <w:szCs w:val="21"/>
        </w:rPr>
        <w:t>10,000</w:t>
      </w:r>
      <w:r>
        <w:rPr>
          <w:rFonts w:ascii="Times New Roman" w:hint="eastAsia"/>
          <w:sz w:val="21"/>
          <w:szCs w:val="21"/>
        </w:rPr>
        <w:t xml:space="preserve">元　　</w:t>
      </w:r>
    </w:p>
    <w:p w:rsidR="0007341C" w:rsidRDefault="009A20FB">
      <w:pPr>
        <w:pStyle w:val="HTML"/>
        <w:spacing w:line="360" w:lineRule="auto"/>
        <w:ind w:firstLineChars="202" w:firstLine="424"/>
        <w:jc w:val="both"/>
        <w:rPr>
          <w:rFonts w:ascii="Times New Roman" w:hAnsi="Times New Roman"/>
          <w:sz w:val="21"/>
          <w:szCs w:val="21"/>
        </w:rPr>
      </w:pPr>
      <w:r>
        <w:rPr>
          <w:rFonts w:ascii="Times New Roman" w:hint="eastAsia"/>
          <w:sz w:val="21"/>
          <w:szCs w:val="21"/>
        </w:rPr>
        <w:t>申购补差费率</w:t>
      </w:r>
      <w:r>
        <w:rPr>
          <w:rFonts w:ascii="Times New Roman" w:hAnsi="Times New Roman" w:hint="eastAsia"/>
          <w:sz w:val="21"/>
          <w:szCs w:val="21"/>
        </w:rPr>
        <w:t>=1.5</w:t>
      </w:r>
      <w:r>
        <w:rPr>
          <w:rFonts w:ascii="Times New Roman" w:hint="eastAsia"/>
          <w:sz w:val="21"/>
          <w:szCs w:val="21"/>
        </w:rPr>
        <w:t>％</w:t>
      </w:r>
    </w:p>
    <w:p w:rsidR="0007341C" w:rsidRDefault="009A20FB">
      <w:pPr>
        <w:pStyle w:val="HTML"/>
        <w:spacing w:line="360" w:lineRule="auto"/>
        <w:ind w:firstLineChars="202" w:firstLine="424"/>
        <w:jc w:val="both"/>
        <w:rPr>
          <w:rFonts w:ascii="Times New Roman" w:hAnsi="Times New Roman"/>
          <w:sz w:val="21"/>
          <w:szCs w:val="21"/>
        </w:rPr>
      </w:pPr>
      <w:r>
        <w:rPr>
          <w:rFonts w:ascii="Times New Roman" w:hint="eastAsia"/>
          <w:sz w:val="21"/>
          <w:szCs w:val="21"/>
        </w:rPr>
        <w:t>申购补差费用＝</w:t>
      </w:r>
      <w:r>
        <w:rPr>
          <w:rFonts w:ascii="Times New Roman" w:hAnsi="Times New Roman" w:hint="eastAsia"/>
          <w:sz w:val="21"/>
          <w:szCs w:val="21"/>
        </w:rPr>
        <w:t>10,000</w:t>
      </w:r>
      <w:r>
        <w:rPr>
          <w:rFonts w:ascii="Times New Roman" w:hAnsi="Times New Roman" w:hint="eastAsia"/>
          <w:sz w:val="21"/>
          <w:szCs w:val="21"/>
        </w:rPr>
        <w:t>×</w:t>
      </w:r>
      <w:r>
        <w:rPr>
          <w:rFonts w:ascii="Times New Roman" w:hAnsi="Times New Roman" w:hint="eastAsia"/>
          <w:sz w:val="21"/>
          <w:szCs w:val="21"/>
        </w:rPr>
        <w:t>1.5%</w:t>
      </w:r>
      <w:r>
        <w:rPr>
          <w:rFonts w:ascii="Times New Roman" w:hint="eastAsia"/>
          <w:sz w:val="21"/>
          <w:szCs w:val="21"/>
        </w:rPr>
        <w:t>／（</w:t>
      </w:r>
      <w:r>
        <w:rPr>
          <w:rFonts w:ascii="Times New Roman" w:hAnsi="Times New Roman" w:hint="eastAsia"/>
          <w:sz w:val="21"/>
          <w:szCs w:val="21"/>
        </w:rPr>
        <w:t>1</w:t>
      </w:r>
      <w:r>
        <w:rPr>
          <w:rFonts w:ascii="Times New Roman" w:hint="eastAsia"/>
          <w:sz w:val="21"/>
          <w:szCs w:val="21"/>
        </w:rPr>
        <w:t>＋</w:t>
      </w:r>
      <w:r>
        <w:rPr>
          <w:rFonts w:ascii="Times New Roman" w:hAnsi="Times New Roman" w:hint="eastAsia"/>
          <w:sz w:val="21"/>
          <w:szCs w:val="21"/>
        </w:rPr>
        <w:t>1.5%</w:t>
      </w:r>
      <w:r>
        <w:rPr>
          <w:rFonts w:ascii="Times New Roman" w:hint="eastAsia"/>
          <w:sz w:val="21"/>
          <w:szCs w:val="21"/>
        </w:rPr>
        <w:t>）＝</w:t>
      </w:r>
      <w:r>
        <w:rPr>
          <w:rFonts w:ascii="Times New Roman" w:hAnsi="Times New Roman" w:hint="eastAsia"/>
          <w:sz w:val="21"/>
          <w:szCs w:val="21"/>
        </w:rPr>
        <w:t>147.78</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hAnsi="Times New Roman"/>
          <w:sz w:val="21"/>
          <w:szCs w:val="21"/>
        </w:rPr>
      </w:pPr>
      <w:r>
        <w:rPr>
          <w:rFonts w:ascii="Times New Roman" w:hint="eastAsia"/>
          <w:sz w:val="21"/>
          <w:szCs w:val="21"/>
        </w:rPr>
        <w:t>转换费用＝</w:t>
      </w:r>
      <w:r>
        <w:rPr>
          <w:rFonts w:ascii="Times New Roman" w:hAnsi="Times New Roman" w:hint="eastAsia"/>
          <w:sz w:val="21"/>
          <w:szCs w:val="21"/>
        </w:rPr>
        <w:t>147.78</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hAnsi="Times New Roman"/>
          <w:sz w:val="21"/>
          <w:szCs w:val="21"/>
        </w:rPr>
      </w:pPr>
      <w:r>
        <w:rPr>
          <w:rFonts w:ascii="Times New Roman" w:hint="eastAsia"/>
          <w:sz w:val="21"/>
          <w:szCs w:val="21"/>
        </w:rPr>
        <w:t>转入金额＝</w:t>
      </w:r>
      <w:r>
        <w:rPr>
          <w:rFonts w:ascii="Times New Roman" w:hAnsi="Times New Roman" w:hint="eastAsia"/>
          <w:sz w:val="21"/>
          <w:szCs w:val="21"/>
        </w:rPr>
        <w:t>10,000+10</w:t>
      </w:r>
      <w:r>
        <w:rPr>
          <w:rFonts w:ascii="Times New Roman" w:hint="eastAsia"/>
          <w:sz w:val="21"/>
          <w:szCs w:val="21"/>
        </w:rPr>
        <w:t>－</w:t>
      </w:r>
      <w:r>
        <w:rPr>
          <w:rFonts w:ascii="Times New Roman" w:hAnsi="Times New Roman" w:hint="eastAsia"/>
          <w:sz w:val="21"/>
          <w:szCs w:val="21"/>
        </w:rPr>
        <w:t>147.78=9,862.22</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转入份额＝</w:t>
      </w:r>
      <w:r>
        <w:rPr>
          <w:rFonts w:ascii="Times New Roman" w:hAnsi="Times New Roman" w:hint="eastAsia"/>
          <w:sz w:val="21"/>
          <w:szCs w:val="21"/>
        </w:rPr>
        <w:t>9,862.22</w:t>
      </w:r>
      <w:r>
        <w:rPr>
          <w:rFonts w:ascii="Times New Roman" w:hint="eastAsia"/>
          <w:sz w:val="21"/>
          <w:szCs w:val="21"/>
        </w:rPr>
        <w:t>／</w:t>
      </w:r>
      <w:r>
        <w:rPr>
          <w:rFonts w:ascii="Times New Roman" w:hAnsi="Times New Roman"/>
          <w:sz w:val="21"/>
          <w:szCs w:val="21"/>
        </w:rPr>
        <w:t>1.2855</w:t>
      </w:r>
      <w:r>
        <w:rPr>
          <w:rFonts w:ascii="Times New Roman" w:hAnsi="Times New Roman" w:hint="eastAsia"/>
          <w:sz w:val="21"/>
          <w:szCs w:val="21"/>
        </w:rPr>
        <w:t>=</w:t>
      </w:r>
      <w:r>
        <w:rPr>
          <w:rFonts w:ascii="Times New Roman" w:hAnsi="Times New Roman"/>
          <w:sz w:val="21"/>
          <w:szCs w:val="21"/>
        </w:rPr>
        <w:t>7</w:t>
      </w:r>
      <w:r>
        <w:rPr>
          <w:rFonts w:ascii="Times New Roman" w:hAnsi="Times New Roman" w:hint="eastAsia"/>
          <w:sz w:val="21"/>
          <w:szCs w:val="21"/>
        </w:rPr>
        <w:t>,</w:t>
      </w:r>
      <w:r>
        <w:rPr>
          <w:rFonts w:ascii="Times New Roman" w:hAnsi="Times New Roman"/>
          <w:sz w:val="21"/>
          <w:szCs w:val="21"/>
        </w:rPr>
        <w:t>671.89</w:t>
      </w:r>
      <w:r>
        <w:rPr>
          <w:rFonts w:ascii="Times New Roman" w:hint="eastAsia"/>
          <w:sz w:val="21"/>
          <w:szCs w:val="21"/>
        </w:rPr>
        <w:t>份</w:t>
      </w:r>
    </w:p>
    <w:p w:rsidR="0007341C" w:rsidRDefault="009A20FB">
      <w:pPr>
        <w:pStyle w:val="HTML"/>
        <w:spacing w:line="360" w:lineRule="auto"/>
        <w:jc w:val="both"/>
        <w:rPr>
          <w:rFonts w:ascii="Times New Roman"/>
          <w:sz w:val="21"/>
          <w:szCs w:val="21"/>
        </w:rPr>
      </w:pPr>
      <w:r>
        <w:rPr>
          <w:rFonts w:ascii="Times New Roman" w:hint="eastAsia"/>
          <w:b/>
          <w:sz w:val="21"/>
          <w:szCs w:val="21"/>
        </w:rPr>
        <w:t>例二：</w:t>
      </w:r>
      <w:r>
        <w:rPr>
          <w:rFonts w:ascii="Times New Roman" w:hint="eastAsia"/>
          <w:sz w:val="21"/>
          <w:szCs w:val="21"/>
        </w:rPr>
        <w:t>某投资者投资在</w:t>
      </w:r>
      <w:r>
        <w:rPr>
          <w:rFonts w:hint="eastAsia"/>
          <w:sz w:val="21"/>
          <w:szCs w:val="21"/>
        </w:rPr>
        <w:t>同花顺基金</w:t>
      </w:r>
      <w:r>
        <w:rPr>
          <w:rFonts w:ascii="Times New Roman" w:hint="eastAsia"/>
          <w:sz w:val="21"/>
          <w:szCs w:val="21"/>
        </w:rPr>
        <w:t>渠道持有浦银安盛环保新能源混合型证券投资基金</w:t>
      </w:r>
      <w:r>
        <w:rPr>
          <w:rFonts w:ascii="Times New Roman" w:hint="eastAsia"/>
          <w:sz w:val="21"/>
          <w:szCs w:val="21"/>
        </w:rPr>
        <w:t>A</w:t>
      </w:r>
      <w:r>
        <w:rPr>
          <w:rFonts w:ascii="Times New Roman" w:hint="eastAsia"/>
          <w:sz w:val="21"/>
          <w:szCs w:val="21"/>
        </w:rPr>
        <w:t>类基金份额</w:t>
      </w:r>
      <w:r>
        <w:rPr>
          <w:rFonts w:ascii="Times New Roman" w:hint="eastAsia"/>
          <w:sz w:val="21"/>
          <w:szCs w:val="21"/>
        </w:rPr>
        <w:t>10,000</w:t>
      </w:r>
      <w:r>
        <w:rPr>
          <w:rFonts w:ascii="Times New Roman" w:hint="eastAsia"/>
          <w:sz w:val="21"/>
          <w:szCs w:val="21"/>
        </w:rPr>
        <w:t>份。持有</w:t>
      </w:r>
      <w:r>
        <w:rPr>
          <w:rFonts w:ascii="Times New Roman" w:hint="eastAsia"/>
          <w:sz w:val="21"/>
          <w:szCs w:val="21"/>
        </w:rPr>
        <w:t>3</w:t>
      </w:r>
      <w:r>
        <w:rPr>
          <w:rFonts w:ascii="Times New Roman" w:hint="eastAsia"/>
          <w:sz w:val="21"/>
          <w:szCs w:val="21"/>
        </w:rPr>
        <w:t>个月后，该投资者将这</w:t>
      </w:r>
      <w:r>
        <w:rPr>
          <w:rFonts w:ascii="Times New Roman" w:hint="eastAsia"/>
          <w:sz w:val="21"/>
          <w:szCs w:val="21"/>
        </w:rPr>
        <w:t>10,000</w:t>
      </w:r>
      <w:r>
        <w:rPr>
          <w:rFonts w:ascii="Times New Roman" w:hint="eastAsia"/>
          <w:sz w:val="21"/>
          <w:szCs w:val="21"/>
        </w:rPr>
        <w:t>份浦银安盛环保新能源混合型证券投资基金</w:t>
      </w:r>
      <w:r>
        <w:rPr>
          <w:rFonts w:ascii="Times New Roman" w:hint="eastAsia"/>
          <w:sz w:val="21"/>
          <w:szCs w:val="21"/>
        </w:rPr>
        <w:t>A</w:t>
      </w:r>
      <w:r>
        <w:rPr>
          <w:rFonts w:ascii="Times New Roman" w:hint="eastAsia"/>
          <w:sz w:val="21"/>
          <w:szCs w:val="21"/>
        </w:rPr>
        <w:t>类基金份额转换为浦银安盛优化收益债券型证券投资基金</w:t>
      </w:r>
      <w:r>
        <w:rPr>
          <w:rFonts w:ascii="Times New Roman" w:hint="eastAsia"/>
          <w:sz w:val="21"/>
          <w:szCs w:val="21"/>
        </w:rPr>
        <w:t>A</w:t>
      </w:r>
      <w:r>
        <w:rPr>
          <w:rFonts w:ascii="Times New Roman" w:hint="eastAsia"/>
          <w:sz w:val="21"/>
          <w:szCs w:val="21"/>
        </w:rPr>
        <w:t>类。相对应的转出基金的申购费率、赎回费率及转入基金的申购费率分别为：</w:t>
      </w:r>
      <w:r>
        <w:rPr>
          <w:rFonts w:ascii="Times New Roman" w:hint="eastAsia"/>
          <w:sz w:val="21"/>
          <w:szCs w:val="21"/>
        </w:rPr>
        <w:t>1.5</w:t>
      </w:r>
      <w:r>
        <w:rPr>
          <w:rFonts w:ascii="Times New Roman" w:hint="eastAsia"/>
          <w:sz w:val="21"/>
          <w:szCs w:val="21"/>
        </w:rPr>
        <w:t>％、</w:t>
      </w:r>
      <w:r>
        <w:rPr>
          <w:rFonts w:ascii="Times New Roman" w:hint="eastAsia"/>
          <w:sz w:val="21"/>
          <w:szCs w:val="21"/>
        </w:rPr>
        <w:t>0.5</w:t>
      </w:r>
      <w:r>
        <w:rPr>
          <w:rFonts w:ascii="Times New Roman" w:hint="eastAsia"/>
          <w:sz w:val="21"/>
          <w:szCs w:val="21"/>
        </w:rPr>
        <w:t>％和</w:t>
      </w:r>
      <w:r>
        <w:rPr>
          <w:rFonts w:ascii="Times New Roman" w:hint="eastAsia"/>
          <w:sz w:val="21"/>
          <w:szCs w:val="21"/>
        </w:rPr>
        <w:t>0.8</w:t>
      </w:r>
      <w:r>
        <w:rPr>
          <w:rFonts w:ascii="Times New Roman" w:hint="eastAsia"/>
          <w:sz w:val="21"/>
          <w:szCs w:val="21"/>
        </w:rPr>
        <w:t>％。假设转换日的基金份额净值分别为：浦银安盛环保新能源混合型证券投资基金</w:t>
      </w:r>
      <w:r>
        <w:rPr>
          <w:rFonts w:ascii="Times New Roman" w:hint="eastAsia"/>
          <w:sz w:val="21"/>
          <w:szCs w:val="21"/>
        </w:rPr>
        <w:t>A</w:t>
      </w:r>
      <w:r>
        <w:rPr>
          <w:rFonts w:ascii="Times New Roman" w:hint="eastAsia"/>
          <w:sz w:val="21"/>
          <w:szCs w:val="21"/>
        </w:rPr>
        <w:t>类为</w:t>
      </w:r>
      <w:r>
        <w:rPr>
          <w:rFonts w:ascii="Times New Roman" w:hint="eastAsia"/>
          <w:sz w:val="21"/>
          <w:szCs w:val="21"/>
        </w:rPr>
        <w:t>1.3</w:t>
      </w:r>
      <w:r>
        <w:rPr>
          <w:rFonts w:ascii="Times New Roman" w:hint="eastAsia"/>
          <w:sz w:val="21"/>
          <w:szCs w:val="21"/>
        </w:rPr>
        <w:t>元、浦银安盛优化收益债券型证券投资基金</w:t>
      </w:r>
      <w:r>
        <w:rPr>
          <w:rFonts w:ascii="Times New Roman" w:hint="eastAsia"/>
          <w:sz w:val="21"/>
          <w:szCs w:val="21"/>
        </w:rPr>
        <w:t>A</w:t>
      </w:r>
      <w:r>
        <w:rPr>
          <w:rFonts w:ascii="Times New Roman" w:hint="eastAsia"/>
          <w:sz w:val="21"/>
          <w:szCs w:val="21"/>
        </w:rPr>
        <w:t>类为</w:t>
      </w:r>
      <w:r>
        <w:rPr>
          <w:rFonts w:ascii="Times New Roman" w:hint="eastAsia"/>
          <w:sz w:val="21"/>
          <w:szCs w:val="21"/>
        </w:rPr>
        <w:t>1.45</w:t>
      </w:r>
      <w:r>
        <w:rPr>
          <w:rFonts w:ascii="Times New Roman" w:hint="eastAsia"/>
          <w:sz w:val="21"/>
          <w:szCs w:val="21"/>
        </w:rPr>
        <w:t>元。该投资者可得的浦银安盛优化收益债券型证券投资基金</w:t>
      </w:r>
      <w:r>
        <w:rPr>
          <w:rFonts w:ascii="Times New Roman" w:hint="eastAsia"/>
          <w:sz w:val="21"/>
          <w:szCs w:val="21"/>
        </w:rPr>
        <w:t>A</w:t>
      </w:r>
      <w:r>
        <w:rPr>
          <w:rFonts w:ascii="Times New Roman" w:hint="eastAsia"/>
          <w:sz w:val="21"/>
          <w:szCs w:val="21"/>
        </w:rPr>
        <w:t>类的基金份额为：</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赎回费用＝</w:t>
      </w:r>
      <w:r>
        <w:rPr>
          <w:rFonts w:ascii="Times New Roman" w:hint="eastAsia"/>
          <w:sz w:val="21"/>
          <w:szCs w:val="21"/>
        </w:rPr>
        <w:t>10,000</w:t>
      </w:r>
      <w:r>
        <w:rPr>
          <w:rFonts w:ascii="Times New Roman" w:hint="eastAsia"/>
          <w:sz w:val="21"/>
          <w:szCs w:val="21"/>
        </w:rPr>
        <w:t>×</w:t>
      </w:r>
      <w:r>
        <w:rPr>
          <w:rFonts w:ascii="Times New Roman" w:hint="eastAsia"/>
          <w:sz w:val="21"/>
          <w:szCs w:val="21"/>
        </w:rPr>
        <w:t>1.30</w:t>
      </w:r>
      <w:r>
        <w:rPr>
          <w:rFonts w:ascii="Times New Roman" w:hint="eastAsia"/>
          <w:sz w:val="21"/>
          <w:szCs w:val="21"/>
        </w:rPr>
        <w:t>×</w:t>
      </w:r>
      <w:r>
        <w:rPr>
          <w:rFonts w:ascii="Times New Roman" w:hint="eastAsia"/>
          <w:sz w:val="21"/>
          <w:szCs w:val="21"/>
        </w:rPr>
        <w:t>0.5%=65</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转出金额＝</w:t>
      </w:r>
      <w:r>
        <w:rPr>
          <w:rFonts w:ascii="Times New Roman" w:hint="eastAsia"/>
          <w:sz w:val="21"/>
          <w:szCs w:val="21"/>
        </w:rPr>
        <w:t>10,000</w:t>
      </w:r>
      <w:r>
        <w:rPr>
          <w:rFonts w:ascii="Times New Roman" w:hint="eastAsia"/>
          <w:sz w:val="21"/>
          <w:szCs w:val="21"/>
        </w:rPr>
        <w:t>×</w:t>
      </w:r>
      <w:r>
        <w:rPr>
          <w:rFonts w:ascii="Times New Roman" w:hint="eastAsia"/>
          <w:sz w:val="21"/>
          <w:szCs w:val="21"/>
        </w:rPr>
        <w:t>1.30</w:t>
      </w:r>
      <w:r>
        <w:rPr>
          <w:rFonts w:ascii="Times New Roman" w:hint="eastAsia"/>
          <w:sz w:val="21"/>
          <w:szCs w:val="21"/>
        </w:rPr>
        <w:t>－</w:t>
      </w:r>
      <w:r>
        <w:rPr>
          <w:rFonts w:ascii="Times New Roman" w:hint="eastAsia"/>
          <w:sz w:val="21"/>
          <w:szCs w:val="21"/>
        </w:rPr>
        <w:t>65</w:t>
      </w:r>
      <w:r>
        <w:rPr>
          <w:rFonts w:ascii="Times New Roman" w:hint="eastAsia"/>
          <w:sz w:val="21"/>
          <w:szCs w:val="21"/>
        </w:rPr>
        <w:t>＝</w:t>
      </w:r>
      <w:r>
        <w:rPr>
          <w:rFonts w:ascii="Times New Roman"/>
          <w:sz w:val="21"/>
          <w:szCs w:val="21"/>
        </w:rPr>
        <w:t>12</w:t>
      </w:r>
      <w:r>
        <w:rPr>
          <w:rFonts w:ascii="Times New Roman" w:hint="eastAsia"/>
          <w:sz w:val="21"/>
          <w:szCs w:val="21"/>
        </w:rPr>
        <w:t>,</w:t>
      </w:r>
      <w:r>
        <w:rPr>
          <w:rFonts w:ascii="Times New Roman"/>
          <w:sz w:val="21"/>
          <w:szCs w:val="21"/>
        </w:rPr>
        <w:t>935</w:t>
      </w:r>
      <w:r>
        <w:rPr>
          <w:rFonts w:ascii="Times New Roman" w:hint="eastAsia"/>
          <w:sz w:val="21"/>
          <w:szCs w:val="21"/>
        </w:rPr>
        <w:t xml:space="preserve">元　　</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申购补差费率</w:t>
      </w:r>
      <w:r>
        <w:rPr>
          <w:rFonts w:ascii="Times New Roman" w:hint="eastAsia"/>
          <w:sz w:val="21"/>
          <w:szCs w:val="21"/>
        </w:rPr>
        <w:t>=0.8</w:t>
      </w:r>
      <w:r>
        <w:rPr>
          <w:rFonts w:ascii="Times New Roman" w:hint="eastAsia"/>
          <w:sz w:val="21"/>
          <w:szCs w:val="21"/>
        </w:rPr>
        <w:t>％－</w:t>
      </w:r>
      <w:r>
        <w:rPr>
          <w:rFonts w:ascii="Times New Roman" w:hint="eastAsia"/>
          <w:sz w:val="21"/>
          <w:szCs w:val="21"/>
        </w:rPr>
        <w:t>1.5</w:t>
      </w:r>
      <w:r>
        <w:rPr>
          <w:rFonts w:ascii="Times New Roman" w:hint="eastAsia"/>
          <w:sz w:val="21"/>
          <w:szCs w:val="21"/>
        </w:rPr>
        <w:t>％＝</w:t>
      </w:r>
      <w:r>
        <w:rPr>
          <w:rFonts w:ascii="Times New Roman" w:hint="eastAsia"/>
          <w:sz w:val="21"/>
          <w:szCs w:val="21"/>
        </w:rPr>
        <w:t>-0.7</w:t>
      </w:r>
      <w:r>
        <w:rPr>
          <w:rFonts w:ascii="Times New Roman" w:hint="eastAsia"/>
          <w:sz w:val="21"/>
          <w:szCs w:val="21"/>
        </w:rPr>
        <w:t>％（如为负数则取</w:t>
      </w:r>
      <w:r>
        <w:rPr>
          <w:rFonts w:ascii="Times New Roman" w:hint="eastAsia"/>
          <w:sz w:val="21"/>
          <w:szCs w:val="21"/>
        </w:rPr>
        <w:t>0</w:t>
      </w:r>
      <w:r>
        <w:rPr>
          <w:rFonts w:ascii="Times New Roman" w:hint="eastAsia"/>
          <w:sz w:val="21"/>
          <w:szCs w:val="21"/>
        </w:rPr>
        <w:t>）</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申购补差费用＝</w:t>
      </w:r>
      <w:r>
        <w:rPr>
          <w:rFonts w:ascii="Times New Roman"/>
          <w:sz w:val="21"/>
          <w:szCs w:val="21"/>
        </w:rPr>
        <w:t>12</w:t>
      </w:r>
      <w:r>
        <w:rPr>
          <w:rFonts w:ascii="Times New Roman" w:hint="eastAsia"/>
          <w:sz w:val="21"/>
          <w:szCs w:val="21"/>
        </w:rPr>
        <w:t>,</w:t>
      </w:r>
      <w:r>
        <w:rPr>
          <w:rFonts w:ascii="Times New Roman"/>
          <w:sz w:val="21"/>
          <w:szCs w:val="21"/>
        </w:rPr>
        <w:t>935</w:t>
      </w:r>
      <w:r>
        <w:rPr>
          <w:rFonts w:ascii="Times New Roman" w:hint="eastAsia"/>
          <w:sz w:val="21"/>
          <w:szCs w:val="21"/>
        </w:rPr>
        <w:t>×</w:t>
      </w:r>
      <w:r>
        <w:rPr>
          <w:rFonts w:ascii="Times New Roman" w:hint="eastAsia"/>
          <w:sz w:val="21"/>
          <w:szCs w:val="21"/>
        </w:rPr>
        <w:t>0</w:t>
      </w:r>
      <w:r>
        <w:rPr>
          <w:rFonts w:ascii="Times New Roman" w:hint="eastAsia"/>
          <w:sz w:val="21"/>
          <w:szCs w:val="21"/>
        </w:rPr>
        <w:t>／（</w:t>
      </w:r>
      <w:r>
        <w:rPr>
          <w:rFonts w:ascii="Times New Roman" w:hint="eastAsia"/>
          <w:sz w:val="21"/>
          <w:szCs w:val="21"/>
        </w:rPr>
        <w:t>1</w:t>
      </w:r>
      <w:r>
        <w:rPr>
          <w:rFonts w:ascii="Times New Roman" w:hint="eastAsia"/>
          <w:sz w:val="21"/>
          <w:szCs w:val="21"/>
        </w:rPr>
        <w:t>＋</w:t>
      </w:r>
      <w:r>
        <w:rPr>
          <w:rFonts w:ascii="Times New Roman" w:hint="eastAsia"/>
          <w:sz w:val="21"/>
          <w:szCs w:val="21"/>
        </w:rPr>
        <w:t>0</w:t>
      </w:r>
      <w:r>
        <w:rPr>
          <w:rFonts w:ascii="Times New Roman" w:hint="eastAsia"/>
          <w:sz w:val="21"/>
          <w:szCs w:val="21"/>
        </w:rPr>
        <w:t>）＝</w:t>
      </w:r>
      <w:r>
        <w:rPr>
          <w:rFonts w:ascii="Times New Roman" w:hint="eastAsia"/>
          <w:sz w:val="21"/>
          <w:szCs w:val="21"/>
        </w:rPr>
        <w:t>0</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转换费用＝</w:t>
      </w:r>
      <w:r>
        <w:rPr>
          <w:rFonts w:ascii="Times New Roman" w:hint="eastAsia"/>
          <w:sz w:val="21"/>
          <w:szCs w:val="21"/>
        </w:rPr>
        <w:t>65+0=65</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转入金额＝</w:t>
      </w:r>
      <w:r>
        <w:rPr>
          <w:rFonts w:ascii="Times New Roman" w:hint="eastAsia"/>
          <w:sz w:val="21"/>
          <w:szCs w:val="21"/>
        </w:rPr>
        <w:t>10,000</w:t>
      </w:r>
      <w:r>
        <w:rPr>
          <w:rFonts w:ascii="Times New Roman" w:hint="eastAsia"/>
          <w:sz w:val="21"/>
          <w:szCs w:val="21"/>
        </w:rPr>
        <w:t>×</w:t>
      </w:r>
      <w:r>
        <w:rPr>
          <w:rFonts w:ascii="Times New Roman" w:hint="eastAsia"/>
          <w:sz w:val="21"/>
          <w:szCs w:val="21"/>
        </w:rPr>
        <w:t>1.30</w:t>
      </w:r>
      <w:r>
        <w:rPr>
          <w:rFonts w:ascii="Times New Roman" w:hint="eastAsia"/>
          <w:sz w:val="21"/>
          <w:szCs w:val="21"/>
        </w:rPr>
        <w:t>－</w:t>
      </w:r>
      <w:r>
        <w:rPr>
          <w:rFonts w:ascii="Times New Roman" w:hint="eastAsia"/>
          <w:sz w:val="21"/>
          <w:szCs w:val="21"/>
        </w:rPr>
        <w:t>65=</w:t>
      </w:r>
      <w:r>
        <w:rPr>
          <w:rFonts w:ascii="Times New Roman"/>
          <w:sz w:val="21"/>
          <w:szCs w:val="21"/>
        </w:rPr>
        <w:t>12</w:t>
      </w:r>
      <w:r>
        <w:rPr>
          <w:rFonts w:ascii="Times New Roman" w:hint="eastAsia"/>
          <w:sz w:val="21"/>
          <w:szCs w:val="21"/>
        </w:rPr>
        <w:t>,</w:t>
      </w:r>
      <w:r>
        <w:rPr>
          <w:rFonts w:ascii="Times New Roman"/>
          <w:sz w:val="21"/>
          <w:szCs w:val="21"/>
        </w:rPr>
        <w:t>935</w:t>
      </w:r>
      <w:r>
        <w:rPr>
          <w:rFonts w:ascii="Times New Roman" w:hint="eastAsia"/>
          <w:sz w:val="21"/>
          <w:szCs w:val="21"/>
        </w:rPr>
        <w:t>元</w:t>
      </w:r>
    </w:p>
    <w:p w:rsidR="0007341C" w:rsidRDefault="009A20FB">
      <w:pPr>
        <w:pStyle w:val="HTML"/>
        <w:spacing w:line="360" w:lineRule="auto"/>
        <w:ind w:firstLineChars="202" w:firstLine="424"/>
        <w:jc w:val="both"/>
        <w:rPr>
          <w:rFonts w:ascii="Times New Roman"/>
          <w:sz w:val="21"/>
          <w:szCs w:val="21"/>
        </w:rPr>
      </w:pPr>
      <w:r>
        <w:rPr>
          <w:rFonts w:ascii="Times New Roman" w:hint="eastAsia"/>
          <w:sz w:val="21"/>
          <w:szCs w:val="21"/>
        </w:rPr>
        <w:t>转入份额＝</w:t>
      </w:r>
      <w:r>
        <w:rPr>
          <w:rFonts w:ascii="Times New Roman"/>
          <w:sz w:val="21"/>
          <w:szCs w:val="21"/>
        </w:rPr>
        <w:t>12</w:t>
      </w:r>
      <w:r>
        <w:rPr>
          <w:rFonts w:ascii="Times New Roman" w:hint="eastAsia"/>
          <w:sz w:val="21"/>
          <w:szCs w:val="21"/>
        </w:rPr>
        <w:t>,</w:t>
      </w:r>
      <w:r>
        <w:rPr>
          <w:rFonts w:ascii="Times New Roman"/>
          <w:sz w:val="21"/>
          <w:szCs w:val="21"/>
        </w:rPr>
        <w:t>935</w:t>
      </w:r>
      <w:r>
        <w:rPr>
          <w:rFonts w:ascii="Times New Roman" w:hint="eastAsia"/>
          <w:sz w:val="21"/>
          <w:szCs w:val="21"/>
        </w:rPr>
        <w:t>／</w:t>
      </w:r>
      <w:r>
        <w:rPr>
          <w:rFonts w:ascii="Times New Roman" w:hint="eastAsia"/>
          <w:sz w:val="21"/>
          <w:szCs w:val="21"/>
        </w:rPr>
        <w:t>1.45=</w:t>
      </w:r>
      <w:r>
        <w:rPr>
          <w:rFonts w:ascii="Times New Roman"/>
          <w:sz w:val="21"/>
          <w:szCs w:val="21"/>
        </w:rPr>
        <w:t>8</w:t>
      </w:r>
      <w:r>
        <w:rPr>
          <w:rFonts w:ascii="Times New Roman" w:hint="eastAsia"/>
          <w:sz w:val="21"/>
          <w:szCs w:val="21"/>
        </w:rPr>
        <w:t>,</w:t>
      </w:r>
      <w:r>
        <w:rPr>
          <w:rFonts w:ascii="Times New Roman"/>
          <w:sz w:val="21"/>
          <w:szCs w:val="21"/>
        </w:rPr>
        <w:t>920.69</w:t>
      </w:r>
      <w:r>
        <w:rPr>
          <w:rFonts w:ascii="Times New Roman" w:hint="eastAsia"/>
          <w:sz w:val="21"/>
          <w:szCs w:val="21"/>
        </w:rPr>
        <w:t>份</w:t>
      </w:r>
    </w:p>
    <w:p w:rsidR="0007341C" w:rsidRDefault="009A20FB">
      <w:pPr>
        <w:pStyle w:val="HTML"/>
        <w:spacing w:line="360" w:lineRule="auto"/>
        <w:ind w:firstLineChars="202" w:firstLine="426"/>
        <w:jc w:val="both"/>
        <w:rPr>
          <w:rFonts w:ascii="Times New Roman"/>
          <w:sz w:val="21"/>
          <w:szCs w:val="21"/>
        </w:rPr>
      </w:pPr>
      <w:r>
        <w:rPr>
          <w:rFonts w:ascii="Times New Roman" w:hint="eastAsia"/>
          <w:b/>
          <w:sz w:val="21"/>
          <w:szCs w:val="21"/>
        </w:rPr>
        <w:t>6</w:t>
      </w:r>
      <w:r>
        <w:rPr>
          <w:rFonts w:ascii="Times New Roman" w:hint="eastAsia"/>
          <w:b/>
          <w:sz w:val="21"/>
          <w:szCs w:val="21"/>
        </w:rPr>
        <w:t>、</w:t>
      </w:r>
      <w:r>
        <w:rPr>
          <w:rFonts w:ascii="Times New Roman"/>
          <w:b/>
          <w:sz w:val="21"/>
          <w:szCs w:val="21"/>
        </w:rPr>
        <w:t>基金转换规则</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1）</w:t>
      </w:r>
      <w:r>
        <w:rPr>
          <w:sz w:val="21"/>
          <w:szCs w:val="21"/>
        </w:rPr>
        <w:t>基金转换只能在同一销售机构进行。转换的两只基金必须都是该销售机构代理的同一基金管理人管理的、在同一注册登记人处注册登记的基金。</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2）</w:t>
      </w:r>
      <w:r>
        <w:rPr>
          <w:sz w:val="21"/>
          <w:szCs w:val="21"/>
        </w:rPr>
        <w:t>投资者需在转出基金和转入基金均可交易的当日，方可成功办理基金转换业务。投资者可以将在销售机构托管的部分或全部基金份额转换成其他基金份额，转出</w:t>
      </w:r>
      <w:r>
        <w:rPr>
          <w:rFonts w:hint="eastAsia"/>
          <w:sz w:val="21"/>
          <w:szCs w:val="21"/>
        </w:rPr>
        <w:t>基金</w:t>
      </w:r>
      <w:r>
        <w:rPr>
          <w:sz w:val="21"/>
          <w:szCs w:val="21"/>
        </w:rPr>
        <w:t>份额不得超过所在托管网点登记的可用基金份额。</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3）</w:t>
      </w:r>
      <w:r>
        <w:rPr>
          <w:sz w:val="21"/>
          <w:szCs w:val="21"/>
        </w:rPr>
        <w:t>转出基金份额遵循“先进先出”的原则，</w:t>
      </w:r>
      <w:r>
        <w:rPr>
          <w:rFonts w:hint="eastAsia"/>
          <w:sz w:val="21"/>
          <w:szCs w:val="21"/>
        </w:rPr>
        <w:t>即先认（申）购的基金份额在转换时先转换。</w:t>
      </w:r>
      <w:r>
        <w:rPr>
          <w:sz w:val="21"/>
          <w:szCs w:val="21"/>
        </w:rPr>
        <w:t>转入的基金份额的持有期将自转入的基金份额被确认</w:t>
      </w:r>
      <w:r>
        <w:rPr>
          <w:rFonts w:hint="eastAsia"/>
          <w:sz w:val="21"/>
          <w:szCs w:val="21"/>
        </w:rPr>
        <w:t>之</w:t>
      </w:r>
      <w:r>
        <w:rPr>
          <w:sz w:val="21"/>
          <w:szCs w:val="21"/>
        </w:rPr>
        <w:t>日起重新开始计算</w:t>
      </w:r>
      <w:r>
        <w:rPr>
          <w:rFonts w:hint="eastAsia"/>
          <w:sz w:val="21"/>
          <w:szCs w:val="21"/>
        </w:rPr>
        <w:t>。</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4）</w:t>
      </w:r>
      <w:r>
        <w:rPr>
          <w:sz w:val="21"/>
          <w:szCs w:val="21"/>
        </w:rPr>
        <w:t>基金转换按照份额进行申请，单笔转换份额不得低于１００份</w:t>
      </w:r>
      <w:r>
        <w:rPr>
          <w:rFonts w:hint="eastAsia"/>
          <w:sz w:val="21"/>
          <w:szCs w:val="21"/>
        </w:rPr>
        <w:t>，单笔转换申请不受转入基金最低申购限额限制</w:t>
      </w:r>
      <w:r>
        <w:rPr>
          <w:sz w:val="21"/>
          <w:szCs w:val="21"/>
        </w:rPr>
        <w:t>。</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5）</w:t>
      </w:r>
      <w:r>
        <w:rPr>
          <w:sz w:val="21"/>
          <w:szCs w:val="21"/>
        </w:rPr>
        <w:t>投资者申请基金转换须满足《招募说明书》最低持有份额的规定。如投资者办理基金转出后该基金份额余额低于规定的最低余额，基金管理人有权</w:t>
      </w:r>
      <w:r>
        <w:rPr>
          <w:rFonts w:hint="eastAsia"/>
          <w:sz w:val="21"/>
          <w:szCs w:val="21"/>
        </w:rPr>
        <w:t>为基金持有人</w:t>
      </w:r>
      <w:r>
        <w:rPr>
          <w:sz w:val="21"/>
          <w:szCs w:val="21"/>
        </w:rPr>
        <w:t>将该基金份额类别的余额部分强制赎回。</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6）</w:t>
      </w:r>
      <w:r>
        <w:rPr>
          <w:sz w:val="21"/>
          <w:szCs w:val="21"/>
        </w:rPr>
        <w:t>基金转换采取未知价法，即以申请受理当日各转出、转入基金的基金份额净值为价格进行计算。</w:t>
      </w:r>
    </w:p>
    <w:p w:rsidR="0007341C" w:rsidRDefault="009A20FB">
      <w:pPr>
        <w:pStyle w:val="HTML"/>
        <w:tabs>
          <w:tab w:val="clear" w:pos="1832"/>
          <w:tab w:val="left" w:pos="1440"/>
        </w:tabs>
        <w:spacing w:line="360" w:lineRule="auto"/>
        <w:ind w:firstLineChars="250" w:firstLine="525"/>
        <w:jc w:val="both"/>
        <w:rPr>
          <w:sz w:val="21"/>
          <w:szCs w:val="21"/>
        </w:rPr>
      </w:pPr>
      <w:r>
        <w:rPr>
          <w:rFonts w:hint="eastAsia"/>
          <w:sz w:val="21"/>
          <w:szCs w:val="21"/>
        </w:rPr>
        <w:t>7）</w:t>
      </w:r>
      <w:r>
        <w:rPr>
          <w:sz w:val="21"/>
          <w:szCs w:val="21"/>
        </w:rPr>
        <w:t>正常情况下，基金注册登记人以申请有效日为基金转换申请日（Ｔ日），并在Ｔ＋１工作日对该交易的有效性进行确认，投资者可在Ｔ＋２</w:t>
      </w:r>
      <w:r>
        <w:rPr>
          <w:rFonts w:asciiTheme="majorEastAsia" w:eastAsiaTheme="majorEastAsia" w:hAnsiTheme="majorEastAsia"/>
          <w:sz w:val="21"/>
          <w:szCs w:val="21"/>
        </w:rPr>
        <w:t>工作日及之后到其提出基金转换申请的网点进行成交查询。</w:t>
      </w:r>
    </w:p>
    <w:p w:rsidR="0007341C" w:rsidRDefault="009A20FB">
      <w:pPr>
        <w:pStyle w:val="HTML"/>
        <w:numPr>
          <w:ilvl w:val="0"/>
          <w:numId w:val="1"/>
        </w:numPr>
        <w:tabs>
          <w:tab w:val="clear" w:pos="1832"/>
          <w:tab w:val="left" w:pos="1440"/>
        </w:tabs>
        <w:spacing w:line="360" w:lineRule="auto"/>
        <w:jc w:val="both"/>
        <w:rPr>
          <w:sz w:val="21"/>
          <w:szCs w:val="21"/>
        </w:rPr>
      </w:pPr>
      <w:r>
        <w:rPr>
          <w:rFonts w:hint="eastAsia"/>
          <w:sz w:val="21"/>
          <w:szCs w:val="21"/>
        </w:rPr>
        <w:t>已冻结的基金份额不得申请进行基金转换。</w:t>
      </w:r>
    </w:p>
    <w:p w:rsidR="0007341C" w:rsidRDefault="009A20FB">
      <w:pPr>
        <w:pStyle w:val="HTML"/>
        <w:numPr>
          <w:ilvl w:val="0"/>
          <w:numId w:val="1"/>
        </w:numPr>
        <w:tabs>
          <w:tab w:val="clear" w:pos="1832"/>
          <w:tab w:val="left" w:pos="1440"/>
        </w:tabs>
        <w:spacing w:line="360" w:lineRule="auto"/>
        <w:jc w:val="both"/>
        <w:rPr>
          <w:sz w:val="21"/>
          <w:szCs w:val="21"/>
        </w:rPr>
      </w:pPr>
      <w:r>
        <w:rPr>
          <w:rFonts w:hint="eastAsia"/>
          <w:sz w:val="21"/>
          <w:szCs w:val="21"/>
        </w:rPr>
        <w:t>投资者可以发起多次基金转换业务，基金转换所需费用按每笔申请单独计算。</w:t>
      </w:r>
    </w:p>
    <w:p w:rsidR="0007341C" w:rsidRDefault="009A20FB">
      <w:pPr>
        <w:pStyle w:val="HTML"/>
        <w:tabs>
          <w:tab w:val="clear" w:pos="1832"/>
          <w:tab w:val="left" w:pos="1260"/>
          <w:tab w:val="left" w:pos="1440"/>
          <w:tab w:val="left" w:pos="2520"/>
        </w:tabs>
        <w:spacing w:line="360" w:lineRule="auto"/>
        <w:ind w:leftChars="50" w:left="105" w:firstLineChars="250" w:firstLine="525"/>
        <w:jc w:val="both"/>
        <w:rPr>
          <w:sz w:val="21"/>
          <w:szCs w:val="21"/>
        </w:rPr>
      </w:pPr>
      <w:r>
        <w:rPr>
          <w:rFonts w:ascii="Times New Roman" w:hint="eastAsia"/>
          <w:sz w:val="21"/>
          <w:szCs w:val="21"/>
        </w:rPr>
        <w:t>10</w:t>
      </w:r>
      <w:r>
        <w:rPr>
          <w:rFonts w:ascii="Times New Roman" w:hint="eastAsia"/>
          <w:sz w:val="21"/>
          <w:szCs w:val="21"/>
        </w:rPr>
        <w:t>）基金净赎回申请份额（该基金赎回申请总份额加上基金转换中转出申请总份额后扣除申购申请总份额及基金转换中转入申请总份额后的余额）超过上一日基金总份额的一定比例时，为巨额赎回，各基金巨额赎回比例以《招募说明书》为准。</w:t>
      </w:r>
      <w:r>
        <w:rPr>
          <w:rFonts w:ascii="Times New Roman"/>
          <w:sz w:val="21"/>
          <w:szCs w:val="21"/>
        </w:rPr>
        <w:t>当发生巨额赎回时，基金转出与基金赎回具有相同的优先级，基金管理人可根据基金资产组合情况，决定全额转出或部分转出，并且对于基金转出和基金赎回，将采取相同的比例确认；在转出申请得到部分确认的情况下，未确认的转出申请将不予以顺延。</w:t>
      </w:r>
    </w:p>
    <w:p w:rsidR="0007341C" w:rsidRDefault="009A20FB">
      <w:pPr>
        <w:pStyle w:val="HTML"/>
        <w:tabs>
          <w:tab w:val="clear" w:pos="1832"/>
          <w:tab w:val="left" w:pos="1260"/>
          <w:tab w:val="left" w:pos="1440"/>
          <w:tab w:val="left" w:pos="2520"/>
        </w:tabs>
        <w:spacing w:line="360" w:lineRule="auto"/>
        <w:ind w:firstLineChars="300" w:firstLine="630"/>
        <w:jc w:val="both"/>
        <w:rPr>
          <w:sz w:val="21"/>
          <w:szCs w:val="21"/>
        </w:rPr>
      </w:pPr>
      <w:r>
        <w:rPr>
          <w:rFonts w:hint="eastAsia"/>
          <w:sz w:val="21"/>
          <w:szCs w:val="21"/>
        </w:rPr>
        <w:t>11）投资者申请基金转换业务时，转出基金必须处于可赎回状态，转入基金必须处于可申购状态，否则基金转换申请将被处理为失败。</w:t>
      </w:r>
    </w:p>
    <w:p w:rsidR="0007341C" w:rsidRDefault="009A20FB">
      <w:pPr>
        <w:pStyle w:val="HTML"/>
        <w:tabs>
          <w:tab w:val="clear" w:pos="1832"/>
          <w:tab w:val="left" w:pos="1260"/>
          <w:tab w:val="left" w:pos="1440"/>
          <w:tab w:val="left" w:pos="2520"/>
        </w:tabs>
        <w:spacing w:line="360" w:lineRule="auto"/>
        <w:ind w:firstLineChars="300" w:firstLine="630"/>
        <w:jc w:val="both"/>
        <w:rPr>
          <w:sz w:val="21"/>
          <w:szCs w:val="21"/>
        </w:rPr>
      </w:pPr>
      <w:r>
        <w:rPr>
          <w:rFonts w:hint="eastAsia"/>
          <w:sz w:val="21"/>
          <w:szCs w:val="21"/>
        </w:rPr>
        <w:t>12）</w:t>
      </w:r>
      <w:r>
        <w:rPr>
          <w:sz w:val="21"/>
          <w:szCs w:val="21"/>
        </w:rPr>
        <w:t>如果基金份额持有人的基金转换申请被拒绝，基金份额持有人持有的原基金份额不变。</w:t>
      </w:r>
    </w:p>
    <w:p w:rsidR="0007341C" w:rsidRDefault="0007341C">
      <w:pPr>
        <w:pStyle w:val="HTML"/>
        <w:tabs>
          <w:tab w:val="clear" w:pos="1832"/>
          <w:tab w:val="left" w:pos="1260"/>
          <w:tab w:val="left" w:pos="1440"/>
          <w:tab w:val="left" w:pos="2520"/>
        </w:tabs>
        <w:spacing w:line="360" w:lineRule="auto"/>
        <w:jc w:val="both"/>
        <w:rPr>
          <w:sz w:val="21"/>
          <w:szCs w:val="21"/>
        </w:rPr>
      </w:pPr>
    </w:p>
    <w:p w:rsidR="0007341C" w:rsidRDefault="0098177C">
      <w:pPr>
        <w:pStyle w:val="HTML"/>
        <w:spacing w:line="360" w:lineRule="auto"/>
        <w:ind w:firstLineChars="200" w:firstLine="422"/>
        <w:jc w:val="both"/>
        <w:rPr>
          <w:b/>
          <w:sz w:val="21"/>
          <w:szCs w:val="21"/>
        </w:rPr>
      </w:pPr>
      <w:r>
        <w:rPr>
          <w:rFonts w:hint="eastAsia"/>
          <w:b/>
          <w:sz w:val="21"/>
          <w:szCs w:val="21"/>
        </w:rPr>
        <w:t>二</w:t>
      </w:r>
      <w:r w:rsidR="009A20FB">
        <w:rPr>
          <w:b/>
          <w:sz w:val="21"/>
          <w:szCs w:val="21"/>
        </w:rPr>
        <w:t>、重要提示</w:t>
      </w:r>
    </w:p>
    <w:p w:rsidR="0007341C" w:rsidRDefault="009A20FB">
      <w:pPr>
        <w:pStyle w:val="HTML"/>
        <w:spacing w:line="360" w:lineRule="auto"/>
        <w:ind w:firstLineChars="200" w:firstLine="420"/>
        <w:jc w:val="both"/>
        <w:rPr>
          <w:sz w:val="21"/>
          <w:szCs w:val="21"/>
        </w:rPr>
      </w:pPr>
      <w:r>
        <w:rPr>
          <w:rFonts w:hint="eastAsia"/>
          <w:sz w:val="21"/>
          <w:szCs w:val="21"/>
        </w:rPr>
        <w:t>1、 本公司有权根据市场情况或法律法规变化调整上述业务规则，并在正式调整前根据相关法律法规及基金合同的规定进行披露。</w:t>
      </w:r>
    </w:p>
    <w:p w:rsidR="0007341C" w:rsidRDefault="009A20FB">
      <w:pPr>
        <w:pStyle w:val="HTML"/>
        <w:spacing w:line="360" w:lineRule="auto"/>
        <w:ind w:firstLineChars="200" w:firstLine="420"/>
        <w:jc w:val="both"/>
        <w:rPr>
          <w:sz w:val="21"/>
          <w:szCs w:val="21"/>
        </w:rPr>
      </w:pPr>
      <w:r>
        <w:rPr>
          <w:rFonts w:hint="eastAsia"/>
          <w:sz w:val="21"/>
          <w:szCs w:val="21"/>
        </w:rPr>
        <w:t xml:space="preserve">2、 </w:t>
      </w:r>
      <w:r>
        <w:rPr>
          <w:sz w:val="21"/>
          <w:szCs w:val="21"/>
        </w:rPr>
        <w:t>本公告</w:t>
      </w:r>
      <w:r>
        <w:rPr>
          <w:rFonts w:hint="eastAsia"/>
          <w:sz w:val="21"/>
          <w:szCs w:val="21"/>
        </w:rPr>
        <w:t>的</w:t>
      </w:r>
      <w:r>
        <w:rPr>
          <w:sz w:val="21"/>
          <w:szCs w:val="21"/>
        </w:rPr>
        <w:t>解释权归本公司</w:t>
      </w:r>
      <w:r>
        <w:rPr>
          <w:rFonts w:hint="eastAsia"/>
          <w:sz w:val="21"/>
          <w:szCs w:val="21"/>
        </w:rPr>
        <w:t>所有</w:t>
      </w:r>
      <w:r>
        <w:rPr>
          <w:sz w:val="21"/>
          <w:szCs w:val="21"/>
        </w:rPr>
        <w:t>。</w:t>
      </w:r>
    </w:p>
    <w:p w:rsidR="0007341C" w:rsidRDefault="0098177C">
      <w:pPr>
        <w:pStyle w:val="HTML"/>
        <w:spacing w:line="360" w:lineRule="auto"/>
        <w:ind w:firstLineChars="200" w:firstLine="422"/>
        <w:jc w:val="both"/>
        <w:rPr>
          <w:b/>
          <w:sz w:val="21"/>
          <w:szCs w:val="21"/>
        </w:rPr>
      </w:pPr>
      <w:r>
        <w:rPr>
          <w:rFonts w:hint="eastAsia"/>
          <w:b/>
          <w:sz w:val="21"/>
          <w:szCs w:val="21"/>
        </w:rPr>
        <w:t>三</w:t>
      </w:r>
      <w:r w:rsidR="009A20FB">
        <w:rPr>
          <w:rFonts w:hint="eastAsia"/>
          <w:b/>
          <w:sz w:val="21"/>
          <w:szCs w:val="21"/>
        </w:rPr>
        <w:t>、咨询方式</w:t>
      </w:r>
    </w:p>
    <w:p w:rsidR="0007341C" w:rsidRDefault="009A20FB">
      <w:pPr>
        <w:pStyle w:val="HTML"/>
        <w:spacing w:line="360" w:lineRule="auto"/>
        <w:ind w:firstLineChars="200" w:firstLine="420"/>
        <w:jc w:val="both"/>
        <w:rPr>
          <w:sz w:val="21"/>
          <w:szCs w:val="21"/>
        </w:rPr>
      </w:pPr>
      <w:r>
        <w:rPr>
          <w:sz w:val="21"/>
          <w:szCs w:val="21"/>
        </w:rPr>
        <w:t>投资者欲了解本公司管理基金的详细情况，请仔细阅读相关基金的招募说明书。投资者也可通过以下途径咨询有关详情：</w:t>
      </w:r>
    </w:p>
    <w:p w:rsidR="0007341C" w:rsidRDefault="009A20FB">
      <w:pPr>
        <w:pStyle w:val="HTML"/>
        <w:spacing w:line="360" w:lineRule="auto"/>
        <w:ind w:firstLineChars="200" w:firstLine="420"/>
        <w:jc w:val="both"/>
        <w:rPr>
          <w:sz w:val="21"/>
          <w:szCs w:val="21"/>
        </w:rPr>
      </w:pPr>
      <w:r>
        <w:rPr>
          <w:rFonts w:hint="eastAsia"/>
          <w:sz w:val="21"/>
          <w:szCs w:val="21"/>
        </w:rPr>
        <w:t>1、浙江同花顺基金销售有限公司</w:t>
      </w:r>
    </w:p>
    <w:p w:rsidR="0007341C" w:rsidRDefault="009A20FB">
      <w:pPr>
        <w:pStyle w:val="HTML"/>
        <w:spacing w:line="360" w:lineRule="auto"/>
        <w:ind w:firstLineChars="350" w:firstLine="735"/>
        <w:jc w:val="both"/>
        <w:rPr>
          <w:sz w:val="21"/>
          <w:szCs w:val="21"/>
        </w:rPr>
      </w:pPr>
      <w:r>
        <w:rPr>
          <w:rFonts w:hint="eastAsia"/>
          <w:sz w:val="21"/>
          <w:szCs w:val="21"/>
        </w:rPr>
        <w:t>客户服务热线：952555</w:t>
      </w:r>
    </w:p>
    <w:p w:rsidR="0007341C" w:rsidRDefault="009A20FB">
      <w:pPr>
        <w:pStyle w:val="HTML"/>
        <w:spacing w:line="360" w:lineRule="auto"/>
        <w:ind w:firstLineChars="350" w:firstLine="735"/>
        <w:jc w:val="both"/>
        <w:rPr>
          <w:szCs w:val="21"/>
        </w:rPr>
      </w:pPr>
      <w:r>
        <w:rPr>
          <w:rFonts w:hint="eastAsia"/>
          <w:sz w:val="21"/>
          <w:szCs w:val="21"/>
        </w:rPr>
        <w:t xml:space="preserve">网址： </w:t>
      </w:r>
      <w:r>
        <w:rPr>
          <w:sz w:val="21"/>
          <w:szCs w:val="21"/>
        </w:rPr>
        <w:t>www.5ifund.com</w:t>
      </w:r>
    </w:p>
    <w:p w:rsidR="0007341C" w:rsidRDefault="009A20FB">
      <w:pPr>
        <w:pStyle w:val="HTML"/>
        <w:spacing w:line="360" w:lineRule="auto"/>
        <w:ind w:firstLineChars="200" w:firstLine="420"/>
        <w:jc w:val="both"/>
        <w:rPr>
          <w:sz w:val="21"/>
          <w:szCs w:val="21"/>
        </w:rPr>
      </w:pPr>
      <w:r>
        <w:rPr>
          <w:rFonts w:hint="eastAsia"/>
          <w:sz w:val="21"/>
          <w:szCs w:val="21"/>
        </w:rPr>
        <w:t>2、</w:t>
      </w:r>
      <w:r>
        <w:rPr>
          <w:sz w:val="21"/>
          <w:szCs w:val="21"/>
        </w:rPr>
        <w:t>浦银安盛基金管理有限公司</w:t>
      </w:r>
    </w:p>
    <w:p w:rsidR="0007341C" w:rsidRDefault="009A20FB">
      <w:pPr>
        <w:pStyle w:val="HTML"/>
        <w:spacing w:line="360" w:lineRule="auto"/>
        <w:ind w:firstLineChars="350" w:firstLine="735"/>
        <w:jc w:val="both"/>
        <w:rPr>
          <w:sz w:val="21"/>
          <w:szCs w:val="21"/>
        </w:rPr>
      </w:pPr>
      <w:r>
        <w:rPr>
          <w:sz w:val="21"/>
          <w:szCs w:val="21"/>
        </w:rPr>
        <w:t>客服专线：</w:t>
      </w:r>
      <w:r>
        <w:rPr>
          <w:rFonts w:hint="eastAsia"/>
          <w:sz w:val="21"/>
          <w:szCs w:val="21"/>
        </w:rPr>
        <w:t xml:space="preserve">021-33079999 4008828999 </w:t>
      </w:r>
    </w:p>
    <w:p w:rsidR="0007341C" w:rsidRDefault="009A20FB">
      <w:pPr>
        <w:pStyle w:val="HTML"/>
        <w:spacing w:line="360" w:lineRule="auto"/>
        <w:ind w:firstLineChars="350" w:firstLine="735"/>
        <w:jc w:val="both"/>
        <w:rPr>
          <w:color w:val="auto"/>
          <w:sz w:val="21"/>
          <w:szCs w:val="21"/>
        </w:rPr>
      </w:pPr>
      <w:r>
        <w:rPr>
          <w:sz w:val="21"/>
          <w:szCs w:val="21"/>
        </w:rPr>
        <w:t>网址：</w:t>
      </w:r>
      <w:hyperlink r:id="rId8" w:history="1">
        <w:r>
          <w:rPr>
            <w:rStyle w:val="aa"/>
            <w:rFonts w:hint="eastAsia"/>
            <w:color w:val="auto"/>
            <w:sz w:val="21"/>
            <w:szCs w:val="21"/>
            <w:u w:val="none"/>
          </w:rPr>
          <w:t>www.py-axa.com</w:t>
        </w:r>
      </w:hyperlink>
    </w:p>
    <w:p w:rsidR="0007341C" w:rsidRDefault="0007341C">
      <w:pPr>
        <w:pStyle w:val="HTML"/>
        <w:spacing w:line="360" w:lineRule="auto"/>
        <w:ind w:firstLineChars="200" w:firstLine="420"/>
        <w:jc w:val="both"/>
        <w:rPr>
          <w:sz w:val="21"/>
          <w:szCs w:val="21"/>
          <w:u w:val="single"/>
        </w:rPr>
      </w:pPr>
    </w:p>
    <w:p w:rsidR="0007341C" w:rsidRDefault="009A20FB">
      <w:pPr>
        <w:pStyle w:val="HTML"/>
        <w:spacing w:line="360" w:lineRule="auto"/>
        <w:ind w:firstLineChars="200" w:firstLine="422"/>
        <w:jc w:val="both"/>
        <w:rPr>
          <w:b/>
          <w:sz w:val="21"/>
          <w:szCs w:val="21"/>
        </w:rPr>
      </w:pPr>
      <w:r>
        <w:rPr>
          <w:rFonts w:hint="eastAsia"/>
          <w:b/>
          <w:sz w:val="21"/>
          <w:szCs w:val="21"/>
        </w:rPr>
        <w:t>风险提示：</w:t>
      </w:r>
    </w:p>
    <w:p w:rsidR="0007341C" w:rsidRDefault="009A20FB">
      <w:pPr>
        <w:pStyle w:val="HTML"/>
        <w:spacing w:line="360" w:lineRule="auto"/>
        <w:ind w:firstLineChars="200" w:firstLine="420"/>
        <w:rPr>
          <w:sz w:val="21"/>
          <w:szCs w:val="21"/>
        </w:rPr>
      </w:pPr>
      <w:r>
        <w:rPr>
          <w:rFonts w:hint="eastAsia"/>
          <w:sz w:val="21"/>
          <w:szCs w:val="21"/>
        </w:rPr>
        <w:t>本公司承诺以诚实信用、勤勉尽责的原则管理和运用基金资产，但不保证基金一定盈利，也不保证最低收益。投资者投资于本公司管理的基金时应认真阅读基金的《基金合同》、《招募说明书》等法律文件，注意投资风险并选择适合自己风险承受能力的投资品种进行投资。</w:t>
      </w:r>
    </w:p>
    <w:p w:rsidR="0007341C" w:rsidRDefault="009A20FB">
      <w:pPr>
        <w:pStyle w:val="HTML"/>
        <w:spacing w:line="360" w:lineRule="auto"/>
        <w:ind w:firstLineChars="200" w:firstLine="420"/>
        <w:jc w:val="both"/>
        <w:rPr>
          <w:sz w:val="21"/>
          <w:szCs w:val="21"/>
        </w:rPr>
      </w:pPr>
      <w:r>
        <w:rPr>
          <w:rFonts w:hint="eastAsia"/>
          <w:sz w:val="21"/>
          <w:szCs w:val="21"/>
        </w:rPr>
        <w:t>特此公告。</w:t>
      </w:r>
    </w:p>
    <w:p w:rsidR="0007341C" w:rsidRDefault="0007341C">
      <w:pPr>
        <w:pStyle w:val="HTML"/>
        <w:spacing w:line="360" w:lineRule="auto"/>
        <w:ind w:firstLineChars="200" w:firstLine="420"/>
        <w:jc w:val="both"/>
        <w:rPr>
          <w:sz w:val="21"/>
          <w:szCs w:val="21"/>
        </w:rPr>
      </w:pPr>
    </w:p>
    <w:p w:rsidR="0007341C" w:rsidRDefault="009A20FB">
      <w:pPr>
        <w:pStyle w:val="HTML"/>
        <w:spacing w:line="360" w:lineRule="auto"/>
        <w:ind w:firstLineChars="200" w:firstLine="420"/>
        <w:jc w:val="right"/>
        <w:rPr>
          <w:sz w:val="21"/>
          <w:szCs w:val="21"/>
        </w:rPr>
      </w:pPr>
      <w:r>
        <w:rPr>
          <w:sz w:val="21"/>
          <w:szCs w:val="21"/>
        </w:rPr>
        <w:t xml:space="preserve">    　　浦银安盛基金管理有限公司</w:t>
      </w:r>
    </w:p>
    <w:p w:rsidR="0007341C" w:rsidRDefault="009A20FB">
      <w:pPr>
        <w:pStyle w:val="HTML"/>
        <w:spacing w:line="360" w:lineRule="auto"/>
        <w:ind w:firstLineChars="200" w:firstLine="420"/>
        <w:jc w:val="right"/>
      </w:pPr>
      <w:r>
        <w:rPr>
          <w:sz w:val="21"/>
          <w:szCs w:val="21"/>
        </w:rPr>
        <w:t xml:space="preserve">    　　</w:t>
      </w:r>
      <w:r>
        <w:rPr>
          <w:rFonts w:hint="eastAsia"/>
          <w:sz w:val="21"/>
          <w:szCs w:val="21"/>
        </w:rPr>
        <w:t xml:space="preserve">  2020</w:t>
      </w:r>
      <w:r>
        <w:rPr>
          <w:sz w:val="21"/>
          <w:szCs w:val="21"/>
        </w:rPr>
        <w:t>年</w:t>
      </w:r>
      <w:r>
        <w:rPr>
          <w:rFonts w:hint="eastAsia"/>
          <w:sz w:val="21"/>
          <w:szCs w:val="21"/>
        </w:rPr>
        <w:t>3</w:t>
      </w:r>
      <w:r>
        <w:rPr>
          <w:sz w:val="21"/>
          <w:szCs w:val="21"/>
        </w:rPr>
        <w:t>月</w:t>
      </w:r>
      <w:r>
        <w:rPr>
          <w:rFonts w:hint="eastAsia"/>
          <w:sz w:val="21"/>
          <w:szCs w:val="21"/>
        </w:rPr>
        <w:t>23</w:t>
      </w:r>
      <w:r>
        <w:rPr>
          <w:sz w:val="21"/>
          <w:szCs w:val="21"/>
        </w:rPr>
        <w:t xml:space="preserve">日  </w:t>
      </w:r>
    </w:p>
    <w:sectPr w:rsidR="0007341C" w:rsidSect="00083401">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0CF" w:rsidRDefault="009B50CF">
      <w:r>
        <w:separator/>
      </w:r>
    </w:p>
  </w:endnote>
  <w:endnote w:type="continuationSeparator" w:id="1">
    <w:p w:rsidR="009B50CF" w:rsidRDefault="009B5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charset w:val="00"/>
    <w:family w:val="roman"/>
    <w:pitch w:val="default"/>
    <w:sig w:usb0="00000000" w:usb1="00000000" w:usb2="00000000" w:usb3="00000000" w:csb0="0000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1C" w:rsidRDefault="00083401">
    <w:pPr>
      <w:pStyle w:val="a5"/>
      <w:framePr w:wrap="around" w:vAnchor="text" w:hAnchor="margin" w:xAlign="center" w:y="1"/>
      <w:rPr>
        <w:rStyle w:val="a9"/>
      </w:rPr>
    </w:pPr>
    <w:r>
      <w:rPr>
        <w:rStyle w:val="a9"/>
      </w:rPr>
      <w:fldChar w:fldCharType="begin"/>
    </w:r>
    <w:r w:rsidR="009A20FB">
      <w:rPr>
        <w:rStyle w:val="a9"/>
      </w:rPr>
      <w:instrText xml:space="preserve">PAGE  </w:instrText>
    </w:r>
    <w:r>
      <w:rPr>
        <w:rStyle w:val="a9"/>
      </w:rPr>
      <w:fldChar w:fldCharType="end"/>
    </w:r>
  </w:p>
  <w:p w:rsidR="0007341C" w:rsidRDefault="0007341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41C" w:rsidRDefault="00083401">
    <w:pPr>
      <w:pStyle w:val="a5"/>
      <w:framePr w:wrap="around" w:vAnchor="text" w:hAnchor="margin" w:xAlign="center" w:y="1"/>
      <w:rPr>
        <w:rStyle w:val="a9"/>
      </w:rPr>
    </w:pPr>
    <w:r>
      <w:rPr>
        <w:rStyle w:val="a9"/>
      </w:rPr>
      <w:fldChar w:fldCharType="begin"/>
    </w:r>
    <w:r w:rsidR="009A20FB">
      <w:rPr>
        <w:rStyle w:val="a9"/>
      </w:rPr>
      <w:instrText xml:space="preserve">PAGE  </w:instrText>
    </w:r>
    <w:r>
      <w:rPr>
        <w:rStyle w:val="a9"/>
      </w:rPr>
      <w:fldChar w:fldCharType="separate"/>
    </w:r>
    <w:r w:rsidR="00745A95">
      <w:rPr>
        <w:rStyle w:val="a9"/>
        <w:noProof/>
      </w:rPr>
      <w:t>1</w:t>
    </w:r>
    <w:r>
      <w:rPr>
        <w:rStyle w:val="a9"/>
      </w:rPr>
      <w:fldChar w:fldCharType="end"/>
    </w:r>
  </w:p>
  <w:p w:rsidR="0007341C" w:rsidRDefault="0007341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0CF" w:rsidRDefault="009B50CF">
      <w:r>
        <w:separator/>
      </w:r>
    </w:p>
  </w:footnote>
  <w:footnote w:type="continuationSeparator" w:id="1">
    <w:p w:rsidR="009B50CF" w:rsidRDefault="009B5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17E69"/>
    <w:multiLevelType w:val="multilevel"/>
    <w:tmpl w:val="17C17E69"/>
    <w:lvl w:ilvl="0">
      <w:start w:val="8"/>
      <w:numFmt w:val="decimal"/>
      <w:lvlText w:val="%1）"/>
      <w:lvlJc w:val="left"/>
      <w:pPr>
        <w:ind w:left="885" w:hanging="360"/>
      </w:pPr>
      <w:rPr>
        <w:rFonts w:hint="default"/>
      </w:rPr>
    </w:lvl>
    <w:lvl w:ilvl="1">
      <w:start w:val="1"/>
      <w:numFmt w:val="lowerLetter"/>
      <w:lvlText w:val="%2)"/>
      <w:lvlJc w:val="left"/>
      <w:pPr>
        <w:ind w:left="1365" w:hanging="420"/>
      </w:pPr>
    </w:lvl>
    <w:lvl w:ilvl="2">
      <w:start w:val="1"/>
      <w:numFmt w:val="lowerRoman"/>
      <w:lvlText w:val="%3."/>
      <w:lvlJc w:val="right"/>
      <w:pPr>
        <w:ind w:left="1785" w:hanging="420"/>
      </w:pPr>
    </w:lvl>
    <w:lvl w:ilvl="3">
      <w:start w:val="1"/>
      <w:numFmt w:val="decimal"/>
      <w:lvlText w:val="%4."/>
      <w:lvlJc w:val="left"/>
      <w:pPr>
        <w:ind w:left="2205" w:hanging="420"/>
      </w:pPr>
    </w:lvl>
    <w:lvl w:ilvl="4">
      <w:start w:val="1"/>
      <w:numFmt w:val="lowerLetter"/>
      <w:lvlText w:val="%5)"/>
      <w:lvlJc w:val="left"/>
      <w:pPr>
        <w:ind w:left="2625" w:hanging="420"/>
      </w:pPr>
    </w:lvl>
    <w:lvl w:ilvl="5">
      <w:start w:val="1"/>
      <w:numFmt w:val="lowerRoman"/>
      <w:lvlText w:val="%6."/>
      <w:lvlJc w:val="right"/>
      <w:pPr>
        <w:ind w:left="3045" w:hanging="420"/>
      </w:pPr>
    </w:lvl>
    <w:lvl w:ilvl="6">
      <w:start w:val="1"/>
      <w:numFmt w:val="decimal"/>
      <w:lvlText w:val="%7."/>
      <w:lvlJc w:val="left"/>
      <w:pPr>
        <w:ind w:left="3465" w:hanging="420"/>
      </w:pPr>
    </w:lvl>
    <w:lvl w:ilvl="7">
      <w:start w:val="1"/>
      <w:numFmt w:val="lowerLetter"/>
      <w:lvlText w:val="%8)"/>
      <w:lvlJc w:val="left"/>
      <w:pPr>
        <w:ind w:left="3885" w:hanging="420"/>
      </w:pPr>
    </w:lvl>
    <w:lvl w:ilvl="8">
      <w:start w:val="1"/>
      <w:numFmt w:val="lowerRoman"/>
      <w:lvlText w:val="%9."/>
      <w:lvlJc w:val="right"/>
      <w:pPr>
        <w:ind w:left="430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44A42"/>
    <w:rsid w:val="00011D6B"/>
    <w:rsid w:val="00026CD9"/>
    <w:rsid w:val="00032A16"/>
    <w:rsid w:val="000332B1"/>
    <w:rsid w:val="000400AE"/>
    <w:rsid w:val="00051B9D"/>
    <w:rsid w:val="00055678"/>
    <w:rsid w:val="00062806"/>
    <w:rsid w:val="00072601"/>
    <w:rsid w:val="0007341C"/>
    <w:rsid w:val="00074EB4"/>
    <w:rsid w:val="00076759"/>
    <w:rsid w:val="00083401"/>
    <w:rsid w:val="00084791"/>
    <w:rsid w:val="000931DC"/>
    <w:rsid w:val="00094737"/>
    <w:rsid w:val="00096A6D"/>
    <w:rsid w:val="000A153F"/>
    <w:rsid w:val="000A1FB3"/>
    <w:rsid w:val="000B019E"/>
    <w:rsid w:val="000B27B1"/>
    <w:rsid w:val="000B3264"/>
    <w:rsid w:val="000C18C3"/>
    <w:rsid w:val="000C37A2"/>
    <w:rsid w:val="000D4B73"/>
    <w:rsid w:val="000E5499"/>
    <w:rsid w:val="000F4621"/>
    <w:rsid w:val="000F6BB5"/>
    <w:rsid w:val="001009E7"/>
    <w:rsid w:val="001036AC"/>
    <w:rsid w:val="00115337"/>
    <w:rsid w:val="00120562"/>
    <w:rsid w:val="001214B7"/>
    <w:rsid w:val="0012515E"/>
    <w:rsid w:val="001317CE"/>
    <w:rsid w:val="00131E6D"/>
    <w:rsid w:val="001331DD"/>
    <w:rsid w:val="0014260B"/>
    <w:rsid w:val="00145C29"/>
    <w:rsid w:val="001613F6"/>
    <w:rsid w:val="001616F7"/>
    <w:rsid w:val="00161BC7"/>
    <w:rsid w:val="001677AD"/>
    <w:rsid w:val="001742DE"/>
    <w:rsid w:val="001A13C3"/>
    <w:rsid w:val="001A666F"/>
    <w:rsid w:val="001B39E4"/>
    <w:rsid w:val="001C1C07"/>
    <w:rsid w:val="001D78EE"/>
    <w:rsid w:val="001E468D"/>
    <w:rsid w:val="001E66A2"/>
    <w:rsid w:val="001E67FE"/>
    <w:rsid w:val="001F29BF"/>
    <w:rsid w:val="001F4CEB"/>
    <w:rsid w:val="001F5B8F"/>
    <w:rsid w:val="001F6B34"/>
    <w:rsid w:val="00200DEC"/>
    <w:rsid w:val="002151E5"/>
    <w:rsid w:val="00216C38"/>
    <w:rsid w:val="00226812"/>
    <w:rsid w:val="00227F5F"/>
    <w:rsid w:val="00231CCD"/>
    <w:rsid w:val="00242AA7"/>
    <w:rsid w:val="0024442A"/>
    <w:rsid w:val="00264AA7"/>
    <w:rsid w:val="00264D48"/>
    <w:rsid w:val="002654F1"/>
    <w:rsid w:val="002705A7"/>
    <w:rsid w:val="002806E6"/>
    <w:rsid w:val="0029510A"/>
    <w:rsid w:val="0029605C"/>
    <w:rsid w:val="002A7EFC"/>
    <w:rsid w:val="002B29A9"/>
    <w:rsid w:val="002B29DB"/>
    <w:rsid w:val="002B3F41"/>
    <w:rsid w:val="002C30E6"/>
    <w:rsid w:val="002C55C2"/>
    <w:rsid w:val="002C785E"/>
    <w:rsid w:val="002D5F25"/>
    <w:rsid w:val="002D7E23"/>
    <w:rsid w:val="002E6722"/>
    <w:rsid w:val="002F07F6"/>
    <w:rsid w:val="002F1495"/>
    <w:rsid w:val="002F2D9D"/>
    <w:rsid w:val="002F66B3"/>
    <w:rsid w:val="00301D6D"/>
    <w:rsid w:val="00302801"/>
    <w:rsid w:val="00304D56"/>
    <w:rsid w:val="00305E6C"/>
    <w:rsid w:val="00310129"/>
    <w:rsid w:val="00310414"/>
    <w:rsid w:val="00315BBF"/>
    <w:rsid w:val="0032389B"/>
    <w:rsid w:val="0032440C"/>
    <w:rsid w:val="003245DF"/>
    <w:rsid w:val="003262DF"/>
    <w:rsid w:val="00326C76"/>
    <w:rsid w:val="00340D03"/>
    <w:rsid w:val="00340EA4"/>
    <w:rsid w:val="00346719"/>
    <w:rsid w:val="00347D54"/>
    <w:rsid w:val="0035494A"/>
    <w:rsid w:val="0036138C"/>
    <w:rsid w:val="00361A37"/>
    <w:rsid w:val="00365D1F"/>
    <w:rsid w:val="00365D61"/>
    <w:rsid w:val="00370608"/>
    <w:rsid w:val="00375CBF"/>
    <w:rsid w:val="00383D1A"/>
    <w:rsid w:val="00392F42"/>
    <w:rsid w:val="00393A2F"/>
    <w:rsid w:val="003A06A1"/>
    <w:rsid w:val="003A195D"/>
    <w:rsid w:val="003A2A97"/>
    <w:rsid w:val="003C106E"/>
    <w:rsid w:val="003C2BC6"/>
    <w:rsid w:val="003E1882"/>
    <w:rsid w:val="003F3203"/>
    <w:rsid w:val="003F6115"/>
    <w:rsid w:val="003F78E2"/>
    <w:rsid w:val="003F7A06"/>
    <w:rsid w:val="00407728"/>
    <w:rsid w:val="00412B61"/>
    <w:rsid w:val="004223BA"/>
    <w:rsid w:val="00424F55"/>
    <w:rsid w:val="0043214F"/>
    <w:rsid w:val="004410B0"/>
    <w:rsid w:val="0044385F"/>
    <w:rsid w:val="00463E0E"/>
    <w:rsid w:val="00477763"/>
    <w:rsid w:val="004810DF"/>
    <w:rsid w:val="00482A27"/>
    <w:rsid w:val="00483789"/>
    <w:rsid w:val="00493DB2"/>
    <w:rsid w:val="00496777"/>
    <w:rsid w:val="00496EE7"/>
    <w:rsid w:val="004A1BAE"/>
    <w:rsid w:val="004A41F0"/>
    <w:rsid w:val="004B2E13"/>
    <w:rsid w:val="004B7D64"/>
    <w:rsid w:val="004D4C05"/>
    <w:rsid w:val="004E0BF7"/>
    <w:rsid w:val="004E4A83"/>
    <w:rsid w:val="00507083"/>
    <w:rsid w:val="005262B7"/>
    <w:rsid w:val="00544139"/>
    <w:rsid w:val="00544901"/>
    <w:rsid w:val="00576193"/>
    <w:rsid w:val="00593E6C"/>
    <w:rsid w:val="005A1B20"/>
    <w:rsid w:val="005A480F"/>
    <w:rsid w:val="005B0287"/>
    <w:rsid w:val="005B18A9"/>
    <w:rsid w:val="005B24CA"/>
    <w:rsid w:val="005C7781"/>
    <w:rsid w:val="005D74A4"/>
    <w:rsid w:val="005D7D96"/>
    <w:rsid w:val="005E42F8"/>
    <w:rsid w:val="005F49EC"/>
    <w:rsid w:val="00600038"/>
    <w:rsid w:val="006001C6"/>
    <w:rsid w:val="00606960"/>
    <w:rsid w:val="00610C16"/>
    <w:rsid w:val="00616068"/>
    <w:rsid w:val="0063147A"/>
    <w:rsid w:val="00644744"/>
    <w:rsid w:val="00651C53"/>
    <w:rsid w:val="00665330"/>
    <w:rsid w:val="00667F33"/>
    <w:rsid w:val="00684824"/>
    <w:rsid w:val="0068499F"/>
    <w:rsid w:val="006A39ED"/>
    <w:rsid w:val="006D2250"/>
    <w:rsid w:val="006D2B1D"/>
    <w:rsid w:val="006D381B"/>
    <w:rsid w:val="006E37B6"/>
    <w:rsid w:val="006E7E6E"/>
    <w:rsid w:val="006F6C1B"/>
    <w:rsid w:val="00705A29"/>
    <w:rsid w:val="0070669D"/>
    <w:rsid w:val="00727287"/>
    <w:rsid w:val="0073028C"/>
    <w:rsid w:val="00742BC9"/>
    <w:rsid w:val="00745A95"/>
    <w:rsid w:val="00757344"/>
    <w:rsid w:val="00760504"/>
    <w:rsid w:val="00762A61"/>
    <w:rsid w:val="00762C12"/>
    <w:rsid w:val="00764E55"/>
    <w:rsid w:val="00773882"/>
    <w:rsid w:val="007814D3"/>
    <w:rsid w:val="00797CE1"/>
    <w:rsid w:val="007B3D70"/>
    <w:rsid w:val="007B4DF6"/>
    <w:rsid w:val="007C16EB"/>
    <w:rsid w:val="007C32A8"/>
    <w:rsid w:val="007C799F"/>
    <w:rsid w:val="007C7AFE"/>
    <w:rsid w:val="007D26A9"/>
    <w:rsid w:val="007E3BC2"/>
    <w:rsid w:val="007E62CB"/>
    <w:rsid w:val="007F16C4"/>
    <w:rsid w:val="007F6C72"/>
    <w:rsid w:val="008033A9"/>
    <w:rsid w:val="0080398C"/>
    <w:rsid w:val="008068B8"/>
    <w:rsid w:val="0082684C"/>
    <w:rsid w:val="0084314D"/>
    <w:rsid w:val="00850B72"/>
    <w:rsid w:val="00854F86"/>
    <w:rsid w:val="00856E29"/>
    <w:rsid w:val="00871CE6"/>
    <w:rsid w:val="00874F93"/>
    <w:rsid w:val="00876427"/>
    <w:rsid w:val="00877F36"/>
    <w:rsid w:val="0089037D"/>
    <w:rsid w:val="00896813"/>
    <w:rsid w:val="0089681A"/>
    <w:rsid w:val="008A111B"/>
    <w:rsid w:val="008A2C27"/>
    <w:rsid w:val="008B0DF2"/>
    <w:rsid w:val="008B5F66"/>
    <w:rsid w:val="008C1608"/>
    <w:rsid w:val="008C50D3"/>
    <w:rsid w:val="008D42E9"/>
    <w:rsid w:val="008D4F05"/>
    <w:rsid w:val="008E4345"/>
    <w:rsid w:val="008E6892"/>
    <w:rsid w:val="008F550D"/>
    <w:rsid w:val="00901D54"/>
    <w:rsid w:val="0090482E"/>
    <w:rsid w:val="00906F00"/>
    <w:rsid w:val="0092076B"/>
    <w:rsid w:val="00923FD2"/>
    <w:rsid w:val="00941343"/>
    <w:rsid w:val="00941787"/>
    <w:rsid w:val="00944B65"/>
    <w:rsid w:val="0095205E"/>
    <w:rsid w:val="009535C6"/>
    <w:rsid w:val="00960D3D"/>
    <w:rsid w:val="0096526A"/>
    <w:rsid w:val="0096584A"/>
    <w:rsid w:val="0097750F"/>
    <w:rsid w:val="00977C9B"/>
    <w:rsid w:val="0098177C"/>
    <w:rsid w:val="0098194A"/>
    <w:rsid w:val="0098275B"/>
    <w:rsid w:val="00984550"/>
    <w:rsid w:val="0098560E"/>
    <w:rsid w:val="00986B4A"/>
    <w:rsid w:val="00991C46"/>
    <w:rsid w:val="00996720"/>
    <w:rsid w:val="009A20FB"/>
    <w:rsid w:val="009A5160"/>
    <w:rsid w:val="009A61D0"/>
    <w:rsid w:val="009B0B93"/>
    <w:rsid w:val="009B3D01"/>
    <w:rsid w:val="009B46C7"/>
    <w:rsid w:val="009B50CF"/>
    <w:rsid w:val="009B7361"/>
    <w:rsid w:val="009C67D8"/>
    <w:rsid w:val="009D0A7C"/>
    <w:rsid w:val="009D6552"/>
    <w:rsid w:val="009D6E9E"/>
    <w:rsid w:val="009D794A"/>
    <w:rsid w:val="009E0621"/>
    <w:rsid w:val="009F174D"/>
    <w:rsid w:val="00A05D70"/>
    <w:rsid w:val="00A07C81"/>
    <w:rsid w:val="00A15347"/>
    <w:rsid w:val="00A31DD6"/>
    <w:rsid w:val="00A41129"/>
    <w:rsid w:val="00A41DC5"/>
    <w:rsid w:val="00A54C08"/>
    <w:rsid w:val="00A62F12"/>
    <w:rsid w:val="00A72DD9"/>
    <w:rsid w:val="00A73F29"/>
    <w:rsid w:val="00A74A91"/>
    <w:rsid w:val="00A80D57"/>
    <w:rsid w:val="00A8234A"/>
    <w:rsid w:val="00A95B2A"/>
    <w:rsid w:val="00AA107B"/>
    <w:rsid w:val="00AA12EF"/>
    <w:rsid w:val="00AA6484"/>
    <w:rsid w:val="00AC164F"/>
    <w:rsid w:val="00AC1BEC"/>
    <w:rsid w:val="00AC4306"/>
    <w:rsid w:val="00AC5262"/>
    <w:rsid w:val="00AC7E69"/>
    <w:rsid w:val="00AD28E3"/>
    <w:rsid w:val="00AD7A5C"/>
    <w:rsid w:val="00AF1E27"/>
    <w:rsid w:val="00B129C0"/>
    <w:rsid w:val="00B2065D"/>
    <w:rsid w:val="00B22146"/>
    <w:rsid w:val="00B270B6"/>
    <w:rsid w:val="00B30430"/>
    <w:rsid w:val="00B30D1D"/>
    <w:rsid w:val="00B3116F"/>
    <w:rsid w:val="00B421B2"/>
    <w:rsid w:val="00B44089"/>
    <w:rsid w:val="00B6662E"/>
    <w:rsid w:val="00B715B7"/>
    <w:rsid w:val="00B7733A"/>
    <w:rsid w:val="00B84AC1"/>
    <w:rsid w:val="00B857BC"/>
    <w:rsid w:val="00B877D7"/>
    <w:rsid w:val="00BB2927"/>
    <w:rsid w:val="00BB7854"/>
    <w:rsid w:val="00BC59A3"/>
    <w:rsid w:val="00BE641D"/>
    <w:rsid w:val="00BF614D"/>
    <w:rsid w:val="00C07481"/>
    <w:rsid w:val="00C130C9"/>
    <w:rsid w:val="00C20440"/>
    <w:rsid w:val="00C25B05"/>
    <w:rsid w:val="00C342DF"/>
    <w:rsid w:val="00C410AE"/>
    <w:rsid w:val="00C41522"/>
    <w:rsid w:val="00C43B7A"/>
    <w:rsid w:val="00C44A42"/>
    <w:rsid w:val="00C453B1"/>
    <w:rsid w:val="00C6028F"/>
    <w:rsid w:val="00C608B4"/>
    <w:rsid w:val="00C674CC"/>
    <w:rsid w:val="00C81B1C"/>
    <w:rsid w:val="00C8368A"/>
    <w:rsid w:val="00CA34ED"/>
    <w:rsid w:val="00CA350F"/>
    <w:rsid w:val="00CA434A"/>
    <w:rsid w:val="00CA4375"/>
    <w:rsid w:val="00CB0815"/>
    <w:rsid w:val="00CB6425"/>
    <w:rsid w:val="00CC0517"/>
    <w:rsid w:val="00CD5C06"/>
    <w:rsid w:val="00CD681C"/>
    <w:rsid w:val="00CE31D8"/>
    <w:rsid w:val="00CF1189"/>
    <w:rsid w:val="00CF2E03"/>
    <w:rsid w:val="00CF5E50"/>
    <w:rsid w:val="00CF5FC7"/>
    <w:rsid w:val="00CF7B43"/>
    <w:rsid w:val="00D025E6"/>
    <w:rsid w:val="00D055D0"/>
    <w:rsid w:val="00D057E8"/>
    <w:rsid w:val="00D12197"/>
    <w:rsid w:val="00D124D3"/>
    <w:rsid w:val="00D17462"/>
    <w:rsid w:val="00D31571"/>
    <w:rsid w:val="00D41266"/>
    <w:rsid w:val="00D44733"/>
    <w:rsid w:val="00D56E1E"/>
    <w:rsid w:val="00D62F24"/>
    <w:rsid w:val="00D64D8F"/>
    <w:rsid w:val="00D658F2"/>
    <w:rsid w:val="00D703C0"/>
    <w:rsid w:val="00D70D94"/>
    <w:rsid w:val="00D764D8"/>
    <w:rsid w:val="00D768B2"/>
    <w:rsid w:val="00D8412E"/>
    <w:rsid w:val="00D84D45"/>
    <w:rsid w:val="00D9014C"/>
    <w:rsid w:val="00DA6F46"/>
    <w:rsid w:val="00DB2EDF"/>
    <w:rsid w:val="00DB39EC"/>
    <w:rsid w:val="00DB422A"/>
    <w:rsid w:val="00DD1B2A"/>
    <w:rsid w:val="00DE4625"/>
    <w:rsid w:val="00DE6FBB"/>
    <w:rsid w:val="00DF5C9F"/>
    <w:rsid w:val="00E0104C"/>
    <w:rsid w:val="00E02B6C"/>
    <w:rsid w:val="00E056A1"/>
    <w:rsid w:val="00E11CCA"/>
    <w:rsid w:val="00E21F4D"/>
    <w:rsid w:val="00E223E2"/>
    <w:rsid w:val="00E23064"/>
    <w:rsid w:val="00E23260"/>
    <w:rsid w:val="00E2386E"/>
    <w:rsid w:val="00E2679E"/>
    <w:rsid w:val="00E27EDE"/>
    <w:rsid w:val="00E44FB0"/>
    <w:rsid w:val="00E47FEF"/>
    <w:rsid w:val="00E67291"/>
    <w:rsid w:val="00E72707"/>
    <w:rsid w:val="00E90F7D"/>
    <w:rsid w:val="00EA2479"/>
    <w:rsid w:val="00EA5BC7"/>
    <w:rsid w:val="00EC37D7"/>
    <w:rsid w:val="00EC57B7"/>
    <w:rsid w:val="00ED7513"/>
    <w:rsid w:val="00EE0FD2"/>
    <w:rsid w:val="00EE3656"/>
    <w:rsid w:val="00EF4852"/>
    <w:rsid w:val="00EF5B1F"/>
    <w:rsid w:val="00EF5B59"/>
    <w:rsid w:val="00F04CA5"/>
    <w:rsid w:val="00F22239"/>
    <w:rsid w:val="00F2435A"/>
    <w:rsid w:val="00F26455"/>
    <w:rsid w:val="00F335A1"/>
    <w:rsid w:val="00F36E72"/>
    <w:rsid w:val="00F47AC1"/>
    <w:rsid w:val="00F5087E"/>
    <w:rsid w:val="00F70683"/>
    <w:rsid w:val="00F74995"/>
    <w:rsid w:val="00F87192"/>
    <w:rsid w:val="00F9364E"/>
    <w:rsid w:val="00F95D8F"/>
    <w:rsid w:val="00FA001A"/>
    <w:rsid w:val="00FA441E"/>
    <w:rsid w:val="00FA4734"/>
    <w:rsid w:val="00FA4822"/>
    <w:rsid w:val="00FB0B62"/>
    <w:rsid w:val="00FC175B"/>
    <w:rsid w:val="00FC1FB9"/>
    <w:rsid w:val="00FC469F"/>
    <w:rsid w:val="00FC6BDD"/>
    <w:rsid w:val="00FC769F"/>
    <w:rsid w:val="00FD1C23"/>
    <w:rsid w:val="00FD2E12"/>
    <w:rsid w:val="00FE1E56"/>
    <w:rsid w:val="00FF3C96"/>
    <w:rsid w:val="00FF558E"/>
    <w:rsid w:val="433A5F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0" w:qFormat="1"/>
    <w:lsdException w:name="header" w:semiHidden="0" w:unhideWhenUsed="0"/>
    <w:lsdException w:name="footer" w:semiHidden="0" w:unhideWhenUsed="0"/>
    <w:lsdException w:name="caption" w:qFormat="1"/>
    <w:lsdException w:name="footnote reference" w:semiHidden="0" w:unhideWhenUsed="0"/>
    <w:lsdException w:name="annotation reference" w:unhideWhenUsed="0"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HTML Preformatted" w:semiHidden="0" w:unhideWhenUsed="0"/>
    <w:lsdException w:name="Normal Table" w:uiPriority="99"/>
    <w:lsdException w:name="annotation subject" w:unhideWhenUsed="0"/>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40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083401"/>
    <w:pPr>
      <w:jc w:val="left"/>
    </w:pPr>
  </w:style>
  <w:style w:type="paragraph" w:styleId="a4">
    <w:name w:val="Balloon Text"/>
    <w:basedOn w:val="a"/>
    <w:semiHidden/>
    <w:rsid w:val="00083401"/>
    <w:rPr>
      <w:sz w:val="18"/>
      <w:szCs w:val="18"/>
    </w:rPr>
  </w:style>
  <w:style w:type="paragraph" w:styleId="a5">
    <w:name w:val="footer"/>
    <w:basedOn w:val="a"/>
    <w:rsid w:val="00083401"/>
    <w:pPr>
      <w:tabs>
        <w:tab w:val="center" w:pos="4153"/>
        <w:tab w:val="right" w:pos="8306"/>
      </w:tabs>
      <w:snapToGrid w:val="0"/>
      <w:jc w:val="left"/>
    </w:pPr>
    <w:rPr>
      <w:sz w:val="18"/>
      <w:szCs w:val="18"/>
    </w:rPr>
  </w:style>
  <w:style w:type="paragraph" w:styleId="a6">
    <w:name w:val="header"/>
    <w:basedOn w:val="a"/>
    <w:link w:val="Char"/>
    <w:rsid w:val="0008340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0834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sz w:val="24"/>
    </w:rPr>
  </w:style>
  <w:style w:type="paragraph" w:styleId="a7">
    <w:name w:val="annotation subject"/>
    <w:basedOn w:val="a3"/>
    <w:next w:val="a3"/>
    <w:semiHidden/>
    <w:rsid w:val="00083401"/>
    <w:rPr>
      <w:b/>
      <w:bCs/>
    </w:rPr>
  </w:style>
  <w:style w:type="table" w:styleId="a8">
    <w:name w:val="Table Grid"/>
    <w:basedOn w:val="a1"/>
    <w:qFormat/>
    <w:rsid w:val="0008340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rsid w:val="00083401"/>
  </w:style>
  <w:style w:type="character" w:styleId="aa">
    <w:name w:val="Hyperlink"/>
    <w:basedOn w:val="a0"/>
    <w:rsid w:val="00083401"/>
    <w:rPr>
      <w:color w:val="0000FF"/>
      <w:u w:val="single"/>
    </w:rPr>
  </w:style>
  <w:style w:type="character" w:styleId="ab">
    <w:name w:val="annotation reference"/>
    <w:basedOn w:val="a0"/>
    <w:semiHidden/>
    <w:qFormat/>
    <w:rsid w:val="00083401"/>
    <w:rPr>
      <w:sz w:val="21"/>
      <w:szCs w:val="21"/>
    </w:rPr>
  </w:style>
  <w:style w:type="character" w:styleId="ac">
    <w:name w:val="footnote reference"/>
    <w:basedOn w:val="a0"/>
    <w:rsid w:val="00083401"/>
    <w:rPr>
      <w:vertAlign w:val="superscript"/>
    </w:rPr>
  </w:style>
  <w:style w:type="paragraph" w:customStyle="1" w:styleId="Default">
    <w:name w:val="Default"/>
    <w:rsid w:val="00083401"/>
    <w:pPr>
      <w:widowControl w:val="0"/>
      <w:autoSpaceDE w:val="0"/>
      <w:autoSpaceDN w:val="0"/>
      <w:adjustRightInd w:val="0"/>
    </w:pPr>
    <w:rPr>
      <w:rFonts w:ascii="宋体" w:cs="宋体"/>
      <w:color w:val="000000"/>
      <w:sz w:val="24"/>
      <w:szCs w:val="24"/>
    </w:rPr>
  </w:style>
  <w:style w:type="character" w:customStyle="1" w:styleId="Char">
    <w:name w:val="页眉 Char"/>
    <w:basedOn w:val="a0"/>
    <w:link w:val="a6"/>
    <w:rsid w:val="00083401"/>
    <w:rPr>
      <w:kern w:val="2"/>
      <w:sz w:val="18"/>
      <w:szCs w:val="18"/>
    </w:rPr>
  </w:style>
  <w:style w:type="character" w:customStyle="1" w:styleId="txtcontent11">
    <w:name w:val="txtcontent11"/>
    <w:basedOn w:val="a0"/>
    <w:qFormat/>
    <w:rsid w:val="00083401"/>
    <w:rPr>
      <w:rFonts w:ascii="ˎ̥" w:hAnsi="ˎ̥" w:hint="default"/>
      <w:color w:val="000000"/>
      <w:sz w:val="21"/>
      <w:szCs w:val="21"/>
    </w:rPr>
  </w:style>
  <w:style w:type="paragraph" w:customStyle="1" w:styleId="CharCharCharCharCharCharChar">
    <w:name w:val="Char Char Char Char Char Char Char"/>
    <w:basedOn w:val="a"/>
    <w:rsid w:val="00083401"/>
  </w:style>
  <w:style w:type="character" w:customStyle="1" w:styleId="HTMLChar">
    <w:name w:val="HTML 预设格式 Char"/>
    <w:basedOn w:val="a0"/>
    <w:link w:val="HTML"/>
    <w:rsid w:val="00083401"/>
    <w:rPr>
      <w:rFonts w:ascii="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y-ax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4934</Characters>
  <Application>Microsoft Office Word</Application>
  <DocSecurity>4</DocSecurity>
  <Lines>41</Lines>
  <Paragraphs>11</Paragraphs>
  <ScaleCrop>false</ScaleCrop>
  <Company>py-axa</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zhumy</dc:creator>
  <cp:lastModifiedBy>JonMMx 2000</cp:lastModifiedBy>
  <cp:revision>2</cp:revision>
  <cp:lastPrinted>2018-04-16T06:59:00Z</cp:lastPrinted>
  <dcterms:created xsi:type="dcterms:W3CDTF">2020-03-22T16:02:00Z</dcterms:created>
  <dcterms:modified xsi:type="dcterms:W3CDTF">2020-03-22T16:02:00Z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