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1E" w:rsidRPr="000541E5" w:rsidRDefault="00D55A1E" w:rsidP="00AE1CDA">
      <w:pPr>
        <w:autoSpaceDE w:val="0"/>
        <w:autoSpaceDN w:val="0"/>
        <w:adjustRightInd w:val="0"/>
        <w:snapToGrid w:val="0"/>
        <w:jc w:val="center"/>
        <w:rPr>
          <w:rFonts w:ascii="宋体" w:eastAsia="宋体" w:hAnsi="宋体" w:cs="HiddenHorzOCR"/>
          <w:b/>
          <w:color w:val="2A2F33"/>
          <w:kern w:val="0"/>
          <w:sz w:val="28"/>
          <w:szCs w:val="28"/>
        </w:rPr>
      </w:pPr>
      <w:r w:rsidRPr="000541E5">
        <w:rPr>
          <w:rFonts w:ascii="宋体" w:eastAsia="宋体" w:hAnsi="宋体" w:cs="宋体" w:hint="eastAsia"/>
          <w:b/>
          <w:color w:val="2A2F33"/>
          <w:kern w:val="0"/>
          <w:sz w:val="28"/>
          <w:szCs w:val="28"/>
        </w:rPr>
        <w:t>兴业</w:t>
      </w:r>
      <w:r w:rsidRPr="000541E5">
        <w:rPr>
          <w:rFonts w:ascii="宋体" w:eastAsia="宋体" w:hAnsi="宋体" w:cs="MS Mincho" w:hint="eastAsia"/>
          <w:b/>
          <w:color w:val="2A2F33"/>
          <w:kern w:val="0"/>
          <w:sz w:val="28"/>
          <w:szCs w:val="28"/>
        </w:rPr>
        <w:t>基金管理有限公司</w:t>
      </w:r>
      <w:r w:rsidRPr="000541E5">
        <w:rPr>
          <w:rFonts w:ascii="宋体" w:eastAsia="宋体" w:hAnsi="宋体" w:cs="宋体" w:hint="eastAsia"/>
          <w:b/>
          <w:color w:val="2A2F33"/>
          <w:kern w:val="0"/>
          <w:sz w:val="28"/>
          <w:szCs w:val="28"/>
        </w:rPr>
        <w:t>关</w:t>
      </w:r>
      <w:r w:rsidRPr="000541E5">
        <w:rPr>
          <w:rFonts w:ascii="宋体" w:eastAsia="宋体" w:hAnsi="宋体" w:cs="MS Mincho" w:hint="eastAsia"/>
          <w:b/>
          <w:color w:val="2A2F33"/>
          <w:kern w:val="0"/>
          <w:sz w:val="28"/>
          <w:szCs w:val="28"/>
        </w:rPr>
        <w:t>于旗下基金</w:t>
      </w:r>
      <w:r w:rsidRPr="000541E5">
        <w:rPr>
          <w:rFonts w:ascii="宋体" w:eastAsia="宋体" w:hAnsi="宋体" w:cs="宋体" w:hint="eastAsia"/>
          <w:b/>
          <w:color w:val="2A2F33"/>
          <w:kern w:val="0"/>
          <w:sz w:val="28"/>
          <w:szCs w:val="28"/>
        </w:rPr>
        <w:t>调</w:t>
      </w:r>
      <w:r w:rsidRPr="000541E5">
        <w:rPr>
          <w:rFonts w:ascii="宋体" w:eastAsia="宋体" w:hAnsi="宋体" w:cs="MS Mincho" w:hint="eastAsia"/>
          <w:b/>
          <w:color w:val="2A2F33"/>
          <w:kern w:val="0"/>
          <w:sz w:val="28"/>
          <w:szCs w:val="28"/>
        </w:rPr>
        <w:t>整停牌股票估</w:t>
      </w:r>
      <w:r w:rsidRPr="000541E5">
        <w:rPr>
          <w:rFonts w:ascii="宋体" w:eastAsia="宋体" w:hAnsi="宋体" w:cs="宋体" w:hint="eastAsia"/>
          <w:b/>
          <w:color w:val="2A2F33"/>
          <w:kern w:val="0"/>
          <w:sz w:val="28"/>
          <w:szCs w:val="28"/>
        </w:rPr>
        <w:t>值</w:t>
      </w:r>
      <w:r w:rsidRPr="000541E5">
        <w:rPr>
          <w:rFonts w:ascii="宋体" w:eastAsia="宋体" w:hAnsi="宋体" w:cs="MS Mincho" w:hint="eastAsia"/>
          <w:b/>
          <w:color w:val="2A2F33"/>
          <w:kern w:val="0"/>
          <w:sz w:val="28"/>
          <w:szCs w:val="28"/>
        </w:rPr>
        <w:t>方法的公告</w:t>
      </w:r>
    </w:p>
    <w:p w:rsidR="00D55A1E" w:rsidRDefault="00D55A1E" w:rsidP="00AE1CDA">
      <w:pPr>
        <w:autoSpaceDE w:val="0"/>
        <w:autoSpaceDN w:val="0"/>
        <w:adjustRightInd w:val="0"/>
        <w:snapToGrid w:val="0"/>
        <w:jc w:val="left"/>
        <w:rPr>
          <w:rFonts w:ascii="宋体" w:eastAsia="宋体" w:hAnsi="宋体" w:cs="HiddenHorzOCR"/>
          <w:color w:val="2A2F33"/>
          <w:kern w:val="0"/>
          <w:sz w:val="24"/>
          <w:szCs w:val="24"/>
        </w:rPr>
      </w:pPr>
    </w:p>
    <w:p w:rsidR="00D55A1E" w:rsidRDefault="00D55A1E" w:rsidP="006B0F90">
      <w:pPr>
        <w:autoSpaceDE w:val="0"/>
        <w:autoSpaceDN w:val="0"/>
        <w:adjustRightInd w:val="0"/>
        <w:snapToGrid w:val="0"/>
        <w:ind w:firstLineChars="200" w:firstLine="480"/>
        <w:jc w:val="left"/>
        <w:rPr>
          <w:rFonts w:ascii="宋体" w:eastAsia="宋体" w:hAnsi="宋体" w:cs="HiddenHorzOCR"/>
          <w:color w:val="495055"/>
          <w:kern w:val="0"/>
          <w:sz w:val="24"/>
          <w:szCs w:val="24"/>
        </w:rPr>
      </w:pP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根据中国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证监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会《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关</w:t>
      </w:r>
      <w:r w:rsidR="00AE1CDA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于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证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券投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资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基金估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值业务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的指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导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意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见</w:t>
      </w:r>
      <w:r w:rsidRPr="00D55A1E">
        <w:rPr>
          <w:rFonts w:ascii="宋体" w:eastAsia="宋体" w:hAnsi="宋体" w:cs="HiddenHorzOCR" w:hint="eastAsia"/>
          <w:color w:val="495055"/>
          <w:kern w:val="0"/>
          <w:sz w:val="24"/>
          <w:szCs w:val="24"/>
        </w:rPr>
        <w:t>》（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证监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会公告</w:t>
      </w:r>
      <w:r w:rsidR="008F1854">
        <w:rPr>
          <w:rFonts w:ascii="宋体" w:eastAsia="宋体" w:hAnsi="宋体" w:cs="Times New Roman"/>
          <w:color w:val="2A2F33"/>
          <w:kern w:val="0"/>
          <w:sz w:val="24"/>
          <w:szCs w:val="24"/>
        </w:rPr>
        <w:t>[2017]</w:t>
      </w:r>
      <w:r w:rsidR="008F1854">
        <w:rPr>
          <w:rFonts w:ascii="宋体" w:eastAsia="宋体" w:hAnsi="宋体" w:cs="HiddenHorzOCR"/>
          <w:color w:val="2A2F33"/>
          <w:kern w:val="0"/>
          <w:sz w:val="24"/>
          <w:szCs w:val="24"/>
        </w:rPr>
        <w:t>13</w:t>
      </w: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号）及中国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证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券投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资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基金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业协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会《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关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于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发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布中基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协</w:t>
      </w:r>
      <w:r w:rsidR="000541E5">
        <w:rPr>
          <w:rFonts w:ascii="宋体" w:eastAsia="宋体" w:hAnsi="宋体" w:cs="HiddenHorzOCR"/>
          <w:color w:val="2A2F33"/>
          <w:kern w:val="0"/>
          <w:sz w:val="24"/>
          <w:szCs w:val="24"/>
        </w:rPr>
        <w:t>（</w:t>
      </w:r>
      <w:r w:rsidR="008F1854">
        <w:rPr>
          <w:rFonts w:ascii="宋体" w:eastAsia="宋体" w:hAnsi="宋体" w:cs="HiddenHorzOCR"/>
          <w:color w:val="2A2F33"/>
          <w:kern w:val="0"/>
          <w:sz w:val="24"/>
          <w:szCs w:val="24"/>
        </w:rPr>
        <w:t>AMAC</w:t>
      </w:r>
      <w:r w:rsidR="000541E5">
        <w:rPr>
          <w:rFonts w:ascii="宋体" w:eastAsia="宋体" w:hAnsi="宋体" w:cs="HiddenHorzOCR"/>
          <w:color w:val="2A2F33"/>
          <w:kern w:val="0"/>
          <w:sz w:val="24"/>
          <w:szCs w:val="24"/>
        </w:rPr>
        <w:t>）</w:t>
      </w: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基金行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业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股票</w:t>
      </w: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估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值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指数的通知</w:t>
      </w:r>
      <w:r w:rsidRPr="00D55A1E">
        <w:rPr>
          <w:rFonts w:ascii="宋体" w:eastAsia="宋体" w:hAnsi="宋体" w:cs="HiddenHorzOCR" w:hint="eastAsia"/>
          <w:color w:val="495055"/>
          <w:kern w:val="0"/>
          <w:sz w:val="24"/>
          <w:szCs w:val="24"/>
        </w:rPr>
        <w:t>》（</w:t>
      </w: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中基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协发</w:t>
      </w:r>
      <w:r w:rsidR="008F1854">
        <w:rPr>
          <w:rFonts w:ascii="宋体" w:eastAsia="宋体" w:hAnsi="宋体" w:cs="HiddenHorzOCR"/>
          <w:color w:val="2A2F33"/>
          <w:kern w:val="0"/>
          <w:sz w:val="24"/>
          <w:szCs w:val="24"/>
        </w:rPr>
        <w:t>[2013]13</w:t>
      </w: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号）的相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关规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定，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经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与基金托管人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协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商一致，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兴业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基金管理有限公司（以下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简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称“本公司</w:t>
      </w:r>
      <w:r w:rsidR="00AE1CDA">
        <w:rPr>
          <w:rFonts w:ascii="宋体" w:eastAsia="宋体" w:hAnsi="宋体" w:cs="HiddenHorzOCR"/>
          <w:color w:val="2A2F33"/>
          <w:kern w:val="0"/>
          <w:sz w:val="24"/>
          <w:szCs w:val="24"/>
        </w:rPr>
        <w:t>”</w:t>
      </w:r>
      <w:r w:rsidRPr="00D55A1E">
        <w:rPr>
          <w:rFonts w:ascii="宋体" w:eastAsia="宋体" w:hAnsi="宋体" w:cs="HiddenHorzOCR"/>
          <w:color w:val="2A2F33"/>
          <w:kern w:val="0"/>
          <w:sz w:val="24"/>
          <w:szCs w:val="24"/>
        </w:rPr>
        <w:t>)</w:t>
      </w: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决定自</w:t>
      </w:r>
      <w:r w:rsidR="008F1854">
        <w:rPr>
          <w:rFonts w:ascii="宋体" w:eastAsia="宋体" w:hAnsi="宋体" w:cs="HiddenHorzOCR"/>
          <w:color w:val="2A2F33"/>
          <w:kern w:val="0"/>
          <w:sz w:val="24"/>
          <w:szCs w:val="24"/>
        </w:rPr>
        <w:t>2020</w:t>
      </w: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年</w:t>
      </w:r>
      <w:r w:rsidR="008F1854">
        <w:rPr>
          <w:rFonts w:ascii="宋体" w:eastAsia="宋体" w:hAnsi="宋体" w:cs="HiddenHorzOCR"/>
          <w:color w:val="2A2F33"/>
          <w:kern w:val="0"/>
          <w:sz w:val="24"/>
          <w:szCs w:val="24"/>
        </w:rPr>
        <w:t>3</w:t>
      </w: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月</w:t>
      </w:r>
      <w:r w:rsidR="008F1854">
        <w:rPr>
          <w:rFonts w:ascii="宋体" w:eastAsia="宋体" w:hAnsi="宋体" w:cs="HiddenHorzOCR"/>
          <w:color w:val="2A2F33"/>
          <w:kern w:val="0"/>
          <w:sz w:val="24"/>
          <w:szCs w:val="24"/>
        </w:rPr>
        <w:t>1</w:t>
      </w:r>
      <w:r w:rsidR="00020A32">
        <w:rPr>
          <w:rFonts w:ascii="宋体" w:eastAsia="宋体" w:hAnsi="宋体" w:cs="HiddenHorzOCR"/>
          <w:color w:val="2A2F33"/>
          <w:kern w:val="0"/>
          <w:sz w:val="24"/>
          <w:szCs w:val="24"/>
        </w:rPr>
        <w:t>8</w:t>
      </w: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日起</w:t>
      </w:r>
      <w:r w:rsidRPr="00D55A1E">
        <w:rPr>
          <w:rFonts w:ascii="宋体" w:eastAsia="宋体" w:hAnsi="宋体" w:cs="HiddenHorzOCR" w:hint="eastAsia"/>
          <w:color w:val="495055"/>
          <w:kern w:val="0"/>
          <w:sz w:val="24"/>
          <w:szCs w:val="24"/>
        </w:rPr>
        <w:t>，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对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旗</w:t>
      </w: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下基金持有的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长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期停牌股票</w:t>
      </w:r>
      <w:r w:rsidR="006B0F90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“</w:t>
      </w:r>
      <w:r w:rsidR="00020A32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东吴证券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（股票代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码</w:t>
      </w:r>
      <w:r w:rsidRPr="00D55A1E">
        <w:rPr>
          <w:rFonts w:ascii="宋体" w:eastAsia="宋体" w:hAnsi="宋体" w:cs="HiddenHorzOCR" w:hint="eastAsia"/>
          <w:color w:val="495055"/>
          <w:kern w:val="0"/>
          <w:sz w:val="24"/>
          <w:szCs w:val="24"/>
        </w:rPr>
        <w:t>：</w:t>
      </w:r>
      <w:r w:rsidR="00020A32">
        <w:rPr>
          <w:rFonts w:ascii="宋体" w:eastAsia="宋体" w:hAnsi="宋体" w:cs="HiddenHorzOCR"/>
          <w:color w:val="2A2F33"/>
          <w:kern w:val="0"/>
          <w:sz w:val="24"/>
          <w:szCs w:val="24"/>
        </w:rPr>
        <w:t>601555</w:t>
      </w:r>
      <w:r w:rsidR="008F1854">
        <w:rPr>
          <w:rFonts w:ascii="宋体" w:eastAsia="宋体" w:hAnsi="宋体" w:cs="HiddenHorzOCR"/>
          <w:color w:val="2A2F33"/>
          <w:kern w:val="0"/>
          <w:sz w:val="24"/>
          <w:szCs w:val="24"/>
        </w:rPr>
        <w:t>)</w:t>
      </w:r>
      <w:r w:rsidR="006B0F90">
        <w:rPr>
          <w:rFonts w:ascii="宋体" w:eastAsia="宋体" w:hAnsi="宋体" w:cs="HiddenHorzOCR"/>
          <w:color w:val="2A2F33"/>
          <w:kern w:val="0"/>
          <w:sz w:val="24"/>
          <w:szCs w:val="24"/>
        </w:rPr>
        <w:t>”</w:t>
      </w: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采用</w:t>
      </w:r>
      <w:r w:rsidR="006B0F90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“</w:t>
      </w: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指数收益法”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进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行估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值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。自上述股票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复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牌且其交</w:t>
      </w: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易体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现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活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跃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市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场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交易特征后，本公司将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综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合参考</w:t>
      </w: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各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项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相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关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影响因素并与基金托管人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协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商，恢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复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采用当日收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盘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价格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进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行估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值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，届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时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不</w:t>
      </w: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再另行公告</w:t>
      </w:r>
      <w:r w:rsidRPr="00D55A1E">
        <w:rPr>
          <w:rFonts w:ascii="宋体" w:eastAsia="宋体" w:hAnsi="宋体" w:cs="HiddenHorzOCR" w:hint="eastAsia"/>
          <w:color w:val="495055"/>
          <w:kern w:val="0"/>
          <w:sz w:val="24"/>
          <w:szCs w:val="24"/>
        </w:rPr>
        <w:t>。</w:t>
      </w:r>
    </w:p>
    <w:p w:rsidR="00D55A1E" w:rsidRPr="00D55A1E" w:rsidRDefault="00D55A1E" w:rsidP="00AE1CDA">
      <w:pPr>
        <w:autoSpaceDE w:val="0"/>
        <w:autoSpaceDN w:val="0"/>
        <w:adjustRightInd w:val="0"/>
        <w:snapToGrid w:val="0"/>
        <w:jc w:val="left"/>
        <w:rPr>
          <w:rFonts w:ascii="宋体" w:eastAsia="宋体" w:hAnsi="宋体" w:cs="HiddenHorzOCR"/>
          <w:color w:val="2A2F33"/>
          <w:kern w:val="0"/>
          <w:sz w:val="24"/>
          <w:szCs w:val="24"/>
        </w:rPr>
      </w:pPr>
    </w:p>
    <w:p w:rsidR="00D55A1E" w:rsidRPr="00D55A1E" w:rsidRDefault="00D55A1E" w:rsidP="00AE1CDA">
      <w:pPr>
        <w:autoSpaceDE w:val="0"/>
        <w:autoSpaceDN w:val="0"/>
        <w:adjustRightInd w:val="0"/>
        <w:snapToGrid w:val="0"/>
        <w:ind w:firstLineChars="200" w:firstLine="480"/>
        <w:jc w:val="left"/>
        <w:rPr>
          <w:rFonts w:ascii="宋体" w:eastAsia="宋体" w:hAnsi="宋体" w:cs="HiddenHorzOCR"/>
          <w:color w:val="2A2F33"/>
          <w:kern w:val="0"/>
          <w:sz w:val="24"/>
          <w:szCs w:val="24"/>
        </w:rPr>
      </w:pP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投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资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者可以登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录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本公司网站：</w:t>
      </w:r>
      <w:hyperlink r:id="rId6" w:history="1">
        <w:r w:rsidR="008F1854" w:rsidRPr="009C2A42">
          <w:rPr>
            <w:rStyle w:val="a3"/>
            <w:rFonts w:ascii="宋体" w:eastAsia="宋体" w:hAnsi="宋体" w:cs="Arial"/>
            <w:kern w:val="0"/>
            <w:sz w:val="24"/>
            <w:szCs w:val="24"/>
          </w:rPr>
          <w:t>www.cib-fund.com.</w:t>
        </w:r>
        <w:r w:rsidR="008F1854" w:rsidRPr="009C2A42">
          <w:rPr>
            <w:rStyle w:val="a3"/>
            <w:rFonts w:ascii="宋体" w:eastAsia="宋体" w:hAnsi="宋体" w:cs="Arial" w:hint="eastAsia"/>
            <w:kern w:val="0"/>
            <w:sz w:val="24"/>
            <w:szCs w:val="24"/>
          </w:rPr>
          <w:t>c</w:t>
        </w:r>
        <w:r w:rsidR="008F1854" w:rsidRPr="009C2A42">
          <w:rPr>
            <w:rStyle w:val="a3"/>
            <w:rFonts w:ascii="宋体" w:eastAsia="宋体" w:hAnsi="宋体" w:cs="Arial"/>
            <w:kern w:val="0"/>
            <w:sz w:val="24"/>
            <w:szCs w:val="24"/>
          </w:rPr>
          <w:t>n</w:t>
        </w:r>
      </w:hyperlink>
      <w:r w:rsidR="008F1854">
        <w:rPr>
          <w:rFonts w:ascii="宋体" w:eastAsia="宋体" w:hAnsi="宋体" w:cs="Arial" w:hint="eastAsia"/>
          <w:color w:val="2A2F33"/>
          <w:kern w:val="0"/>
          <w:sz w:val="24"/>
          <w:szCs w:val="24"/>
        </w:rPr>
        <w:t>，</w:t>
      </w: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或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拨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打本公司客服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热线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：</w:t>
      </w:r>
      <w:r w:rsidRPr="00D55A1E">
        <w:rPr>
          <w:rFonts w:ascii="宋体" w:eastAsia="宋体" w:hAnsi="宋体" w:cs="Times New Roman"/>
          <w:color w:val="393E42"/>
          <w:kern w:val="0"/>
          <w:sz w:val="24"/>
          <w:szCs w:val="24"/>
        </w:rPr>
        <w:t>40000-95561</w:t>
      </w: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咨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询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相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关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情况。</w:t>
      </w:r>
    </w:p>
    <w:p w:rsidR="00D55A1E" w:rsidRDefault="00D55A1E" w:rsidP="00AE1CDA">
      <w:pPr>
        <w:autoSpaceDE w:val="0"/>
        <w:autoSpaceDN w:val="0"/>
        <w:adjustRightInd w:val="0"/>
        <w:snapToGrid w:val="0"/>
        <w:jc w:val="left"/>
        <w:rPr>
          <w:rFonts w:ascii="宋体" w:eastAsia="宋体" w:hAnsi="宋体" w:cs="宋体"/>
          <w:color w:val="2A2F33"/>
          <w:kern w:val="0"/>
          <w:sz w:val="24"/>
          <w:szCs w:val="24"/>
        </w:rPr>
      </w:pPr>
    </w:p>
    <w:p w:rsidR="00D55A1E" w:rsidRDefault="00D55A1E" w:rsidP="00AE1CDA">
      <w:pPr>
        <w:autoSpaceDE w:val="0"/>
        <w:autoSpaceDN w:val="0"/>
        <w:adjustRightInd w:val="0"/>
        <w:snapToGrid w:val="0"/>
        <w:ind w:firstLineChars="200" w:firstLine="480"/>
        <w:jc w:val="left"/>
        <w:rPr>
          <w:rFonts w:ascii="宋体" w:eastAsia="宋体" w:hAnsi="宋体" w:cs="MS Mincho"/>
          <w:color w:val="2A2F33"/>
          <w:kern w:val="0"/>
          <w:sz w:val="24"/>
          <w:szCs w:val="24"/>
        </w:rPr>
      </w:pP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风险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提示：本公司承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诺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以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诚实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信用、勤勉尽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责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的原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则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管理和运用基金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资产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，但</w:t>
      </w: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不保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证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基金一定盈利，也不保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证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最低收益</w:t>
      </w:r>
      <w:r w:rsidRPr="00D55A1E">
        <w:rPr>
          <w:rFonts w:ascii="宋体" w:eastAsia="宋体" w:hAnsi="宋体" w:cs="HiddenHorzOCR" w:hint="eastAsia"/>
          <w:color w:val="495055"/>
          <w:kern w:val="0"/>
          <w:sz w:val="24"/>
          <w:szCs w:val="24"/>
        </w:rPr>
        <w:t>。</w:t>
      </w: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基金的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过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往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业绩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并不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预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示其未来表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现</w:t>
      </w:r>
      <w:r w:rsidRPr="00D55A1E">
        <w:rPr>
          <w:rFonts w:ascii="宋体" w:eastAsia="宋体" w:hAnsi="宋体" w:cs="HiddenHorzOCR" w:hint="eastAsia"/>
          <w:color w:val="495055"/>
          <w:kern w:val="0"/>
          <w:sz w:val="24"/>
          <w:szCs w:val="24"/>
        </w:rPr>
        <w:t>。</w:t>
      </w: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投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资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者投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资</w:t>
      </w:r>
      <w:r w:rsidR="006B0F90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于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本公司管理的基金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时应认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真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阅读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《基金合同</w:t>
      </w:r>
      <w:r w:rsidRPr="00D55A1E">
        <w:rPr>
          <w:rFonts w:ascii="宋体" w:eastAsia="宋体" w:hAnsi="宋体" w:cs="HiddenHorzOCR" w:hint="eastAsia"/>
          <w:color w:val="495055"/>
          <w:kern w:val="0"/>
          <w:sz w:val="24"/>
          <w:szCs w:val="24"/>
        </w:rPr>
        <w:t>》</w:t>
      </w: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、《招募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说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明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书</w:t>
      </w:r>
      <w:r w:rsidRPr="00D55A1E">
        <w:rPr>
          <w:rFonts w:ascii="宋体" w:eastAsia="宋体" w:hAnsi="宋体" w:cs="HiddenHorzOCR" w:hint="eastAsia"/>
          <w:color w:val="495055"/>
          <w:kern w:val="0"/>
          <w:sz w:val="24"/>
          <w:szCs w:val="24"/>
        </w:rPr>
        <w:t>》</w:t>
      </w: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等法律文件</w:t>
      </w:r>
      <w:r w:rsidRPr="00D55A1E">
        <w:rPr>
          <w:rFonts w:ascii="宋体" w:eastAsia="宋体" w:hAnsi="宋体" w:cs="HiddenHorzOCR" w:hint="eastAsia"/>
          <w:color w:val="495055"/>
          <w:kern w:val="0"/>
          <w:sz w:val="24"/>
          <w:szCs w:val="24"/>
        </w:rPr>
        <w:t>，</w:t>
      </w: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并注意投</w:t>
      </w: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资风险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。</w:t>
      </w:r>
    </w:p>
    <w:p w:rsidR="00D55A1E" w:rsidRPr="00D55A1E" w:rsidRDefault="00D55A1E" w:rsidP="00AE1CDA">
      <w:pPr>
        <w:autoSpaceDE w:val="0"/>
        <w:autoSpaceDN w:val="0"/>
        <w:adjustRightInd w:val="0"/>
        <w:snapToGrid w:val="0"/>
        <w:jc w:val="left"/>
        <w:rPr>
          <w:rFonts w:ascii="宋体" w:eastAsia="宋体" w:hAnsi="宋体" w:cs="HiddenHorzOCR"/>
          <w:color w:val="2A2F33"/>
          <w:kern w:val="0"/>
          <w:sz w:val="24"/>
          <w:szCs w:val="24"/>
        </w:rPr>
      </w:pPr>
    </w:p>
    <w:p w:rsidR="00D55A1E" w:rsidRDefault="00D55A1E" w:rsidP="00AE1CDA">
      <w:pPr>
        <w:autoSpaceDE w:val="0"/>
        <w:autoSpaceDN w:val="0"/>
        <w:adjustRightInd w:val="0"/>
        <w:snapToGrid w:val="0"/>
        <w:ind w:firstLineChars="200" w:firstLine="480"/>
        <w:jc w:val="left"/>
        <w:rPr>
          <w:rFonts w:ascii="宋体" w:eastAsia="宋体" w:hAnsi="宋体" w:cs="HiddenHorzOCR"/>
          <w:color w:val="495055"/>
          <w:kern w:val="0"/>
          <w:sz w:val="24"/>
          <w:szCs w:val="24"/>
        </w:rPr>
      </w:pP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特此公告</w:t>
      </w:r>
      <w:r w:rsidRPr="00D55A1E">
        <w:rPr>
          <w:rFonts w:ascii="宋体" w:eastAsia="宋体" w:hAnsi="宋体" w:cs="HiddenHorzOCR" w:hint="eastAsia"/>
          <w:color w:val="495055"/>
          <w:kern w:val="0"/>
          <w:sz w:val="24"/>
          <w:szCs w:val="24"/>
        </w:rPr>
        <w:t>。</w:t>
      </w:r>
    </w:p>
    <w:p w:rsidR="00D55A1E" w:rsidRPr="00D55A1E" w:rsidRDefault="00D55A1E" w:rsidP="00AE1CDA">
      <w:pPr>
        <w:autoSpaceDE w:val="0"/>
        <w:autoSpaceDN w:val="0"/>
        <w:adjustRightInd w:val="0"/>
        <w:snapToGrid w:val="0"/>
        <w:jc w:val="right"/>
        <w:rPr>
          <w:rFonts w:ascii="宋体" w:eastAsia="宋体" w:hAnsi="宋体" w:cs="HiddenHorzOCR"/>
          <w:color w:val="495055"/>
          <w:kern w:val="0"/>
          <w:sz w:val="24"/>
          <w:szCs w:val="24"/>
        </w:rPr>
      </w:pPr>
    </w:p>
    <w:p w:rsidR="00D55A1E" w:rsidRPr="00D55A1E" w:rsidRDefault="00D55A1E" w:rsidP="00AE1CDA">
      <w:pPr>
        <w:autoSpaceDE w:val="0"/>
        <w:autoSpaceDN w:val="0"/>
        <w:adjustRightInd w:val="0"/>
        <w:snapToGrid w:val="0"/>
        <w:jc w:val="right"/>
        <w:rPr>
          <w:rFonts w:ascii="宋体" w:eastAsia="宋体" w:hAnsi="宋体" w:cs="HiddenHorzOCR"/>
          <w:color w:val="2A2F33"/>
          <w:kern w:val="0"/>
          <w:sz w:val="24"/>
          <w:szCs w:val="24"/>
        </w:rPr>
      </w:pPr>
      <w:r w:rsidRPr="00D55A1E">
        <w:rPr>
          <w:rFonts w:ascii="宋体" w:eastAsia="宋体" w:hAnsi="宋体" w:cs="宋体" w:hint="eastAsia"/>
          <w:color w:val="2A2F33"/>
          <w:kern w:val="0"/>
          <w:sz w:val="24"/>
          <w:szCs w:val="24"/>
        </w:rPr>
        <w:t>兴业</w:t>
      </w:r>
      <w:r w:rsidRPr="00D55A1E">
        <w:rPr>
          <w:rFonts w:ascii="宋体" w:eastAsia="宋体" w:hAnsi="宋体" w:cs="MS Mincho" w:hint="eastAsia"/>
          <w:color w:val="2A2F33"/>
          <w:kern w:val="0"/>
          <w:sz w:val="24"/>
          <w:szCs w:val="24"/>
        </w:rPr>
        <w:t>基金管理有限公司</w:t>
      </w:r>
    </w:p>
    <w:p w:rsidR="00530E6F" w:rsidRPr="00D55A1E" w:rsidRDefault="00D55A1E" w:rsidP="00AE1CDA">
      <w:pPr>
        <w:adjustRightInd w:val="0"/>
        <w:snapToGrid w:val="0"/>
        <w:ind w:right="24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HiddenHorzOCR"/>
          <w:color w:val="2A2F33"/>
          <w:kern w:val="0"/>
          <w:sz w:val="24"/>
          <w:szCs w:val="24"/>
        </w:rPr>
        <w:t>2020</w:t>
      </w: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年</w:t>
      </w:r>
      <w:r>
        <w:rPr>
          <w:rFonts w:ascii="宋体" w:eastAsia="宋体" w:hAnsi="宋体" w:cs="HiddenHorzOCR"/>
          <w:color w:val="2A2F33"/>
          <w:kern w:val="0"/>
          <w:sz w:val="24"/>
          <w:szCs w:val="24"/>
        </w:rPr>
        <w:t>3</w:t>
      </w:r>
      <w:r w:rsidRPr="00D55A1E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月</w:t>
      </w:r>
      <w:r w:rsidR="00020A32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20</w:t>
      </w:r>
      <w:r w:rsidR="008F1854">
        <w:rPr>
          <w:rFonts w:ascii="宋体" w:eastAsia="宋体" w:hAnsi="宋体" w:cs="HiddenHorzOCR" w:hint="eastAsia"/>
          <w:color w:val="2A2F33"/>
          <w:kern w:val="0"/>
          <w:sz w:val="24"/>
          <w:szCs w:val="24"/>
        </w:rPr>
        <w:t>日</w:t>
      </w:r>
    </w:p>
    <w:sectPr w:rsidR="00530E6F" w:rsidRPr="00D55A1E" w:rsidSect="00530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F3C" w:rsidRDefault="00D40F3C" w:rsidP="00020A32">
      <w:pPr>
        <w:spacing w:line="240" w:lineRule="auto"/>
      </w:pPr>
      <w:r>
        <w:separator/>
      </w:r>
    </w:p>
  </w:endnote>
  <w:endnote w:type="continuationSeparator" w:id="1">
    <w:p w:rsidR="00D40F3C" w:rsidRDefault="00D40F3C" w:rsidP="00020A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F3C" w:rsidRDefault="00D40F3C" w:rsidP="00020A32">
      <w:pPr>
        <w:spacing w:line="240" w:lineRule="auto"/>
      </w:pPr>
      <w:r>
        <w:separator/>
      </w:r>
    </w:p>
  </w:footnote>
  <w:footnote w:type="continuationSeparator" w:id="1">
    <w:p w:rsidR="00D40F3C" w:rsidRDefault="00D40F3C" w:rsidP="00020A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A1E"/>
    <w:rsid w:val="00020A32"/>
    <w:rsid w:val="000541E5"/>
    <w:rsid w:val="0009099B"/>
    <w:rsid w:val="00314B2D"/>
    <w:rsid w:val="00530E6F"/>
    <w:rsid w:val="006B0F90"/>
    <w:rsid w:val="00714498"/>
    <w:rsid w:val="00733847"/>
    <w:rsid w:val="00771A1D"/>
    <w:rsid w:val="008F1854"/>
    <w:rsid w:val="00AE1CDA"/>
    <w:rsid w:val="00D40F3C"/>
    <w:rsid w:val="00D5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854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020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20A3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20A3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20A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b-fund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4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沈栩</dc:creator>
  <cp:lastModifiedBy>JonMMx 2000</cp:lastModifiedBy>
  <cp:revision>2</cp:revision>
  <dcterms:created xsi:type="dcterms:W3CDTF">2020-03-19T16:01:00Z</dcterms:created>
  <dcterms:modified xsi:type="dcterms:W3CDTF">2020-03-19T16:01:00Z</dcterms:modified>
</cp:coreProperties>
</file>