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93" w:rsidRDefault="00895A93" w:rsidP="00895A93">
      <w:pPr>
        <w:spacing w:line="360" w:lineRule="auto"/>
        <w:jc w:val="center"/>
        <w:rPr>
          <w:rFonts w:ascii="宋体" w:hAnsi="宋体"/>
          <w:b/>
          <w:sz w:val="24"/>
          <w:szCs w:val="24"/>
        </w:rPr>
      </w:pPr>
      <w:r w:rsidRPr="008D36CB">
        <w:rPr>
          <w:rFonts w:ascii="宋体" w:hAnsi="宋体" w:hint="eastAsia"/>
          <w:b/>
          <w:sz w:val="24"/>
          <w:szCs w:val="24"/>
        </w:rPr>
        <w:t>摩根士丹利华鑫基金管理有限公司</w:t>
      </w:r>
      <w:r w:rsidRPr="008D36CB">
        <w:rPr>
          <w:rFonts w:ascii="宋体" w:hAnsi="宋体"/>
          <w:b/>
          <w:sz w:val="24"/>
          <w:szCs w:val="24"/>
        </w:rPr>
        <w:t>关于旗下</w:t>
      </w:r>
      <w:r w:rsidR="00F77363">
        <w:rPr>
          <w:rFonts w:ascii="宋体" w:hAnsi="宋体" w:hint="eastAsia"/>
          <w:b/>
          <w:sz w:val="24"/>
          <w:szCs w:val="24"/>
        </w:rPr>
        <w:t>部分</w:t>
      </w:r>
      <w:r w:rsidRPr="008D36CB">
        <w:rPr>
          <w:rFonts w:ascii="宋体" w:hAnsi="宋体" w:hint="eastAsia"/>
          <w:b/>
          <w:sz w:val="24"/>
          <w:szCs w:val="24"/>
        </w:rPr>
        <w:t>基金</w:t>
      </w:r>
      <w:r w:rsidRPr="008D36CB">
        <w:rPr>
          <w:rFonts w:ascii="宋体" w:hAnsi="宋体"/>
          <w:b/>
          <w:sz w:val="24"/>
          <w:szCs w:val="24"/>
        </w:rPr>
        <w:t>参</w:t>
      </w:r>
      <w:r w:rsidRPr="008D36CB">
        <w:rPr>
          <w:rFonts w:ascii="宋体" w:hAnsi="宋体" w:hint="eastAsia"/>
          <w:b/>
          <w:sz w:val="24"/>
          <w:szCs w:val="24"/>
        </w:rPr>
        <w:t>与</w:t>
      </w:r>
    </w:p>
    <w:p w:rsidR="00895A93" w:rsidRPr="008D36CB" w:rsidRDefault="00F77363" w:rsidP="00895A93">
      <w:pPr>
        <w:spacing w:line="360" w:lineRule="auto"/>
        <w:jc w:val="center"/>
        <w:rPr>
          <w:rFonts w:ascii="宋体" w:hAnsi="宋体"/>
          <w:b/>
          <w:sz w:val="24"/>
          <w:szCs w:val="24"/>
        </w:rPr>
      </w:pPr>
      <w:r w:rsidRPr="00F77363">
        <w:rPr>
          <w:rFonts w:ascii="宋体" w:hAnsi="宋体" w:hint="eastAsia"/>
          <w:b/>
          <w:sz w:val="24"/>
          <w:szCs w:val="24"/>
        </w:rPr>
        <w:t>中国国际期货股份有限公司</w:t>
      </w:r>
      <w:r w:rsidR="00895A93" w:rsidRPr="008D36CB">
        <w:rPr>
          <w:rFonts w:ascii="宋体" w:hAnsi="宋体" w:hint="eastAsia"/>
          <w:b/>
          <w:sz w:val="24"/>
          <w:szCs w:val="24"/>
        </w:rPr>
        <w:t>费率优惠活动的公告</w:t>
      </w:r>
    </w:p>
    <w:p w:rsidR="00895A93" w:rsidRPr="00580CBC" w:rsidRDefault="00895A93" w:rsidP="00111F89">
      <w:pPr>
        <w:spacing w:beforeLines="50" w:line="360" w:lineRule="auto"/>
        <w:ind w:firstLineChars="200" w:firstLine="420"/>
        <w:jc w:val="left"/>
        <w:rPr>
          <w:rFonts w:ascii="Times New Roman" w:hAnsi="Times New Roman"/>
          <w:szCs w:val="21"/>
        </w:rPr>
      </w:pPr>
      <w:r w:rsidRPr="008D36CB">
        <w:rPr>
          <w:rFonts w:ascii="Times New Roman" w:hAnsi="Times New Roman" w:hint="eastAsia"/>
          <w:szCs w:val="21"/>
        </w:rPr>
        <w:t>为满足广大投资者的理财需求，摩根士丹利华鑫</w:t>
      </w:r>
      <w:r w:rsidRPr="008D36CB">
        <w:rPr>
          <w:rFonts w:ascii="Times New Roman" w:hAnsi="Times New Roman"/>
          <w:szCs w:val="21"/>
        </w:rPr>
        <w:t>基金管理有限公司（以下简称</w:t>
      </w:r>
      <w:r w:rsidRPr="008D36CB">
        <w:rPr>
          <w:rFonts w:ascii="Times New Roman" w:hAnsi="Times New Roman" w:hint="eastAsia"/>
          <w:szCs w:val="21"/>
        </w:rPr>
        <w:t>“</w:t>
      </w:r>
      <w:r w:rsidRPr="008D36CB">
        <w:rPr>
          <w:rFonts w:ascii="Times New Roman" w:hAnsi="Times New Roman"/>
          <w:szCs w:val="21"/>
        </w:rPr>
        <w:t>本公司</w:t>
      </w:r>
      <w:r w:rsidRPr="008D36CB">
        <w:rPr>
          <w:rFonts w:ascii="Times New Roman" w:hAnsi="Times New Roman" w:hint="eastAsia"/>
          <w:szCs w:val="21"/>
        </w:rPr>
        <w:t>”</w:t>
      </w:r>
      <w:r w:rsidRPr="008D36CB">
        <w:rPr>
          <w:rFonts w:ascii="Times New Roman" w:hAnsi="Times New Roman"/>
          <w:szCs w:val="21"/>
        </w:rPr>
        <w:t>）</w:t>
      </w:r>
      <w:r>
        <w:rPr>
          <w:rFonts w:ascii="Times New Roman" w:hAnsi="Times New Roman" w:hint="eastAsia"/>
          <w:szCs w:val="21"/>
        </w:rPr>
        <w:t>经与</w:t>
      </w:r>
      <w:r w:rsidR="00F77363" w:rsidRPr="00F77363">
        <w:rPr>
          <w:rFonts w:ascii="Times New Roman" w:hAnsi="Times New Roman" w:hint="eastAsia"/>
          <w:szCs w:val="21"/>
        </w:rPr>
        <w:t>中国国际期货股份有限公司</w:t>
      </w:r>
      <w:r w:rsidRPr="004D4861">
        <w:rPr>
          <w:rFonts w:ascii="Times New Roman" w:hAnsi="Times New Roman" w:hint="eastAsia"/>
          <w:szCs w:val="21"/>
        </w:rPr>
        <w:t>（以下简称“</w:t>
      </w:r>
      <w:r w:rsidR="00F77363">
        <w:rPr>
          <w:rFonts w:ascii="Times New Roman" w:hAnsi="Times New Roman" w:hint="eastAsia"/>
          <w:szCs w:val="21"/>
        </w:rPr>
        <w:t>中国国际期货</w:t>
      </w:r>
      <w:r w:rsidRPr="004D4861">
        <w:rPr>
          <w:rFonts w:ascii="Times New Roman" w:hAnsi="Times New Roman" w:hint="eastAsia"/>
          <w:szCs w:val="21"/>
        </w:rPr>
        <w:t>”）</w:t>
      </w:r>
      <w:r w:rsidRPr="008D36CB">
        <w:rPr>
          <w:rFonts w:ascii="Times New Roman" w:hAnsi="Times New Roman" w:hint="eastAsia"/>
          <w:szCs w:val="21"/>
        </w:rPr>
        <w:t>协商一致，决定</w:t>
      </w:r>
      <w:r w:rsidRPr="00632276">
        <w:rPr>
          <w:rFonts w:ascii="宋体" w:hAnsi="宋体" w:hint="eastAsia"/>
          <w:szCs w:val="21"/>
        </w:rPr>
        <w:t>自</w:t>
      </w:r>
      <w:r w:rsidRPr="00632276">
        <w:rPr>
          <w:rFonts w:ascii="宋体" w:hAnsi="宋体"/>
          <w:szCs w:val="21"/>
        </w:rPr>
        <w:t>2</w:t>
      </w:r>
      <w:r w:rsidR="00F77363">
        <w:rPr>
          <w:rFonts w:ascii="宋体" w:hAnsi="宋体" w:hint="eastAsia"/>
          <w:szCs w:val="21"/>
        </w:rPr>
        <w:t>020</w:t>
      </w:r>
      <w:r w:rsidRPr="00632276">
        <w:rPr>
          <w:rFonts w:ascii="宋体" w:hAnsi="宋体"/>
          <w:szCs w:val="21"/>
        </w:rPr>
        <w:t>年</w:t>
      </w:r>
      <w:r w:rsidR="00F77363">
        <w:rPr>
          <w:rFonts w:ascii="宋体" w:hAnsi="宋体" w:hint="eastAsia"/>
          <w:szCs w:val="21"/>
        </w:rPr>
        <w:t>3</w:t>
      </w:r>
      <w:r w:rsidRPr="00632276">
        <w:rPr>
          <w:rFonts w:ascii="宋体" w:hAnsi="宋体" w:hint="eastAsia"/>
          <w:szCs w:val="21"/>
        </w:rPr>
        <w:t>月</w:t>
      </w:r>
      <w:r w:rsidR="00F77363">
        <w:rPr>
          <w:rFonts w:ascii="宋体" w:hAnsi="宋体" w:hint="eastAsia"/>
          <w:szCs w:val="21"/>
        </w:rPr>
        <w:t>16</w:t>
      </w:r>
      <w:r w:rsidRPr="00632276">
        <w:rPr>
          <w:rFonts w:ascii="宋体" w:hAnsi="宋体" w:hint="eastAsia"/>
          <w:szCs w:val="21"/>
        </w:rPr>
        <w:t>日起</w:t>
      </w:r>
      <w:r w:rsidRPr="00580CBC">
        <w:rPr>
          <w:rFonts w:ascii="宋体" w:hAnsi="宋体" w:hint="eastAsia"/>
          <w:szCs w:val="21"/>
        </w:rPr>
        <w:t>，</w:t>
      </w:r>
      <w:r w:rsidRPr="00580CBC">
        <w:rPr>
          <w:rFonts w:ascii="Times New Roman" w:hAnsi="Times New Roman" w:hint="eastAsia"/>
          <w:szCs w:val="21"/>
        </w:rPr>
        <w:t>本公司</w:t>
      </w:r>
      <w:r w:rsidRPr="00580CBC">
        <w:rPr>
          <w:rFonts w:ascii="Times New Roman" w:hAnsi="Times New Roman"/>
          <w:szCs w:val="21"/>
        </w:rPr>
        <w:t>旗下</w:t>
      </w:r>
      <w:r w:rsidR="000072BC">
        <w:rPr>
          <w:rFonts w:ascii="Times New Roman" w:hAnsi="Times New Roman" w:hint="eastAsia"/>
          <w:szCs w:val="21"/>
        </w:rPr>
        <w:t>部分</w:t>
      </w:r>
      <w:r w:rsidRPr="00580CBC">
        <w:rPr>
          <w:rFonts w:ascii="Times New Roman" w:hAnsi="宋体"/>
          <w:szCs w:val="21"/>
        </w:rPr>
        <w:t>基金</w:t>
      </w:r>
      <w:r w:rsidRPr="00580CBC">
        <w:rPr>
          <w:rFonts w:ascii="Times New Roman" w:hAnsi="Times New Roman" w:hint="eastAsia"/>
          <w:szCs w:val="21"/>
        </w:rPr>
        <w:t>参与</w:t>
      </w:r>
      <w:r w:rsidR="00F77363" w:rsidRPr="00F77363">
        <w:rPr>
          <w:rFonts w:ascii="Times New Roman" w:hAnsi="Times New Roman" w:hint="eastAsia"/>
          <w:szCs w:val="21"/>
        </w:rPr>
        <w:t>中国国际期货</w:t>
      </w:r>
      <w:r w:rsidRPr="00580CBC">
        <w:rPr>
          <w:rFonts w:hint="eastAsia"/>
        </w:rPr>
        <w:t>申购</w:t>
      </w:r>
      <w:r w:rsidRPr="00943DD5">
        <w:rPr>
          <w:rFonts w:hint="eastAsia"/>
        </w:rPr>
        <w:t>及定期定额投资（以下简称“定投”）</w:t>
      </w:r>
      <w:r w:rsidR="00FB229C">
        <w:rPr>
          <w:rFonts w:hint="eastAsia"/>
        </w:rPr>
        <w:t>申购</w:t>
      </w:r>
      <w:r w:rsidRPr="00580CBC">
        <w:rPr>
          <w:rFonts w:ascii="Times New Roman" w:hAnsi="Times New Roman"/>
          <w:szCs w:val="21"/>
        </w:rPr>
        <w:t>费率优惠活动，</w:t>
      </w:r>
      <w:r w:rsidRPr="00580CBC">
        <w:rPr>
          <w:rFonts w:ascii="Times New Roman" w:hAnsi="Times New Roman" w:hint="eastAsia"/>
          <w:szCs w:val="21"/>
        </w:rPr>
        <w:t>现将有关事项公告如下：</w:t>
      </w:r>
    </w:p>
    <w:p w:rsidR="00895A93" w:rsidRPr="00580CBC" w:rsidRDefault="00895A93" w:rsidP="00111F89">
      <w:pPr>
        <w:pStyle w:val="Default"/>
        <w:numPr>
          <w:ilvl w:val="0"/>
          <w:numId w:val="1"/>
        </w:numPr>
        <w:spacing w:beforeLines="50" w:line="300" w:lineRule="auto"/>
        <w:ind w:left="823"/>
        <w:rPr>
          <w:rFonts w:ascii="Times New Roman" w:hAnsi="Times New Roman" w:cs="Times New Roman"/>
          <w:b/>
          <w:color w:val="auto"/>
          <w:sz w:val="21"/>
          <w:szCs w:val="21"/>
        </w:rPr>
      </w:pPr>
      <w:r w:rsidRPr="00580CBC">
        <w:rPr>
          <w:rFonts w:ascii="Times New Roman" w:hAnsi="宋体" w:cs="Times New Roman"/>
          <w:b/>
          <w:color w:val="auto"/>
          <w:sz w:val="21"/>
          <w:szCs w:val="21"/>
        </w:rPr>
        <w:t>适用基金</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摩根士丹利华鑫基础行业证券投资基金（基金代码：233001）</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摩根士丹利华鑫强收益债券型证券投资基金（基金代码：233005）</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摩根士丹利华鑫领先优势混合型证券投资基金（基金代码：233006）</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摩根士丹利华鑫卓越成长混合型证券投资基金（基金代码：233007）</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摩根士丹利华鑫消费领航混合型证券投资基金（基金代码：233008）</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摩根士丹利华鑫多因子精选策略混合型证券投资基金（基金代码：233009）</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摩根士丹利华鑫深证300指数增强型证券投资基金（基金代码：233010）</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摩根士丹利华鑫主题优选混合型证券投资基金（基金代码：233011）</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摩根士丹利华鑫多元收益债券型证券投资基金（基金代码：A类233012/C类233013）</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摩根士丹利华鑫量化配置混合型证券投资基金</w:t>
      </w:r>
      <w:r w:rsidR="00FB229C">
        <w:rPr>
          <w:rFonts w:hAnsi="宋体" w:hint="eastAsia"/>
          <w:color w:val="auto"/>
          <w:kern w:val="2"/>
          <w:sz w:val="21"/>
          <w:szCs w:val="21"/>
        </w:rPr>
        <w:t>A</w:t>
      </w:r>
      <w:r w:rsidR="00FB229C">
        <w:rPr>
          <w:rFonts w:hAnsi="宋体"/>
          <w:color w:val="auto"/>
          <w:kern w:val="2"/>
          <w:sz w:val="21"/>
          <w:szCs w:val="21"/>
        </w:rPr>
        <w:t>类</w:t>
      </w:r>
      <w:r>
        <w:rPr>
          <w:rFonts w:hAnsi="宋体" w:hint="eastAsia"/>
          <w:color w:val="auto"/>
          <w:kern w:val="2"/>
          <w:sz w:val="21"/>
          <w:szCs w:val="21"/>
        </w:rPr>
        <w:t>（基金代码：233015）</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摩根士丹利华鑫双利增强债券型证券投资基金（基金代码：A类000024/C类000025）</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摩根士丹利华鑫纯债稳定增利18个月定期开放债券型证券投资基金（基金代码：000064）</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摩根士丹利华鑫品质生活精选股票型证券投资基金（基金代码：000309）</w:t>
      </w:r>
    </w:p>
    <w:p w:rsidR="00895A93" w:rsidRDefault="00895A93" w:rsidP="00895A93">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摩根士丹利华鑫进取优选股票型证券投资基金（基金代码：000594）</w:t>
      </w:r>
    </w:p>
    <w:p w:rsidR="00895A93" w:rsidRPr="000072BC" w:rsidRDefault="00895A93" w:rsidP="000072BC">
      <w:pPr>
        <w:pStyle w:val="Default"/>
        <w:numPr>
          <w:ilvl w:val="1"/>
          <w:numId w:val="1"/>
        </w:numPr>
        <w:spacing w:line="360" w:lineRule="auto"/>
        <w:rPr>
          <w:rFonts w:hAnsi="宋体"/>
          <w:color w:val="auto"/>
          <w:kern w:val="2"/>
          <w:sz w:val="21"/>
          <w:szCs w:val="21"/>
        </w:rPr>
      </w:pPr>
      <w:r>
        <w:rPr>
          <w:rFonts w:hAnsi="宋体" w:hint="eastAsia"/>
          <w:color w:val="auto"/>
          <w:kern w:val="2"/>
          <w:sz w:val="21"/>
          <w:szCs w:val="21"/>
        </w:rPr>
        <w:t>摩根士丹利华鑫纯债稳定添利18个月定期开放债券型证券投资基金（基金代码：A类000415/C类000416）</w:t>
      </w:r>
    </w:p>
    <w:p w:rsidR="00895A93" w:rsidRDefault="00FF196C" w:rsidP="0057024C">
      <w:pPr>
        <w:pStyle w:val="Default"/>
        <w:numPr>
          <w:ilvl w:val="1"/>
          <w:numId w:val="1"/>
        </w:numPr>
        <w:spacing w:line="360" w:lineRule="auto"/>
        <w:rPr>
          <w:rFonts w:hAnsi="宋体"/>
          <w:color w:val="auto"/>
          <w:kern w:val="2"/>
          <w:sz w:val="21"/>
          <w:szCs w:val="21"/>
        </w:rPr>
      </w:pPr>
      <w:r w:rsidRPr="00FF196C">
        <w:rPr>
          <w:rFonts w:hAnsi="宋体" w:hint="eastAsia"/>
          <w:color w:val="auto"/>
          <w:kern w:val="2"/>
          <w:sz w:val="21"/>
          <w:szCs w:val="21"/>
        </w:rPr>
        <w:t>摩根士丹利华鑫科技领先灵活配置混合型证券投资基金</w:t>
      </w:r>
      <w:r w:rsidR="00DF42FB" w:rsidRPr="008809D4">
        <w:rPr>
          <w:rFonts w:hAnsi="宋体" w:hint="eastAsia"/>
          <w:color w:val="auto"/>
          <w:kern w:val="2"/>
          <w:sz w:val="21"/>
          <w:szCs w:val="21"/>
        </w:rPr>
        <w:t>（基金代码：</w:t>
      </w:r>
      <w:r>
        <w:rPr>
          <w:rFonts w:hAnsi="宋体" w:hint="eastAsia"/>
          <w:color w:val="auto"/>
          <w:kern w:val="2"/>
          <w:sz w:val="21"/>
          <w:szCs w:val="21"/>
        </w:rPr>
        <w:t>002707</w:t>
      </w:r>
      <w:r w:rsidR="00DF42FB">
        <w:rPr>
          <w:rFonts w:hAnsi="宋体" w:hint="eastAsia"/>
          <w:color w:val="auto"/>
          <w:kern w:val="2"/>
          <w:sz w:val="21"/>
          <w:szCs w:val="21"/>
        </w:rPr>
        <w:t>）</w:t>
      </w:r>
    </w:p>
    <w:p w:rsidR="00C01576" w:rsidRDefault="00C01576" w:rsidP="0057024C">
      <w:pPr>
        <w:pStyle w:val="Default"/>
        <w:spacing w:line="360" w:lineRule="auto"/>
        <w:ind w:left="987"/>
        <w:rPr>
          <w:rFonts w:hAnsi="宋体"/>
          <w:color w:val="auto"/>
          <w:kern w:val="2"/>
          <w:sz w:val="21"/>
          <w:szCs w:val="21"/>
        </w:rPr>
      </w:pPr>
    </w:p>
    <w:p w:rsidR="00C01576" w:rsidRPr="00C01576" w:rsidRDefault="00C01576" w:rsidP="0057024C">
      <w:pPr>
        <w:pStyle w:val="Default"/>
        <w:spacing w:line="360" w:lineRule="auto"/>
        <w:ind w:firstLineChars="200" w:firstLine="420"/>
        <w:rPr>
          <w:rFonts w:hAnsi="宋体" w:cs="Times New Roman"/>
          <w:color w:val="auto"/>
          <w:kern w:val="2"/>
          <w:sz w:val="21"/>
          <w:szCs w:val="21"/>
        </w:rPr>
      </w:pPr>
      <w:r w:rsidRPr="0057024C">
        <w:rPr>
          <w:rFonts w:hAnsi="宋体" w:cs="Times New Roman" w:hint="eastAsia"/>
          <w:color w:val="auto"/>
          <w:kern w:val="2"/>
          <w:sz w:val="21"/>
          <w:szCs w:val="21"/>
        </w:rPr>
        <w:t>摩根士丹利华鑫纯债稳定增利</w:t>
      </w:r>
      <w:r w:rsidRPr="0057024C">
        <w:rPr>
          <w:rFonts w:hAnsi="宋体" w:cs="Times New Roman"/>
          <w:color w:val="auto"/>
          <w:kern w:val="2"/>
          <w:sz w:val="21"/>
          <w:szCs w:val="21"/>
        </w:rPr>
        <w:t>18个月定期开放债券型证券投资基金（基金代码：000064）、摩根士丹利华鑫纯债稳定添利18个月定期开放债券型证券投资基金（基金代码：A类000415/C类000416）不开通定投业务，且目前处于封闭期，尚未开放申购业务，自开放之日起，参加</w:t>
      </w:r>
      <w:r w:rsidRPr="0057024C">
        <w:rPr>
          <w:rFonts w:hAnsi="宋体" w:cs="Times New Roman" w:hint="eastAsia"/>
          <w:color w:val="auto"/>
          <w:kern w:val="2"/>
          <w:sz w:val="21"/>
          <w:szCs w:val="21"/>
        </w:rPr>
        <w:lastRenderedPageBreak/>
        <w:t>本次申购费率优惠活动。具体开放时间请参见本公司公告</w:t>
      </w:r>
      <w:r>
        <w:rPr>
          <w:rFonts w:hAnsi="宋体" w:cs="Times New Roman" w:hint="eastAsia"/>
          <w:color w:val="auto"/>
          <w:kern w:val="2"/>
          <w:sz w:val="21"/>
          <w:szCs w:val="21"/>
        </w:rPr>
        <w:t>。</w:t>
      </w:r>
    </w:p>
    <w:p w:rsidR="00895A93" w:rsidRPr="00CE587D" w:rsidRDefault="00895A93" w:rsidP="00895A93">
      <w:pPr>
        <w:spacing w:line="360" w:lineRule="auto"/>
        <w:rPr>
          <w:rFonts w:ascii="宋体" w:hAnsi="宋体" w:cs="宋体"/>
          <w:szCs w:val="21"/>
        </w:rPr>
      </w:pPr>
    </w:p>
    <w:p w:rsidR="00895A93" w:rsidRPr="00580CBC" w:rsidRDefault="00895A93" w:rsidP="00895A93">
      <w:pPr>
        <w:spacing w:line="360" w:lineRule="auto"/>
        <w:ind w:firstLineChars="200" w:firstLine="422"/>
        <w:rPr>
          <w:rFonts w:ascii="宋体" w:hAnsi="宋体"/>
          <w:b/>
          <w:szCs w:val="21"/>
        </w:rPr>
      </w:pPr>
      <w:r w:rsidRPr="00580CBC">
        <w:rPr>
          <w:rFonts w:ascii="宋体" w:hAnsi="宋体" w:hint="eastAsia"/>
          <w:b/>
          <w:szCs w:val="21"/>
        </w:rPr>
        <w:t>二、活动内容</w:t>
      </w:r>
    </w:p>
    <w:p w:rsidR="00895A93" w:rsidRPr="00860B08" w:rsidRDefault="00895A93" w:rsidP="00895A93">
      <w:pPr>
        <w:pStyle w:val="Default"/>
        <w:spacing w:line="360" w:lineRule="auto"/>
        <w:ind w:firstLineChars="200" w:firstLine="420"/>
        <w:rPr>
          <w:rFonts w:hAnsi="宋体" w:cs="Times New Roman"/>
          <w:color w:val="auto"/>
          <w:kern w:val="2"/>
          <w:sz w:val="21"/>
          <w:szCs w:val="21"/>
        </w:rPr>
      </w:pPr>
      <w:r w:rsidRPr="00860B08">
        <w:rPr>
          <w:rFonts w:hAnsi="宋体" w:cs="Times New Roman" w:hint="eastAsia"/>
          <w:color w:val="auto"/>
          <w:kern w:val="2"/>
          <w:sz w:val="21"/>
          <w:szCs w:val="21"/>
        </w:rPr>
        <w:t>自20</w:t>
      </w:r>
      <w:r w:rsidR="00F77363">
        <w:rPr>
          <w:rFonts w:hAnsi="宋体" w:cs="Times New Roman" w:hint="eastAsia"/>
          <w:color w:val="auto"/>
          <w:kern w:val="2"/>
          <w:sz w:val="21"/>
          <w:szCs w:val="21"/>
        </w:rPr>
        <w:t>20</w:t>
      </w:r>
      <w:r w:rsidRPr="00860B08">
        <w:rPr>
          <w:rFonts w:hAnsi="宋体" w:cs="Times New Roman" w:hint="eastAsia"/>
          <w:color w:val="auto"/>
          <w:kern w:val="2"/>
          <w:sz w:val="21"/>
          <w:szCs w:val="21"/>
        </w:rPr>
        <w:t>年</w:t>
      </w:r>
      <w:r w:rsidR="00F77363">
        <w:rPr>
          <w:rFonts w:hAnsi="宋体" w:cs="Times New Roman" w:hint="eastAsia"/>
          <w:color w:val="auto"/>
          <w:kern w:val="2"/>
          <w:sz w:val="21"/>
          <w:szCs w:val="21"/>
        </w:rPr>
        <w:t>3</w:t>
      </w:r>
      <w:r w:rsidRPr="00860B08">
        <w:rPr>
          <w:rFonts w:hAnsi="宋体" w:cs="Times New Roman" w:hint="eastAsia"/>
          <w:color w:val="auto"/>
          <w:kern w:val="2"/>
          <w:sz w:val="21"/>
          <w:szCs w:val="21"/>
        </w:rPr>
        <w:t>月</w:t>
      </w:r>
      <w:r w:rsidR="00F77363">
        <w:rPr>
          <w:rFonts w:hAnsi="宋体" w:cs="Times New Roman" w:hint="eastAsia"/>
          <w:color w:val="auto"/>
          <w:kern w:val="2"/>
          <w:sz w:val="21"/>
          <w:szCs w:val="21"/>
        </w:rPr>
        <w:t>16</w:t>
      </w:r>
      <w:r w:rsidRPr="00860B08">
        <w:rPr>
          <w:rFonts w:hAnsi="宋体" w:cs="Times New Roman" w:hint="eastAsia"/>
          <w:color w:val="auto"/>
          <w:kern w:val="2"/>
          <w:sz w:val="21"/>
          <w:szCs w:val="21"/>
        </w:rPr>
        <w:t>日起，投资者通过</w:t>
      </w:r>
      <w:r w:rsidR="00F77363">
        <w:rPr>
          <w:rFonts w:hAnsi="宋体" w:cs="Times New Roman" w:hint="eastAsia"/>
          <w:color w:val="auto"/>
          <w:kern w:val="2"/>
          <w:sz w:val="21"/>
          <w:szCs w:val="21"/>
        </w:rPr>
        <w:t>中国国际期货</w:t>
      </w:r>
      <w:r w:rsidRPr="004D4861">
        <w:rPr>
          <w:rFonts w:hAnsi="宋体" w:cs="Times New Roman" w:hint="eastAsia"/>
          <w:color w:val="auto"/>
          <w:kern w:val="2"/>
          <w:sz w:val="21"/>
          <w:szCs w:val="21"/>
        </w:rPr>
        <w:t>申购</w:t>
      </w:r>
      <w:r>
        <w:rPr>
          <w:rFonts w:hAnsi="宋体" w:cs="Times New Roman" w:hint="eastAsia"/>
          <w:color w:val="auto"/>
          <w:kern w:val="2"/>
          <w:sz w:val="21"/>
          <w:szCs w:val="21"/>
        </w:rPr>
        <w:t>及定投</w:t>
      </w:r>
      <w:r w:rsidRPr="00860B08">
        <w:rPr>
          <w:rFonts w:hAnsi="宋体" w:cs="Times New Roman" w:hint="eastAsia"/>
          <w:color w:val="auto"/>
          <w:kern w:val="2"/>
          <w:sz w:val="21"/>
          <w:szCs w:val="21"/>
        </w:rPr>
        <w:t>本公司</w:t>
      </w:r>
      <w:r>
        <w:rPr>
          <w:rFonts w:hAnsi="宋体" w:cs="Times New Roman" w:hint="eastAsia"/>
          <w:color w:val="auto"/>
          <w:kern w:val="2"/>
          <w:sz w:val="21"/>
          <w:szCs w:val="21"/>
        </w:rPr>
        <w:t>上述</w:t>
      </w:r>
      <w:r w:rsidRPr="00860B08">
        <w:rPr>
          <w:rFonts w:hAnsi="宋体" w:cs="Times New Roman" w:hint="eastAsia"/>
          <w:color w:val="auto"/>
          <w:kern w:val="2"/>
          <w:sz w:val="21"/>
          <w:szCs w:val="21"/>
        </w:rPr>
        <w:t>基金的，各基金享有的具体折扣费率及费率优惠活动期限以</w:t>
      </w:r>
      <w:r w:rsidR="00F77363">
        <w:rPr>
          <w:rFonts w:hAnsi="宋体" w:cs="Times New Roman" w:hint="eastAsia"/>
          <w:color w:val="auto"/>
          <w:kern w:val="2"/>
          <w:sz w:val="21"/>
          <w:szCs w:val="21"/>
        </w:rPr>
        <w:t>中国国际期货</w:t>
      </w:r>
      <w:r w:rsidRPr="00860B08">
        <w:rPr>
          <w:rFonts w:hAnsi="宋体" w:cs="Times New Roman" w:hint="eastAsia"/>
          <w:color w:val="auto"/>
          <w:kern w:val="2"/>
          <w:sz w:val="21"/>
          <w:szCs w:val="21"/>
        </w:rPr>
        <w:t>的活动公告为准。基金原申购费率如适用固定费用的，则仍按原费率执行，不再享有费率折扣。</w:t>
      </w:r>
    </w:p>
    <w:p w:rsidR="00895A93" w:rsidRPr="004D4861" w:rsidRDefault="00895A93" w:rsidP="00895A93">
      <w:pPr>
        <w:spacing w:line="360" w:lineRule="auto"/>
        <w:ind w:firstLineChars="200" w:firstLine="420"/>
        <w:rPr>
          <w:rFonts w:hAnsi="宋体"/>
          <w:szCs w:val="21"/>
        </w:rPr>
      </w:pPr>
      <w:r w:rsidRPr="004D4861">
        <w:rPr>
          <w:rFonts w:ascii="Times New Roman" w:hAnsi="Times New Roman" w:hint="eastAsia"/>
          <w:szCs w:val="21"/>
        </w:rPr>
        <w:t>本公司旗下基金的原申购费率标准请详见各基金相关法律文件及本公司发布的最新业务公告。</w:t>
      </w:r>
    </w:p>
    <w:p w:rsidR="00895A93" w:rsidRPr="008D36CB" w:rsidRDefault="00895A93" w:rsidP="00895A93">
      <w:pPr>
        <w:spacing w:line="360" w:lineRule="auto"/>
        <w:ind w:firstLineChars="200" w:firstLine="422"/>
        <w:rPr>
          <w:rFonts w:ascii="Times New Roman" w:hAnsi="Times New Roman"/>
          <w:b/>
          <w:szCs w:val="21"/>
        </w:rPr>
      </w:pPr>
      <w:r>
        <w:rPr>
          <w:rFonts w:ascii="Times New Roman" w:hAnsi="Times New Roman" w:hint="eastAsia"/>
          <w:b/>
          <w:szCs w:val="21"/>
        </w:rPr>
        <w:t>三</w:t>
      </w:r>
      <w:r w:rsidRPr="008D36CB">
        <w:rPr>
          <w:rFonts w:ascii="Times New Roman" w:hAnsi="Times New Roman" w:hint="eastAsia"/>
          <w:b/>
          <w:szCs w:val="21"/>
        </w:rPr>
        <w:t>、重要提示</w:t>
      </w:r>
    </w:p>
    <w:p w:rsidR="00895A93" w:rsidRPr="008D36CB" w:rsidRDefault="00895A93" w:rsidP="00895A93">
      <w:pPr>
        <w:spacing w:line="360" w:lineRule="auto"/>
        <w:ind w:firstLineChars="200" w:firstLine="420"/>
        <w:rPr>
          <w:szCs w:val="21"/>
        </w:rPr>
      </w:pPr>
      <w:r w:rsidRPr="008D36CB">
        <w:rPr>
          <w:rFonts w:hint="eastAsia"/>
          <w:szCs w:val="21"/>
        </w:rPr>
        <w:t>1</w:t>
      </w:r>
      <w:r w:rsidRPr="008D36CB">
        <w:rPr>
          <w:rFonts w:hint="eastAsia"/>
          <w:szCs w:val="21"/>
        </w:rPr>
        <w:t>、本</w:t>
      </w:r>
      <w:r w:rsidRPr="008D36CB">
        <w:rPr>
          <w:szCs w:val="21"/>
        </w:rPr>
        <w:t>次</w:t>
      </w:r>
      <w:r w:rsidRPr="008D36CB">
        <w:rPr>
          <w:rFonts w:hAnsi="宋体" w:hint="eastAsia"/>
          <w:szCs w:val="21"/>
        </w:rPr>
        <w:t>基金</w:t>
      </w:r>
      <w:r w:rsidR="00FB229C">
        <w:rPr>
          <w:rFonts w:hAnsi="宋体" w:hint="eastAsia"/>
          <w:szCs w:val="21"/>
        </w:rPr>
        <w:t>申购</w:t>
      </w:r>
      <w:r w:rsidRPr="008D36CB">
        <w:rPr>
          <w:rFonts w:hAnsi="宋体" w:hint="eastAsia"/>
          <w:szCs w:val="21"/>
        </w:rPr>
        <w:t>费率优惠</w:t>
      </w:r>
      <w:r w:rsidRPr="008D36CB">
        <w:rPr>
          <w:rFonts w:hint="eastAsia"/>
          <w:szCs w:val="21"/>
        </w:rPr>
        <w:t>活动</w:t>
      </w:r>
      <w:r w:rsidRPr="008D36CB">
        <w:rPr>
          <w:szCs w:val="21"/>
        </w:rPr>
        <w:t>不适用于基金</w:t>
      </w:r>
      <w:r w:rsidRPr="008D36CB">
        <w:rPr>
          <w:rFonts w:hint="eastAsia"/>
          <w:szCs w:val="21"/>
        </w:rPr>
        <w:t>赎回</w:t>
      </w:r>
      <w:r>
        <w:rPr>
          <w:rFonts w:hint="eastAsia"/>
          <w:szCs w:val="21"/>
        </w:rPr>
        <w:t>、转换</w:t>
      </w:r>
      <w:r w:rsidRPr="008D36CB">
        <w:rPr>
          <w:rFonts w:hint="eastAsia"/>
          <w:szCs w:val="21"/>
        </w:rPr>
        <w:t>等其他业务</w:t>
      </w:r>
      <w:r>
        <w:rPr>
          <w:rFonts w:hint="eastAsia"/>
          <w:szCs w:val="21"/>
        </w:rPr>
        <w:t>，且仅限于场外前端申购模式</w:t>
      </w:r>
      <w:r w:rsidRPr="008D36CB">
        <w:rPr>
          <w:rFonts w:hint="eastAsia"/>
          <w:szCs w:val="21"/>
        </w:rPr>
        <w:t>。</w:t>
      </w:r>
    </w:p>
    <w:p w:rsidR="00895A93" w:rsidRDefault="00895A93" w:rsidP="00895A93">
      <w:pPr>
        <w:spacing w:line="360" w:lineRule="auto"/>
        <w:ind w:firstLineChars="200" w:firstLine="420"/>
        <w:rPr>
          <w:szCs w:val="21"/>
        </w:rPr>
      </w:pPr>
      <w:r w:rsidRPr="008D36CB">
        <w:rPr>
          <w:rFonts w:hint="eastAsia"/>
          <w:szCs w:val="21"/>
        </w:rPr>
        <w:t>2</w:t>
      </w:r>
      <w:r w:rsidRPr="008D36CB">
        <w:rPr>
          <w:rFonts w:hint="eastAsia"/>
          <w:szCs w:val="21"/>
        </w:rPr>
        <w:t>、</w:t>
      </w:r>
      <w:r w:rsidRPr="008D36CB">
        <w:rPr>
          <w:szCs w:val="21"/>
        </w:rPr>
        <w:t>优惠</w:t>
      </w:r>
      <w:r w:rsidRPr="008D36CB">
        <w:rPr>
          <w:rFonts w:hint="eastAsia"/>
          <w:szCs w:val="21"/>
        </w:rPr>
        <w:t>活动</w:t>
      </w:r>
      <w:r w:rsidRPr="008D36CB">
        <w:rPr>
          <w:szCs w:val="21"/>
        </w:rPr>
        <w:t>期间</w:t>
      </w:r>
      <w:r w:rsidRPr="008D36CB">
        <w:rPr>
          <w:rFonts w:hint="eastAsia"/>
          <w:szCs w:val="21"/>
        </w:rPr>
        <w:t>，</w:t>
      </w:r>
      <w:r w:rsidRPr="008D36CB">
        <w:rPr>
          <w:szCs w:val="21"/>
        </w:rPr>
        <w:t>业务办理的规则和流程以</w:t>
      </w:r>
      <w:r w:rsidR="00F77363">
        <w:rPr>
          <w:rFonts w:ascii="宋体" w:hAnsi="宋体" w:hint="eastAsia"/>
          <w:szCs w:val="21"/>
        </w:rPr>
        <w:t>中国国际期货</w:t>
      </w:r>
      <w:r w:rsidRPr="008D36CB">
        <w:rPr>
          <w:szCs w:val="21"/>
        </w:rPr>
        <w:t>的安排和规定为准。</w:t>
      </w:r>
    </w:p>
    <w:p w:rsidR="00895A93" w:rsidRDefault="00895A93" w:rsidP="00895A93">
      <w:pPr>
        <w:spacing w:line="360" w:lineRule="auto"/>
        <w:ind w:firstLineChars="200" w:firstLine="420"/>
        <w:rPr>
          <w:szCs w:val="21"/>
        </w:rPr>
      </w:pPr>
      <w:r>
        <w:rPr>
          <w:rFonts w:hint="eastAsia"/>
          <w:szCs w:val="21"/>
        </w:rPr>
        <w:t>3</w:t>
      </w:r>
      <w:r>
        <w:rPr>
          <w:rFonts w:hint="eastAsia"/>
          <w:szCs w:val="21"/>
        </w:rPr>
        <w:t>、</w:t>
      </w:r>
      <w:r w:rsidRPr="008D36CB">
        <w:rPr>
          <w:rFonts w:hint="eastAsia"/>
          <w:szCs w:val="21"/>
        </w:rPr>
        <w:t>本</w:t>
      </w:r>
      <w:r>
        <w:rPr>
          <w:rFonts w:hint="eastAsia"/>
          <w:szCs w:val="21"/>
        </w:rPr>
        <w:t>公告</w:t>
      </w:r>
      <w:r w:rsidRPr="008D36CB">
        <w:rPr>
          <w:rFonts w:hint="eastAsia"/>
          <w:szCs w:val="21"/>
        </w:rPr>
        <w:t>的解释权归</w:t>
      </w:r>
      <w:r w:rsidRPr="008D36CB">
        <w:rPr>
          <w:rFonts w:ascii="Times New Roman" w:hAnsi="Times New Roman" w:hint="eastAsia"/>
          <w:szCs w:val="21"/>
        </w:rPr>
        <w:t>摩根士丹利华鑫</w:t>
      </w:r>
      <w:r w:rsidRPr="008D36CB">
        <w:rPr>
          <w:rFonts w:ascii="Times New Roman" w:hAnsi="Times New Roman"/>
          <w:szCs w:val="21"/>
        </w:rPr>
        <w:t>基金管理有限公司</w:t>
      </w:r>
      <w:r w:rsidRPr="008D36CB">
        <w:rPr>
          <w:rFonts w:hint="eastAsia"/>
          <w:szCs w:val="21"/>
        </w:rPr>
        <w:t>所有。</w:t>
      </w:r>
    </w:p>
    <w:p w:rsidR="00895A93" w:rsidRPr="008D36CB" w:rsidRDefault="00895A93" w:rsidP="00895A93">
      <w:pPr>
        <w:spacing w:line="360" w:lineRule="auto"/>
        <w:ind w:firstLineChars="200" w:firstLine="420"/>
        <w:rPr>
          <w:szCs w:val="21"/>
        </w:rPr>
      </w:pPr>
    </w:p>
    <w:p w:rsidR="00895A93" w:rsidRPr="008D36CB" w:rsidRDefault="00895A93" w:rsidP="00895A93">
      <w:pPr>
        <w:spacing w:line="360" w:lineRule="auto"/>
        <w:ind w:firstLineChars="200" w:firstLine="422"/>
        <w:jc w:val="left"/>
        <w:rPr>
          <w:b/>
          <w:szCs w:val="21"/>
        </w:rPr>
      </w:pPr>
      <w:r>
        <w:rPr>
          <w:rFonts w:ascii="Times New Roman" w:hAnsi="Times New Roman" w:hint="eastAsia"/>
          <w:b/>
          <w:szCs w:val="21"/>
        </w:rPr>
        <w:t>四</w:t>
      </w:r>
      <w:r w:rsidRPr="008D36CB">
        <w:rPr>
          <w:rFonts w:ascii="Times New Roman" w:hAnsi="Times New Roman"/>
          <w:b/>
          <w:szCs w:val="21"/>
        </w:rPr>
        <w:t>、</w:t>
      </w:r>
      <w:r w:rsidRPr="008D36CB">
        <w:rPr>
          <w:rFonts w:hint="eastAsia"/>
          <w:b/>
          <w:szCs w:val="21"/>
        </w:rPr>
        <w:t>业务咨询</w:t>
      </w:r>
    </w:p>
    <w:p w:rsidR="00895A93" w:rsidRPr="008D36CB" w:rsidRDefault="00895A93" w:rsidP="00895A93">
      <w:pPr>
        <w:spacing w:line="360" w:lineRule="auto"/>
        <w:ind w:firstLineChars="200" w:firstLine="420"/>
        <w:jc w:val="left"/>
        <w:rPr>
          <w:rFonts w:ascii="Times New Roman" w:hAnsi="Times New Roman"/>
          <w:szCs w:val="21"/>
        </w:rPr>
      </w:pPr>
      <w:r w:rsidRPr="008D36CB">
        <w:rPr>
          <w:rFonts w:ascii="Times New Roman" w:hAnsi="Times New Roman"/>
          <w:szCs w:val="21"/>
        </w:rPr>
        <w:t>投资</w:t>
      </w:r>
      <w:r w:rsidR="00A30B48">
        <w:rPr>
          <w:rFonts w:ascii="Times New Roman" w:hAnsi="Times New Roman" w:hint="eastAsia"/>
          <w:szCs w:val="21"/>
        </w:rPr>
        <w:t>者</w:t>
      </w:r>
      <w:r w:rsidRPr="008D36CB">
        <w:rPr>
          <w:rFonts w:ascii="Times New Roman" w:hAnsi="Times New Roman"/>
          <w:szCs w:val="21"/>
        </w:rPr>
        <w:t>可通过以下途径咨询详情：</w:t>
      </w:r>
    </w:p>
    <w:p w:rsidR="00895A93" w:rsidRPr="00E06EDF" w:rsidRDefault="00895A93" w:rsidP="00895A93">
      <w:pPr>
        <w:pStyle w:val="Default"/>
        <w:spacing w:line="360" w:lineRule="auto"/>
        <w:ind w:firstLineChars="200" w:firstLine="420"/>
        <w:rPr>
          <w:rFonts w:ascii="Times New Roman" w:hAnsi="Times New Roman" w:cs="Times New Roman"/>
          <w:color w:val="auto"/>
          <w:kern w:val="2"/>
          <w:sz w:val="21"/>
          <w:szCs w:val="21"/>
        </w:rPr>
      </w:pPr>
      <w:r w:rsidRPr="00943DD5">
        <w:rPr>
          <w:rFonts w:ascii="Times New Roman" w:hAnsi="Times New Roman" w:cs="Times New Roman" w:hint="eastAsia"/>
          <w:color w:val="auto"/>
          <w:kern w:val="2"/>
          <w:sz w:val="21"/>
          <w:szCs w:val="21"/>
        </w:rPr>
        <w:t>1.</w:t>
      </w:r>
      <w:r w:rsidR="00F77363" w:rsidRPr="00F77363">
        <w:rPr>
          <w:rFonts w:ascii="Times New Roman" w:hAnsi="Times New Roman" w:hint="eastAsia"/>
          <w:sz w:val="21"/>
          <w:szCs w:val="21"/>
        </w:rPr>
        <w:t>中国国际期货</w:t>
      </w:r>
      <w:r w:rsidR="00F77363">
        <w:rPr>
          <w:rFonts w:ascii="Times New Roman" w:hAnsi="Times New Roman" w:hint="eastAsia"/>
          <w:sz w:val="21"/>
          <w:szCs w:val="21"/>
        </w:rPr>
        <w:t>股份有限公司</w:t>
      </w:r>
    </w:p>
    <w:p w:rsidR="00895A93" w:rsidRPr="00E06EDF" w:rsidRDefault="00895A93" w:rsidP="00895A93">
      <w:pPr>
        <w:pStyle w:val="Default"/>
        <w:spacing w:line="360" w:lineRule="auto"/>
        <w:ind w:firstLineChars="200" w:firstLine="420"/>
        <w:rPr>
          <w:rFonts w:ascii="Times New Roman" w:hAnsi="Times New Roman" w:cs="Times New Roman"/>
          <w:color w:val="auto"/>
          <w:kern w:val="2"/>
          <w:sz w:val="21"/>
          <w:szCs w:val="21"/>
        </w:rPr>
      </w:pPr>
      <w:r w:rsidRPr="00E06EDF">
        <w:rPr>
          <w:rFonts w:ascii="Times New Roman" w:hAnsi="Times New Roman" w:cs="Times New Roman" w:hint="eastAsia"/>
          <w:color w:val="auto"/>
          <w:kern w:val="2"/>
          <w:sz w:val="21"/>
          <w:szCs w:val="21"/>
        </w:rPr>
        <w:t>客户服务热线：</w:t>
      </w:r>
      <w:r w:rsidR="00F77363" w:rsidRPr="00F77363">
        <w:rPr>
          <w:rFonts w:ascii="Times New Roman" w:hAnsi="Times New Roman" w:hint="eastAsia"/>
          <w:sz w:val="21"/>
          <w:szCs w:val="21"/>
        </w:rPr>
        <w:t>95162</w:t>
      </w:r>
      <w:r w:rsidR="00F77363" w:rsidRPr="00F77363">
        <w:rPr>
          <w:rFonts w:ascii="Times New Roman" w:hAnsi="Times New Roman" w:hint="eastAsia"/>
          <w:sz w:val="21"/>
          <w:szCs w:val="21"/>
        </w:rPr>
        <w:t>、</w:t>
      </w:r>
      <w:r w:rsidR="00F77363" w:rsidRPr="00F77363">
        <w:rPr>
          <w:rFonts w:ascii="Times New Roman" w:hAnsi="Times New Roman" w:hint="eastAsia"/>
          <w:sz w:val="21"/>
          <w:szCs w:val="21"/>
        </w:rPr>
        <w:t>400-8888-160</w:t>
      </w:r>
    </w:p>
    <w:p w:rsidR="00895A93" w:rsidRPr="00563F9F" w:rsidRDefault="00895A93" w:rsidP="00895A93">
      <w:pPr>
        <w:spacing w:line="360" w:lineRule="auto"/>
        <w:ind w:firstLineChars="200" w:firstLine="420"/>
        <w:jc w:val="left"/>
        <w:rPr>
          <w:rFonts w:ascii="宋体" w:hAnsi="宋体" w:cs="宋体"/>
          <w:szCs w:val="21"/>
        </w:rPr>
      </w:pPr>
      <w:r w:rsidRPr="00E06EDF">
        <w:rPr>
          <w:rFonts w:ascii="Times New Roman" w:hAnsi="Times New Roman" w:hint="eastAsia"/>
          <w:szCs w:val="21"/>
        </w:rPr>
        <w:t>网址：</w:t>
      </w:r>
      <w:r w:rsidR="00F77363" w:rsidRPr="00F77363">
        <w:rPr>
          <w:rFonts w:ascii="宋体" w:hAnsi="宋体"/>
          <w:szCs w:val="21"/>
        </w:rPr>
        <w:t>www.cifco.net</w:t>
      </w:r>
    </w:p>
    <w:p w:rsidR="00895A93" w:rsidRPr="008D36CB" w:rsidRDefault="00895A93" w:rsidP="00895A93">
      <w:pPr>
        <w:spacing w:line="360" w:lineRule="auto"/>
        <w:ind w:firstLineChars="200" w:firstLine="420"/>
        <w:jc w:val="left"/>
        <w:rPr>
          <w:rFonts w:ascii="Times New Roman" w:hAnsi="Times New Roman"/>
          <w:szCs w:val="21"/>
        </w:rPr>
      </w:pPr>
      <w:r w:rsidRPr="008D36CB">
        <w:rPr>
          <w:rFonts w:ascii="Times New Roman" w:hAnsi="Times New Roman"/>
          <w:szCs w:val="21"/>
        </w:rPr>
        <w:t>2</w:t>
      </w:r>
      <w:r w:rsidRPr="008D36CB">
        <w:rPr>
          <w:rFonts w:ascii="Times New Roman" w:hAnsi="Times New Roman"/>
          <w:szCs w:val="21"/>
        </w:rPr>
        <w:t>、摩根士丹利华鑫基金管理有限公司</w:t>
      </w:r>
      <w:bookmarkStart w:id="0" w:name="_GoBack"/>
      <w:bookmarkEnd w:id="0"/>
    </w:p>
    <w:p w:rsidR="00895A93" w:rsidRDefault="00895A93" w:rsidP="00895A93">
      <w:pPr>
        <w:spacing w:line="360" w:lineRule="auto"/>
        <w:ind w:firstLineChars="200" w:firstLine="420"/>
        <w:jc w:val="left"/>
        <w:rPr>
          <w:rFonts w:ascii="Times New Roman" w:hAnsi="Times New Roman"/>
          <w:szCs w:val="21"/>
        </w:rPr>
      </w:pPr>
      <w:r w:rsidRPr="008D36CB">
        <w:rPr>
          <w:rFonts w:ascii="Times New Roman" w:hAnsi="Times New Roman"/>
          <w:szCs w:val="21"/>
        </w:rPr>
        <w:t>客户服务电话：</w:t>
      </w:r>
      <w:r w:rsidRPr="00097A10">
        <w:rPr>
          <w:rFonts w:ascii="宋体" w:hAnsi="宋体" w:cs="宋体" w:hint="eastAsia"/>
          <w:szCs w:val="21"/>
        </w:rPr>
        <w:t>400-8888-668</w:t>
      </w:r>
    </w:p>
    <w:p w:rsidR="00895A93" w:rsidRDefault="00FF196C" w:rsidP="00895A93">
      <w:pPr>
        <w:spacing w:line="360" w:lineRule="auto"/>
        <w:ind w:firstLineChars="200" w:firstLine="420"/>
        <w:jc w:val="left"/>
        <w:rPr>
          <w:rFonts w:ascii="Times New Roman" w:hAnsi="Times New Roman"/>
          <w:szCs w:val="21"/>
        </w:rPr>
      </w:pPr>
      <w:r w:rsidRPr="00FF196C">
        <w:rPr>
          <w:rFonts w:ascii="Times New Roman" w:hAnsi="Times New Roman" w:hint="eastAsia"/>
          <w:szCs w:val="21"/>
        </w:rPr>
        <w:t>网址</w:t>
      </w:r>
      <w:r w:rsidR="00895A93" w:rsidRPr="008D36CB">
        <w:rPr>
          <w:rFonts w:ascii="Times New Roman" w:hAnsi="Times New Roman"/>
          <w:szCs w:val="21"/>
        </w:rPr>
        <w:t>：</w:t>
      </w:r>
      <w:r w:rsidR="00895A93" w:rsidRPr="00097A10">
        <w:rPr>
          <w:rFonts w:ascii="宋体" w:hAnsi="宋体" w:cs="宋体" w:hint="eastAsia"/>
          <w:szCs w:val="21"/>
        </w:rPr>
        <w:t>www.</w:t>
      </w:r>
      <w:r w:rsidR="00895A93" w:rsidRPr="00097A10">
        <w:rPr>
          <w:rFonts w:ascii="宋体" w:hAnsi="宋体" w:cs="宋体"/>
          <w:szCs w:val="21"/>
        </w:rPr>
        <w:t>msfunds.com.cn</w:t>
      </w:r>
    </w:p>
    <w:p w:rsidR="00895A93" w:rsidRDefault="00895A93" w:rsidP="00895A93">
      <w:pPr>
        <w:spacing w:line="360" w:lineRule="auto"/>
        <w:ind w:firstLineChars="200" w:firstLine="420"/>
        <w:jc w:val="left"/>
        <w:rPr>
          <w:rFonts w:ascii="Times New Roman" w:hAnsi="Times New Roman"/>
          <w:szCs w:val="21"/>
        </w:rPr>
      </w:pPr>
    </w:p>
    <w:p w:rsidR="00C47CDA" w:rsidRPr="008D36CB" w:rsidRDefault="00C47CDA" w:rsidP="00895A93">
      <w:pPr>
        <w:spacing w:line="360" w:lineRule="auto"/>
        <w:ind w:firstLineChars="200" w:firstLine="420"/>
        <w:jc w:val="left"/>
        <w:rPr>
          <w:rFonts w:ascii="Times New Roman" w:hAnsi="Times New Roman"/>
          <w:szCs w:val="21"/>
        </w:rPr>
      </w:pPr>
      <w:r w:rsidRPr="00BC55D6">
        <w:rPr>
          <w:rFonts w:hint="eastAsia"/>
        </w:rPr>
        <w:t>风险提示：本基金管理人承诺以诚实信用、勤勉尽责的原则管理和运用基金资产，但不保证基金一定盈利，也不保证最低收益。基金的过往业绩及其净值高低并不预示其未来业绩表现。投资者应认真阅读拟投资基金的《基金合同》、招募说明书等法律文件，了解所投资基金的风险收益特征，并根据自身投资目的、投资期限、投资经验、资产状况等判断基金是否和投资者的风险承受能力相匹配。</w:t>
      </w:r>
    </w:p>
    <w:p w:rsidR="00895A93" w:rsidRPr="008D36CB" w:rsidRDefault="00895A93" w:rsidP="00895A93">
      <w:pPr>
        <w:spacing w:line="360" w:lineRule="auto"/>
        <w:ind w:firstLineChars="200" w:firstLine="420"/>
        <w:jc w:val="left"/>
        <w:rPr>
          <w:rFonts w:ascii="Times New Roman" w:hAnsi="Times New Roman"/>
          <w:szCs w:val="21"/>
        </w:rPr>
      </w:pPr>
      <w:r w:rsidRPr="008D36CB">
        <w:rPr>
          <w:rFonts w:ascii="Times New Roman" w:hAnsi="Times New Roman"/>
          <w:szCs w:val="21"/>
        </w:rPr>
        <w:t>特此公告。</w:t>
      </w:r>
    </w:p>
    <w:p w:rsidR="00FF196C" w:rsidRDefault="00FF196C" w:rsidP="00FF196C">
      <w:pPr>
        <w:jc w:val="right"/>
        <w:rPr>
          <w:rFonts w:ascii="Times New Roman" w:hAnsi="Times New Roman"/>
          <w:szCs w:val="21"/>
        </w:rPr>
      </w:pPr>
    </w:p>
    <w:p w:rsidR="00191C10" w:rsidRPr="00191C10" w:rsidRDefault="00191C10" w:rsidP="00191C10">
      <w:pPr>
        <w:pStyle w:val="a5"/>
        <w:ind w:leftChars="200" w:left="420"/>
        <w:jc w:val="right"/>
        <w:rPr>
          <w:sz w:val="21"/>
          <w:szCs w:val="21"/>
        </w:rPr>
      </w:pPr>
      <w:r w:rsidRPr="00191C10">
        <w:rPr>
          <w:sz w:val="21"/>
          <w:szCs w:val="21"/>
        </w:rPr>
        <w:lastRenderedPageBreak/>
        <w:t>摩根士丹利华鑫基金管理有限公司</w:t>
      </w:r>
    </w:p>
    <w:p w:rsidR="00191C10" w:rsidRPr="00191C10" w:rsidRDefault="00191C10" w:rsidP="00191C10">
      <w:pPr>
        <w:pStyle w:val="a5"/>
        <w:ind w:leftChars="200" w:left="420"/>
        <w:jc w:val="right"/>
        <w:rPr>
          <w:sz w:val="21"/>
          <w:szCs w:val="21"/>
        </w:rPr>
      </w:pPr>
      <w:r w:rsidRPr="00191C10">
        <w:rPr>
          <w:sz w:val="21"/>
          <w:szCs w:val="21"/>
        </w:rPr>
        <w:t>二○</w:t>
      </w:r>
      <w:r w:rsidR="00F77363" w:rsidRPr="00191C10">
        <w:rPr>
          <w:sz w:val="21"/>
          <w:szCs w:val="21"/>
        </w:rPr>
        <w:t>二○</w:t>
      </w:r>
      <w:r w:rsidRPr="00191C10">
        <w:rPr>
          <w:sz w:val="21"/>
          <w:szCs w:val="21"/>
        </w:rPr>
        <w:t>年</w:t>
      </w:r>
      <w:r w:rsidR="00F77363">
        <w:rPr>
          <w:rFonts w:hint="eastAsia"/>
          <w:sz w:val="21"/>
          <w:szCs w:val="21"/>
        </w:rPr>
        <w:t>三</w:t>
      </w:r>
      <w:r w:rsidRPr="00191C10">
        <w:rPr>
          <w:sz w:val="21"/>
          <w:szCs w:val="21"/>
        </w:rPr>
        <w:t>月</w:t>
      </w:r>
      <w:r w:rsidR="00F77363">
        <w:rPr>
          <w:rFonts w:hint="eastAsia"/>
          <w:sz w:val="21"/>
          <w:szCs w:val="21"/>
        </w:rPr>
        <w:t>十六</w:t>
      </w:r>
      <w:r w:rsidRPr="00191C10">
        <w:rPr>
          <w:sz w:val="21"/>
          <w:szCs w:val="21"/>
        </w:rPr>
        <w:t>日</w:t>
      </w:r>
    </w:p>
    <w:p w:rsidR="00191C10" w:rsidRDefault="00191C10" w:rsidP="00191C10">
      <w:pPr>
        <w:pStyle w:val="a5"/>
      </w:pPr>
    </w:p>
    <w:p w:rsidR="00FF196C" w:rsidRPr="00FF196C" w:rsidRDefault="00FF196C" w:rsidP="00FF196C">
      <w:pPr>
        <w:ind w:right="840"/>
        <w:jc w:val="right"/>
        <w:rPr>
          <w:b/>
        </w:rPr>
      </w:pPr>
    </w:p>
    <w:sectPr w:rsidR="00FF196C" w:rsidRPr="00FF196C" w:rsidSect="00EE50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03" w:rsidRDefault="00055E03" w:rsidP="00895A93">
      <w:r>
        <w:separator/>
      </w:r>
    </w:p>
  </w:endnote>
  <w:endnote w:type="continuationSeparator" w:id="1">
    <w:p w:rsidR="00055E03" w:rsidRDefault="00055E03" w:rsidP="00895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03" w:rsidRDefault="00055E03" w:rsidP="00895A93">
      <w:r>
        <w:separator/>
      </w:r>
    </w:p>
  </w:footnote>
  <w:footnote w:type="continuationSeparator" w:id="1">
    <w:p w:rsidR="00055E03" w:rsidRDefault="00055E03" w:rsidP="00895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07A"/>
    <w:multiLevelType w:val="hybridMultilevel"/>
    <w:tmpl w:val="DFFC84EA"/>
    <w:lvl w:ilvl="0" w:tplc="5CE409F2">
      <w:start w:val="1"/>
      <w:numFmt w:val="japaneseCounting"/>
      <w:lvlText w:val="%1、"/>
      <w:lvlJc w:val="left"/>
      <w:pPr>
        <w:ind w:left="825" w:hanging="420"/>
      </w:pPr>
      <w:rPr>
        <w:rFonts w:hint="default"/>
      </w:rPr>
    </w:lvl>
    <w:lvl w:ilvl="1" w:tplc="0409000F">
      <w:start w:val="1"/>
      <w:numFmt w:val="decimal"/>
      <w:lvlText w:val="%2."/>
      <w:lvlJc w:val="left"/>
      <w:pPr>
        <w:ind w:left="987"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70B0"/>
    <w:rsid w:val="000072BC"/>
    <w:rsid w:val="00055E03"/>
    <w:rsid w:val="0008133E"/>
    <w:rsid w:val="00111F89"/>
    <w:rsid w:val="00165CE5"/>
    <w:rsid w:val="00191C10"/>
    <w:rsid w:val="001B12C1"/>
    <w:rsid w:val="002B47B3"/>
    <w:rsid w:val="00326E5F"/>
    <w:rsid w:val="00337E01"/>
    <w:rsid w:val="0057024C"/>
    <w:rsid w:val="005E70B0"/>
    <w:rsid w:val="007458F5"/>
    <w:rsid w:val="00895A93"/>
    <w:rsid w:val="009414CB"/>
    <w:rsid w:val="00A30B48"/>
    <w:rsid w:val="00C01576"/>
    <w:rsid w:val="00C47CDA"/>
    <w:rsid w:val="00DF42FB"/>
    <w:rsid w:val="00EE5067"/>
    <w:rsid w:val="00F77363"/>
    <w:rsid w:val="00FB229C"/>
    <w:rsid w:val="00FF19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5A93"/>
    <w:rPr>
      <w:sz w:val="18"/>
      <w:szCs w:val="18"/>
    </w:rPr>
  </w:style>
  <w:style w:type="paragraph" w:styleId="a4">
    <w:name w:val="footer"/>
    <w:basedOn w:val="a"/>
    <w:link w:val="Char0"/>
    <w:uiPriority w:val="99"/>
    <w:unhideWhenUsed/>
    <w:rsid w:val="00895A93"/>
    <w:pPr>
      <w:tabs>
        <w:tab w:val="center" w:pos="4153"/>
        <w:tab w:val="right" w:pos="8306"/>
      </w:tabs>
      <w:snapToGrid w:val="0"/>
      <w:jc w:val="left"/>
    </w:pPr>
    <w:rPr>
      <w:sz w:val="18"/>
      <w:szCs w:val="18"/>
    </w:rPr>
  </w:style>
  <w:style w:type="character" w:customStyle="1" w:styleId="Char0">
    <w:name w:val="页脚 Char"/>
    <w:basedOn w:val="a0"/>
    <w:link w:val="a4"/>
    <w:uiPriority w:val="99"/>
    <w:rsid w:val="00895A93"/>
    <w:rPr>
      <w:sz w:val="18"/>
      <w:szCs w:val="18"/>
    </w:rPr>
  </w:style>
  <w:style w:type="paragraph" w:customStyle="1" w:styleId="Default">
    <w:name w:val="Default"/>
    <w:rsid w:val="00895A93"/>
    <w:pPr>
      <w:widowControl w:val="0"/>
      <w:autoSpaceDE w:val="0"/>
      <w:autoSpaceDN w:val="0"/>
      <w:adjustRightInd w:val="0"/>
    </w:pPr>
    <w:rPr>
      <w:rFonts w:ascii="宋体" w:eastAsia="宋体" w:hAnsi="Calibri" w:cs="宋体"/>
      <w:color w:val="000000"/>
      <w:kern w:val="0"/>
      <w:sz w:val="24"/>
      <w:szCs w:val="24"/>
    </w:rPr>
  </w:style>
  <w:style w:type="paragraph" w:styleId="a5">
    <w:name w:val="Normal (Web)"/>
    <w:basedOn w:val="a"/>
    <w:uiPriority w:val="99"/>
    <w:semiHidden/>
    <w:unhideWhenUsed/>
    <w:rsid w:val="00191C10"/>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F77363"/>
    <w:rPr>
      <w:sz w:val="18"/>
      <w:szCs w:val="18"/>
    </w:rPr>
  </w:style>
  <w:style w:type="character" w:customStyle="1" w:styleId="Char1">
    <w:name w:val="批注框文本 Char"/>
    <w:basedOn w:val="a0"/>
    <w:link w:val="a6"/>
    <w:uiPriority w:val="99"/>
    <w:semiHidden/>
    <w:rsid w:val="00F77363"/>
    <w:rPr>
      <w:rFonts w:ascii="Calibri" w:eastAsia="宋体" w:hAnsi="Calibri" w:cs="Times New Roman"/>
      <w:sz w:val="18"/>
      <w:szCs w:val="18"/>
    </w:rPr>
  </w:style>
  <w:style w:type="character" w:styleId="a7">
    <w:name w:val="annotation reference"/>
    <w:basedOn w:val="a0"/>
    <w:uiPriority w:val="99"/>
    <w:semiHidden/>
    <w:unhideWhenUsed/>
    <w:rsid w:val="00FB229C"/>
    <w:rPr>
      <w:sz w:val="21"/>
      <w:szCs w:val="21"/>
    </w:rPr>
  </w:style>
  <w:style w:type="paragraph" w:styleId="a8">
    <w:name w:val="annotation text"/>
    <w:basedOn w:val="a"/>
    <w:link w:val="Char2"/>
    <w:uiPriority w:val="99"/>
    <w:semiHidden/>
    <w:unhideWhenUsed/>
    <w:rsid w:val="00FB229C"/>
    <w:pPr>
      <w:jc w:val="left"/>
    </w:pPr>
  </w:style>
  <w:style w:type="character" w:customStyle="1" w:styleId="Char2">
    <w:name w:val="批注文字 Char"/>
    <w:basedOn w:val="a0"/>
    <w:link w:val="a8"/>
    <w:uiPriority w:val="99"/>
    <w:semiHidden/>
    <w:rsid w:val="00FB229C"/>
    <w:rPr>
      <w:rFonts w:ascii="Calibri" w:eastAsia="宋体" w:hAnsi="Calibri" w:cs="Times New Roman"/>
    </w:rPr>
  </w:style>
  <w:style w:type="paragraph" w:styleId="a9">
    <w:name w:val="annotation subject"/>
    <w:basedOn w:val="a8"/>
    <w:next w:val="a8"/>
    <w:link w:val="Char3"/>
    <w:uiPriority w:val="99"/>
    <w:semiHidden/>
    <w:unhideWhenUsed/>
    <w:rsid w:val="00FB229C"/>
    <w:rPr>
      <w:b/>
      <w:bCs/>
    </w:rPr>
  </w:style>
  <w:style w:type="character" w:customStyle="1" w:styleId="Char3">
    <w:name w:val="批注主题 Char"/>
    <w:basedOn w:val="Char2"/>
    <w:link w:val="a9"/>
    <w:uiPriority w:val="99"/>
    <w:semiHidden/>
    <w:rsid w:val="00FB229C"/>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divs>
    <w:div w:id="937981235">
      <w:bodyDiv w:val="1"/>
      <w:marLeft w:val="0"/>
      <w:marRight w:val="0"/>
      <w:marTop w:val="0"/>
      <w:marBottom w:val="0"/>
      <w:divBdr>
        <w:top w:val="none" w:sz="0" w:space="0" w:color="auto"/>
        <w:left w:val="none" w:sz="0" w:space="0" w:color="auto"/>
        <w:bottom w:val="none" w:sz="0" w:space="0" w:color="auto"/>
        <w:right w:val="none" w:sz="0" w:space="0" w:color="auto"/>
      </w:divBdr>
    </w:div>
    <w:div w:id="1916358116">
      <w:bodyDiv w:val="1"/>
      <w:marLeft w:val="0"/>
      <w:marRight w:val="0"/>
      <w:marTop w:val="0"/>
      <w:marBottom w:val="0"/>
      <w:divBdr>
        <w:top w:val="none" w:sz="0" w:space="0" w:color="auto"/>
        <w:left w:val="none" w:sz="0" w:space="0" w:color="auto"/>
        <w:bottom w:val="none" w:sz="0" w:space="0" w:color="auto"/>
        <w:right w:val="none" w:sz="0" w:space="0" w:color="auto"/>
      </w:divBdr>
    </w:div>
    <w:div w:id="19889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08FFBCBD502A2942BEC9B6BC3F61FB6C" ma:contentTypeVersion="0" ma:contentTypeDescription="新建文档。" ma:contentTypeScope="" ma:versionID="b6e4eda2d6994832d57c1d9581d890d0">
  <xsd:schema xmlns:xsd="http://www.w3.org/2001/XMLSchema" xmlns:xs="http://www.w3.org/2001/XMLSchema" xmlns:p="http://schemas.microsoft.com/office/2006/metadata/properties" targetNamespace="http://schemas.microsoft.com/office/2006/metadata/properties" ma:root="true" ma:fieldsID="e8f872aa5919130a473c1c9447df83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3A232-4F22-4579-BC3C-FB61AC33DA78}">
  <ds:schemaRefs>
    <ds:schemaRef ds:uri="http://schemas.microsoft.com/sharepoint/v3/contenttype/forms"/>
  </ds:schemaRefs>
</ds:datastoreItem>
</file>

<file path=customXml/itemProps2.xml><?xml version="1.0" encoding="utf-8"?>
<ds:datastoreItem xmlns:ds="http://schemas.openxmlformats.org/officeDocument/2006/customXml" ds:itemID="{F6FF7E2E-B1E0-4FDB-BF10-8E3319142D1F}">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A687743A-0383-4AC2-B392-DB88C44F3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1358</Characters>
  <Application>Microsoft Office Word</Application>
  <DocSecurity>4</DocSecurity>
  <Lines>11</Lines>
  <Paragraphs>3</Paragraphs>
  <ScaleCrop>false</ScaleCrop>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金丹</dc:creator>
  <cp:keywords/>
  <dc:description/>
  <cp:lastModifiedBy>JonMMx 2000</cp:lastModifiedBy>
  <cp:revision>2</cp:revision>
  <dcterms:created xsi:type="dcterms:W3CDTF">2020-03-15T16:03:00Z</dcterms:created>
  <dcterms:modified xsi:type="dcterms:W3CDTF">2020-03-15T16:03:00Z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0x01010008FFBCBD502A2942BEC9B6BC3F61FB6C</vt:lpwstr>
  </property>
</Properties>
</file>