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4E2ABA" w:rsidRDefault="00C7569E" w:rsidP="000A321D">
      <w:pPr>
        <w:spacing w:line="360" w:lineRule="auto"/>
        <w:ind w:left="353" w:hanging="353"/>
        <w:jc w:val="center"/>
        <w:rPr>
          <w:rFonts w:ascii="Times New Roman" w:eastAsia="宋体" w:hAnsi="Times New Roman" w:cs="Times New Roman"/>
          <w:b/>
          <w:bCs/>
          <w:sz w:val="28"/>
          <w:szCs w:val="28"/>
        </w:rPr>
      </w:pPr>
      <w:r w:rsidRPr="004E2ABA">
        <w:rPr>
          <w:rFonts w:ascii="Times New Roman" w:eastAsia="宋体" w:hAnsi="Times New Roman" w:cs="Times New Roman"/>
          <w:b/>
          <w:bCs/>
          <w:sz w:val="28"/>
          <w:szCs w:val="28"/>
        </w:rPr>
        <w:t>国泰基金管理有限公司</w:t>
      </w:r>
      <w:r w:rsidR="007300ED" w:rsidRPr="004E2ABA">
        <w:rPr>
          <w:rFonts w:ascii="Times New Roman" w:eastAsia="宋体" w:hAnsi="Times New Roman" w:cs="Times New Roman"/>
          <w:b/>
          <w:bCs/>
          <w:sz w:val="28"/>
          <w:szCs w:val="28"/>
        </w:rPr>
        <w:t>关于</w:t>
      </w:r>
      <w:r w:rsidR="00286F38" w:rsidRPr="004E2ABA">
        <w:rPr>
          <w:rFonts w:ascii="Times New Roman" w:eastAsia="宋体" w:hAnsi="Times New Roman" w:cs="Times New Roman"/>
          <w:b/>
          <w:bCs/>
          <w:sz w:val="28"/>
          <w:szCs w:val="28"/>
        </w:rPr>
        <w:t>西藏东方财富证券股份有限公司</w:t>
      </w:r>
      <w:r w:rsidR="007300ED" w:rsidRPr="004E2ABA">
        <w:rPr>
          <w:rFonts w:ascii="Times New Roman" w:eastAsia="宋体" w:hAnsi="Times New Roman" w:cs="Times New Roman"/>
          <w:b/>
          <w:bCs/>
          <w:sz w:val="28"/>
          <w:szCs w:val="28"/>
        </w:rPr>
        <w:t>新增销售旗下部分基金并开通转换业务的公告</w:t>
      </w:r>
    </w:p>
    <w:p w:rsidR="000A321D" w:rsidRPr="004E2ABA" w:rsidRDefault="000A321D" w:rsidP="000A321D">
      <w:pPr>
        <w:spacing w:line="360" w:lineRule="auto"/>
        <w:ind w:left="353" w:hanging="353"/>
        <w:jc w:val="center"/>
        <w:rPr>
          <w:rFonts w:ascii="Times New Roman" w:eastAsia="宋体" w:hAnsi="Times New Roman" w:cs="Times New Roman"/>
          <w:b/>
          <w:bCs/>
          <w:szCs w:val="21"/>
        </w:rPr>
      </w:pPr>
    </w:p>
    <w:p w:rsidR="007F40B3" w:rsidRPr="004E2ABA" w:rsidRDefault="000A321D" w:rsidP="00C85866">
      <w:pPr>
        <w:pStyle w:val="Default"/>
        <w:tabs>
          <w:tab w:val="left" w:pos="426"/>
        </w:tabs>
        <w:spacing w:line="360" w:lineRule="auto"/>
        <w:ind w:leftChars="43" w:left="90" w:firstLineChars="207" w:firstLine="435"/>
        <w:jc w:val="both"/>
        <w:rPr>
          <w:rFonts w:ascii="Times New Roman" w:hAnsi="Times New Roman" w:cs="Times New Roman"/>
          <w:color w:val="auto"/>
          <w:sz w:val="21"/>
          <w:szCs w:val="21"/>
        </w:rPr>
      </w:pPr>
      <w:r w:rsidRPr="004E2ABA">
        <w:rPr>
          <w:rFonts w:ascii="Times New Roman" w:hAnsi="Times New Roman" w:cs="Times New Roman"/>
          <w:color w:val="auto"/>
          <w:sz w:val="21"/>
          <w:szCs w:val="21"/>
        </w:rPr>
        <w:t>根据国泰基金管理有限公司（以下简称</w:t>
      </w:r>
      <w:r w:rsidR="008B597D" w:rsidRPr="004E2ABA">
        <w:rPr>
          <w:rFonts w:ascii="Times New Roman" w:hAnsi="Times New Roman" w:cs="Times New Roman"/>
          <w:color w:val="auto"/>
          <w:sz w:val="21"/>
          <w:szCs w:val="21"/>
        </w:rPr>
        <w:t>“</w:t>
      </w:r>
      <w:r w:rsidRPr="004E2ABA">
        <w:rPr>
          <w:rFonts w:ascii="Times New Roman" w:hAnsi="Times New Roman" w:cs="Times New Roman"/>
          <w:color w:val="auto"/>
          <w:sz w:val="21"/>
          <w:szCs w:val="21"/>
        </w:rPr>
        <w:t>本基金管理人</w:t>
      </w:r>
      <w:r w:rsidR="008B597D" w:rsidRPr="004E2ABA">
        <w:rPr>
          <w:rFonts w:ascii="Times New Roman" w:hAnsi="Times New Roman" w:cs="Times New Roman"/>
          <w:color w:val="auto"/>
          <w:sz w:val="21"/>
          <w:szCs w:val="21"/>
        </w:rPr>
        <w:t>”</w:t>
      </w:r>
      <w:r w:rsidRPr="004E2ABA">
        <w:rPr>
          <w:rFonts w:ascii="Times New Roman" w:hAnsi="Times New Roman" w:cs="Times New Roman"/>
          <w:color w:val="auto"/>
          <w:sz w:val="21"/>
          <w:szCs w:val="21"/>
        </w:rPr>
        <w:t>）与</w:t>
      </w:r>
      <w:r w:rsidR="00286F38" w:rsidRPr="004E2ABA">
        <w:rPr>
          <w:rFonts w:ascii="Times New Roman" w:hAnsi="Times New Roman" w:cs="Times New Roman"/>
          <w:color w:val="auto"/>
          <w:sz w:val="21"/>
          <w:szCs w:val="21"/>
        </w:rPr>
        <w:t>西藏东方财富证券股份有限公司</w:t>
      </w:r>
      <w:r w:rsidRPr="004E2ABA">
        <w:rPr>
          <w:rFonts w:ascii="Times New Roman" w:hAnsi="Times New Roman" w:cs="Times New Roman"/>
          <w:color w:val="auto"/>
          <w:sz w:val="21"/>
          <w:szCs w:val="21"/>
        </w:rPr>
        <w:t>（以下简称</w:t>
      </w:r>
      <w:r w:rsidR="008B597D" w:rsidRPr="004E2ABA">
        <w:rPr>
          <w:rFonts w:ascii="Times New Roman" w:hAnsi="Times New Roman" w:cs="Times New Roman"/>
          <w:color w:val="auto"/>
          <w:sz w:val="21"/>
          <w:szCs w:val="21"/>
        </w:rPr>
        <w:t>“</w:t>
      </w:r>
      <w:r w:rsidR="00286F38" w:rsidRPr="004E2ABA">
        <w:rPr>
          <w:rFonts w:ascii="Times New Roman" w:hAnsi="Times New Roman" w:cs="Times New Roman"/>
          <w:color w:val="auto"/>
          <w:sz w:val="21"/>
          <w:szCs w:val="21"/>
        </w:rPr>
        <w:t>东方财富</w:t>
      </w:r>
      <w:r w:rsidR="008B597D" w:rsidRPr="004E2ABA">
        <w:rPr>
          <w:rFonts w:ascii="Times New Roman" w:hAnsi="Times New Roman" w:cs="Times New Roman"/>
          <w:color w:val="auto"/>
          <w:sz w:val="21"/>
          <w:szCs w:val="21"/>
        </w:rPr>
        <w:t>证券</w:t>
      </w:r>
      <w:r w:rsidR="008B597D" w:rsidRPr="004E2ABA">
        <w:rPr>
          <w:rFonts w:ascii="Times New Roman" w:hAnsi="Times New Roman" w:cs="Times New Roman"/>
          <w:color w:val="auto"/>
          <w:sz w:val="21"/>
          <w:szCs w:val="21"/>
        </w:rPr>
        <w:t>”</w:t>
      </w:r>
      <w:r w:rsidRPr="004E2ABA">
        <w:rPr>
          <w:rFonts w:ascii="Times New Roman" w:hAnsi="Times New Roman" w:cs="Times New Roman"/>
          <w:color w:val="auto"/>
          <w:sz w:val="21"/>
          <w:szCs w:val="21"/>
        </w:rPr>
        <w:t>）签署的基金销售协议，经双方协商一致，</w:t>
      </w:r>
      <w:r w:rsidR="00286F38" w:rsidRPr="004E2ABA">
        <w:rPr>
          <w:rFonts w:ascii="Times New Roman" w:hAnsi="Times New Roman" w:cs="Times New Roman"/>
          <w:color w:val="auto"/>
          <w:sz w:val="21"/>
          <w:szCs w:val="21"/>
        </w:rPr>
        <w:t>东方财富证券</w:t>
      </w:r>
      <w:r w:rsidRPr="004E2ABA">
        <w:rPr>
          <w:rFonts w:ascii="Times New Roman" w:hAnsi="Times New Roman" w:cs="Times New Roman"/>
          <w:color w:val="auto"/>
          <w:sz w:val="21"/>
          <w:szCs w:val="21"/>
        </w:rPr>
        <w:t>决定</w:t>
      </w:r>
      <w:r w:rsidR="007F40B3" w:rsidRPr="004E2ABA">
        <w:rPr>
          <w:rFonts w:ascii="Times New Roman" w:hAnsi="Times New Roman" w:cs="Times New Roman"/>
          <w:color w:val="auto"/>
          <w:sz w:val="21"/>
          <w:szCs w:val="21"/>
        </w:rPr>
        <w:t>自</w:t>
      </w:r>
      <w:r w:rsidR="00AC2B19" w:rsidRPr="004E2ABA">
        <w:rPr>
          <w:rFonts w:ascii="Times New Roman" w:hAnsi="Times New Roman" w:cs="Times New Roman"/>
          <w:color w:val="auto"/>
          <w:sz w:val="21"/>
          <w:szCs w:val="21"/>
        </w:rPr>
        <w:t>20</w:t>
      </w:r>
      <w:r w:rsidR="00286F38" w:rsidRPr="004E2ABA">
        <w:rPr>
          <w:rFonts w:ascii="Times New Roman" w:hAnsi="Times New Roman" w:cs="Times New Roman"/>
          <w:color w:val="auto"/>
          <w:sz w:val="21"/>
          <w:szCs w:val="21"/>
        </w:rPr>
        <w:t>20</w:t>
      </w:r>
      <w:r w:rsidR="00AC2B19" w:rsidRPr="004E2ABA">
        <w:rPr>
          <w:rFonts w:ascii="Times New Roman" w:hAnsi="Times New Roman" w:cs="Times New Roman"/>
          <w:color w:val="auto"/>
          <w:sz w:val="21"/>
          <w:szCs w:val="21"/>
        </w:rPr>
        <w:t>年</w:t>
      </w:r>
      <w:r w:rsidR="0090354E" w:rsidRPr="004E2ABA">
        <w:rPr>
          <w:rFonts w:ascii="Times New Roman" w:hAnsi="Times New Roman" w:cs="Times New Roman"/>
          <w:color w:val="auto"/>
          <w:sz w:val="21"/>
          <w:szCs w:val="21"/>
        </w:rPr>
        <w:t>3</w:t>
      </w:r>
      <w:r w:rsidR="00AC2B19" w:rsidRPr="004E2ABA">
        <w:rPr>
          <w:rFonts w:ascii="Times New Roman" w:hAnsi="Times New Roman" w:cs="Times New Roman"/>
          <w:color w:val="auto"/>
          <w:sz w:val="21"/>
          <w:szCs w:val="21"/>
        </w:rPr>
        <w:t>月</w:t>
      </w:r>
      <w:r w:rsidR="0090354E" w:rsidRPr="004E2ABA">
        <w:rPr>
          <w:rFonts w:ascii="Times New Roman" w:hAnsi="Times New Roman" w:cs="Times New Roman"/>
          <w:color w:val="auto"/>
          <w:sz w:val="21"/>
          <w:szCs w:val="21"/>
        </w:rPr>
        <w:t>5</w:t>
      </w:r>
      <w:r w:rsidR="00DB6DA0" w:rsidRPr="004E2ABA">
        <w:rPr>
          <w:rFonts w:ascii="Times New Roman" w:hAnsi="Times New Roman" w:cs="Times New Roman"/>
          <w:color w:val="auto"/>
          <w:sz w:val="21"/>
          <w:szCs w:val="21"/>
        </w:rPr>
        <w:t>日</w:t>
      </w:r>
      <w:r w:rsidR="007F40B3" w:rsidRPr="004E2ABA">
        <w:rPr>
          <w:rFonts w:ascii="Times New Roman" w:hAnsi="Times New Roman" w:cs="Times New Roman"/>
          <w:color w:val="auto"/>
          <w:sz w:val="21"/>
          <w:szCs w:val="21"/>
        </w:rPr>
        <w:t>起</w:t>
      </w:r>
      <w:r w:rsidR="00DB6DA0" w:rsidRPr="004E2ABA">
        <w:rPr>
          <w:rFonts w:ascii="Times New Roman" w:hAnsi="Times New Roman" w:cs="Times New Roman"/>
          <w:color w:val="auto"/>
          <w:sz w:val="21"/>
          <w:szCs w:val="21"/>
        </w:rPr>
        <w:t>新增</w:t>
      </w:r>
      <w:r w:rsidR="00976E0D" w:rsidRPr="004E2ABA">
        <w:rPr>
          <w:rFonts w:ascii="Times New Roman" w:hAnsi="Times New Roman" w:cs="Times New Roman"/>
          <w:color w:val="auto"/>
          <w:sz w:val="21"/>
          <w:szCs w:val="21"/>
        </w:rPr>
        <w:t>销售</w:t>
      </w:r>
      <w:r w:rsidR="00743DC7" w:rsidRPr="004E2ABA">
        <w:rPr>
          <w:rFonts w:ascii="Times New Roman" w:hAnsi="Times New Roman" w:cs="Times New Roman"/>
          <w:color w:val="auto"/>
          <w:sz w:val="21"/>
          <w:szCs w:val="21"/>
        </w:rPr>
        <w:t>本基金管理人</w:t>
      </w:r>
      <w:r w:rsidR="00BA2DC8" w:rsidRPr="004E2ABA">
        <w:rPr>
          <w:rFonts w:ascii="Times New Roman" w:hAnsi="Times New Roman" w:cs="Times New Roman"/>
          <w:color w:val="auto"/>
          <w:sz w:val="21"/>
          <w:szCs w:val="21"/>
        </w:rPr>
        <w:t>旗下</w:t>
      </w:r>
      <w:r w:rsidR="00DB6DA0" w:rsidRPr="004E2ABA">
        <w:rPr>
          <w:rFonts w:ascii="Times New Roman" w:hAnsi="Times New Roman" w:cs="Times New Roman"/>
          <w:color w:val="auto"/>
          <w:sz w:val="21"/>
          <w:szCs w:val="21"/>
        </w:rPr>
        <w:t>部分基金</w:t>
      </w:r>
      <w:r w:rsidR="00976E0D" w:rsidRPr="004E2ABA">
        <w:rPr>
          <w:rFonts w:ascii="Times New Roman" w:hAnsi="Times New Roman" w:cs="Times New Roman"/>
          <w:color w:val="auto"/>
          <w:sz w:val="21"/>
          <w:szCs w:val="21"/>
        </w:rPr>
        <w:t>并开通转换业务。</w:t>
      </w:r>
      <w:r w:rsidR="007F40B3" w:rsidRPr="004E2ABA">
        <w:rPr>
          <w:rFonts w:ascii="Times New Roman" w:hAnsi="Times New Roman" w:cs="Times New Roman"/>
          <w:color w:val="auto"/>
          <w:sz w:val="21"/>
          <w:szCs w:val="21"/>
        </w:rPr>
        <w:t>投资人可通过</w:t>
      </w:r>
      <w:r w:rsidR="00286F38" w:rsidRPr="004E2ABA">
        <w:rPr>
          <w:rFonts w:ascii="Times New Roman" w:hAnsi="Times New Roman" w:cs="Times New Roman"/>
          <w:color w:val="auto"/>
          <w:sz w:val="21"/>
          <w:szCs w:val="21"/>
        </w:rPr>
        <w:t>东方财富</w:t>
      </w:r>
      <w:r w:rsidR="008B597D" w:rsidRPr="004E2ABA">
        <w:rPr>
          <w:rFonts w:ascii="Times New Roman" w:hAnsi="Times New Roman" w:cs="Times New Roman"/>
          <w:color w:val="auto"/>
          <w:sz w:val="21"/>
          <w:szCs w:val="21"/>
        </w:rPr>
        <w:t>证券</w:t>
      </w:r>
      <w:r w:rsidR="007F40B3" w:rsidRPr="004E2ABA">
        <w:rPr>
          <w:rFonts w:ascii="Times New Roman" w:hAnsi="Times New Roman" w:cs="Times New Roman"/>
          <w:color w:val="auto"/>
          <w:sz w:val="21"/>
          <w:szCs w:val="21"/>
        </w:rPr>
        <w:t>办理基金</w:t>
      </w:r>
      <w:r w:rsidR="00743DC7" w:rsidRPr="004E2ABA">
        <w:rPr>
          <w:rFonts w:ascii="Times New Roman" w:hAnsi="Times New Roman" w:cs="Times New Roman"/>
          <w:color w:val="auto"/>
          <w:sz w:val="21"/>
          <w:szCs w:val="21"/>
        </w:rPr>
        <w:t>的</w:t>
      </w:r>
      <w:r w:rsidR="007F40B3" w:rsidRPr="004E2ABA">
        <w:rPr>
          <w:rFonts w:ascii="Times New Roman" w:hAnsi="Times New Roman" w:cs="Times New Roman"/>
          <w:color w:val="auto"/>
          <w:sz w:val="21"/>
          <w:szCs w:val="21"/>
        </w:rPr>
        <w:t>开户、申购</w:t>
      </w:r>
      <w:r w:rsidR="00C45D1B" w:rsidRPr="004E2ABA">
        <w:rPr>
          <w:rFonts w:ascii="Times New Roman" w:hAnsi="Times New Roman" w:cs="Times New Roman"/>
          <w:color w:val="auto"/>
          <w:sz w:val="21"/>
          <w:szCs w:val="21"/>
        </w:rPr>
        <w:t>、转换、</w:t>
      </w:r>
      <w:r w:rsidR="007F40B3" w:rsidRPr="004E2ABA">
        <w:rPr>
          <w:rFonts w:ascii="Times New Roman" w:hAnsi="Times New Roman" w:cs="Times New Roman"/>
          <w:color w:val="auto"/>
          <w:sz w:val="21"/>
          <w:szCs w:val="21"/>
        </w:rPr>
        <w:t>赎回等业务。具体公告如下：</w:t>
      </w:r>
    </w:p>
    <w:p w:rsidR="00620140" w:rsidRPr="004E2ABA" w:rsidRDefault="00620140" w:rsidP="009824B2">
      <w:pPr>
        <w:pStyle w:val="Default"/>
        <w:tabs>
          <w:tab w:val="left" w:pos="426"/>
        </w:tabs>
        <w:spacing w:line="360" w:lineRule="auto"/>
        <w:ind w:leftChars="43" w:left="90" w:firstLineChars="207" w:firstLine="435"/>
        <w:rPr>
          <w:rFonts w:ascii="Times New Roman" w:hAnsi="Times New Roman" w:cs="Times New Roman"/>
          <w:color w:val="auto"/>
          <w:sz w:val="21"/>
          <w:szCs w:val="21"/>
        </w:rPr>
      </w:pPr>
    </w:p>
    <w:p w:rsidR="00286F38" w:rsidRPr="004E2ABA" w:rsidRDefault="009864C9" w:rsidP="00286F38">
      <w:pPr>
        <w:pStyle w:val="CM12"/>
        <w:numPr>
          <w:ilvl w:val="0"/>
          <w:numId w:val="3"/>
        </w:numPr>
        <w:spacing w:line="360" w:lineRule="auto"/>
        <w:jc w:val="both"/>
        <w:rPr>
          <w:rFonts w:ascii="Times New Roman" w:hAnsi="Times New Roman" w:cs="Times New Roman"/>
          <w:sz w:val="21"/>
          <w:szCs w:val="21"/>
        </w:rPr>
      </w:pPr>
      <w:r w:rsidRPr="004E2ABA">
        <w:rPr>
          <w:rFonts w:ascii="Times New Roman" w:hAnsi="Times New Roman" w:cs="Times New Roman"/>
          <w:sz w:val="21"/>
          <w:szCs w:val="21"/>
        </w:rPr>
        <w:t>适用基金列表</w:t>
      </w:r>
      <w:r w:rsidR="007F40B3" w:rsidRPr="004E2ABA">
        <w:rPr>
          <w:rFonts w:ascii="Times New Roman" w:hAnsi="Times New Roman" w:cs="Times New Roman"/>
          <w:sz w:val="21"/>
          <w:szCs w:val="21"/>
        </w:rPr>
        <w:t>：</w:t>
      </w:r>
    </w:p>
    <w:tbl>
      <w:tblPr>
        <w:tblW w:w="8797" w:type="dxa"/>
        <w:jc w:val="center"/>
        <w:tblLook w:val="04A0"/>
      </w:tblPr>
      <w:tblGrid>
        <w:gridCol w:w="1143"/>
        <w:gridCol w:w="7654"/>
      </w:tblGrid>
      <w:tr w:rsidR="00286F38" w:rsidRPr="004E2ABA" w:rsidTr="00E714AC">
        <w:trPr>
          <w:trHeight w:val="270"/>
          <w:jc w:val="center"/>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F38" w:rsidRPr="004E2ABA" w:rsidRDefault="00286F38" w:rsidP="00E714AC">
            <w:pPr>
              <w:widowControl/>
              <w:spacing w:line="360" w:lineRule="auto"/>
              <w:jc w:val="center"/>
              <w:rPr>
                <w:rFonts w:ascii="Times New Roman" w:eastAsia="宋体" w:hAnsi="Times New Roman" w:cs="Times New Roman"/>
                <w:b/>
                <w:bCs/>
                <w:color w:val="000000"/>
                <w:kern w:val="0"/>
                <w:szCs w:val="21"/>
              </w:rPr>
            </w:pPr>
            <w:r w:rsidRPr="004E2ABA">
              <w:rPr>
                <w:rFonts w:ascii="Times New Roman" w:eastAsia="宋体" w:hAnsi="Times New Roman" w:cs="Times New Roman"/>
                <w:b/>
                <w:bCs/>
                <w:color w:val="000000"/>
                <w:kern w:val="0"/>
                <w:szCs w:val="21"/>
              </w:rPr>
              <w:t>基金代码</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286F38" w:rsidRPr="004E2ABA" w:rsidRDefault="00286F38" w:rsidP="00E714AC">
            <w:pPr>
              <w:widowControl/>
              <w:spacing w:line="360" w:lineRule="auto"/>
              <w:jc w:val="center"/>
              <w:rPr>
                <w:rFonts w:ascii="Times New Roman" w:eastAsia="宋体" w:hAnsi="Times New Roman" w:cs="Times New Roman"/>
                <w:b/>
                <w:bCs/>
                <w:color w:val="000000"/>
                <w:kern w:val="0"/>
                <w:szCs w:val="21"/>
              </w:rPr>
            </w:pPr>
            <w:r w:rsidRPr="004E2ABA">
              <w:rPr>
                <w:rFonts w:ascii="Times New Roman" w:eastAsia="宋体" w:hAnsi="Times New Roman" w:cs="Times New Roman"/>
                <w:b/>
                <w:bCs/>
                <w:color w:val="000000"/>
                <w:kern w:val="0"/>
                <w:szCs w:val="21"/>
              </w:rPr>
              <w:t>基金</w:t>
            </w:r>
            <w:r w:rsidR="00873D03" w:rsidRPr="004E2ABA">
              <w:rPr>
                <w:rFonts w:ascii="Times New Roman" w:eastAsia="宋体" w:hAnsi="Times New Roman" w:cs="Times New Roman"/>
                <w:b/>
                <w:bCs/>
                <w:color w:val="000000"/>
                <w:kern w:val="0"/>
                <w:szCs w:val="21"/>
              </w:rPr>
              <w:t>名称</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000103</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国泰中国企业境外高收益债券型证券投资基金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000199</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国泰量化策略收益混合型证券投资基金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000218</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国泰黄金交易型开放式证券投资基金联接基金（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000362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国泰聚信价值优势灵活配置混合型证券投资基金（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000363</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国泰聚信价值优势灵活配置混合型证券投资基金（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000367</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国泰安康定期支付混合型证券投资基金（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000511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国泰国策驱动灵活配置混合型证券投资基金（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000512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国泰沪深</w:t>
            </w:r>
            <w:r w:rsidRPr="004E2ABA">
              <w:rPr>
                <w:rFonts w:ascii="Times New Roman" w:eastAsia="宋体" w:hAnsi="Times New Roman" w:cs="Times New Roman"/>
                <w:color w:val="000000"/>
                <w:kern w:val="0"/>
                <w:szCs w:val="21"/>
              </w:rPr>
              <w:t>300</w:t>
            </w:r>
            <w:r w:rsidRPr="004E2ABA">
              <w:rPr>
                <w:rFonts w:ascii="Times New Roman" w:eastAsia="宋体" w:hAnsi="Times New Roman" w:cs="Times New Roman"/>
                <w:color w:val="000000"/>
                <w:kern w:val="0"/>
                <w:szCs w:val="21"/>
              </w:rPr>
              <w:t>指数增强型证券投资基金（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000526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国泰浓益灵活配置混合型证券投资基金（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000742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国泰新经济灵活配置混合型证券投资基金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000953</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国泰睿吉灵活配置混合型证券投资基金（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000954</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国泰睿吉灵活配置混合型证券投资基金（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001265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国泰兴益灵活配置混合型证券投资基金（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001542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国泰互联网</w:t>
            </w:r>
            <w:r w:rsidRPr="004E2ABA">
              <w:rPr>
                <w:rFonts w:ascii="Times New Roman" w:eastAsia="宋体" w:hAnsi="Times New Roman" w:cs="Times New Roman"/>
                <w:color w:val="000000"/>
                <w:kern w:val="0"/>
                <w:szCs w:val="21"/>
              </w:rPr>
              <w:t>+</w:t>
            </w:r>
            <w:r w:rsidRPr="004E2ABA">
              <w:rPr>
                <w:rFonts w:ascii="Times New Roman" w:eastAsia="宋体" w:hAnsi="Times New Roman" w:cs="Times New Roman"/>
                <w:color w:val="000000"/>
                <w:kern w:val="0"/>
                <w:szCs w:val="21"/>
              </w:rPr>
              <w:t>股票型证券投资基金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001576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国泰智能装备股票型证券投资基金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001579</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国泰大农业股票型证券投资基金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001626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国泰央企改革股票型证券投资基金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001645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国泰大健康股票型证券投资基金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lastRenderedPageBreak/>
              <w:t>001789</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国泰量化收益灵活配置混合型证券投资基金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001790</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国泰智能汽车股票型证券投资基金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001922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国泰多策略收益灵活配置混合型证券投</w:t>
            </w:r>
            <w:bookmarkStart w:id="0" w:name="_GoBack"/>
            <w:bookmarkEnd w:id="0"/>
            <w:r w:rsidRPr="004E2ABA">
              <w:rPr>
                <w:rFonts w:ascii="Times New Roman" w:eastAsia="宋体" w:hAnsi="Times New Roman" w:cs="Times New Roman"/>
                <w:color w:val="000000"/>
                <w:kern w:val="0"/>
                <w:szCs w:val="21"/>
              </w:rPr>
              <w:t>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001936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国泰全球绝对收益型基金优选证券投资基金（人民币）</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002055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国泰兴益灵活配置混合型证券投资基金（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002059</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国泰浓益灵活配置混合型证券投资基金（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002061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国泰安康定期支付混合型证券投资基金（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002062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国泰国策驱动灵活配置混合型证券投资基金（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002063</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国泰沪深</w:t>
            </w:r>
            <w:r w:rsidRPr="004E2ABA">
              <w:rPr>
                <w:rFonts w:ascii="Times New Roman" w:eastAsia="宋体" w:hAnsi="Times New Roman" w:cs="Times New Roman"/>
                <w:color w:val="000000"/>
                <w:kern w:val="0"/>
                <w:szCs w:val="21"/>
              </w:rPr>
              <w:t>300</w:t>
            </w:r>
            <w:r w:rsidRPr="004E2ABA">
              <w:rPr>
                <w:rFonts w:ascii="Times New Roman" w:eastAsia="宋体" w:hAnsi="Times New Roman" w:cs="Times New Roman"/>
                <w:color w:val="000000"/>
                <w:kern w:val="0"/>
                <w:szCs w:val="21"/>
              </w:rPr>
              <w:t>指数增强型证券投资基金（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002197</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国泰鑫策略价值灵活配置混合型证券投资基金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002458</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国泰民利策略收益灵活配置混合型证券投资基金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002489</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国泰民福策略价值灵活配置混合型证券投资基金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003515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国泰利是宝货币市场基金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003516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国泰融安多策略灵活配置混合型证券投资基金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003593</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国泰景气行业灵活配置混合型证券投资基金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003760</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国泰中证</w:t>
            </w:r>
            <w:r w:rsidRPr="004E2ABA">
              <w:rPr>
                <w:rFonts w:ascii="Times New Roman" w:eastAsia="宋体" w:hAnsi="Times New Roman" w:cs="Times New Roman"/>
                <w:color w:val="000000"/>
                <w:kern w:val="0"/>
                <w:szCs w:val="21"/>
              </w:rPr>
              <w:t>500</w:t>
            </w:r>
            <w:r w:rsidRPr="004E2ABA">
              <w:rPr>
                <w:rFonts w:ascii="Times New Roman" w:eastAsia="宋体" w:hAnsi="Times New Roman" w:cs="Times New Roman"/>
                <w:color w:val="000000"/>
                <w:kern w:val="0"/>
                <w:szCs w:val="21"/>
              </w:rPr>
              <w:t>指数增强型证券投资基金（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003761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国泰中证</w:t>
            </w:r>
            <w:r w:rsidRPr="004E2ABA">
              <w:rPr>
                <w:rFonts w:ascii="Times New Roman" w:eastAsia="宋体" w:hAnsi="Times New Roman" w:cs="Times New Roman"/>
                <w:color w:val="000000"/>
                <w:kern w:val="0"/>
                <w:szCs w:val="21"/>
              </w:rPr>
              <w:t>500</w:t>
            </w:r>
            <w:r w:rsidRPr="004E2ABA">
              <w:rPr>
                <w:rFonts w:ascii="Times New Roman" w:eastAsia="宋体" w:hAnsi="Times New Roman" w:cs="Times New Roman"/>
                <w:color w:val="000000"/>
                <w:kern w:val="0"/>
                <w:szCs w:val="21"/>
              </w:rPr>
              <w:t>指数增强型证券投资基金（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003955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国泰民丰回报定期开放灵活配置混合型证券投资基金</w:t>
            </w:r>
            <w:r w:rsidRPr="004E2ABA">
              <w:rPr>
                <w:rFonts w:ascii="Times New Roman" w:eastAsia="宋体" w:hAnsi="Times New Roman" w:cs="Times New Roman"/>
                <w:color w:val="000000"/>
                <w:kern w:val="0"/>
                <w:szCs w:val="21"/>
              </w:rPr>
              <w:t>*</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004161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国泰中国企业信用精选债券型证券投资基金</w:t>
            </w:r>
            <w:r w:rsidRPr="004E2ABA">
              <w:rPr>
                <w:rFonts w:ascii="Times New Roman" w:eastAsia="宋体" w:hAnsi="Times New Roman" w:cs="Times New Roman"/>
                <w:color w:val="000000"/>
                <w:kern w:val="0"/>
                <w:szCs w:val="21"/>
              </w:rPr>
              <w:t>(QDII)</w:t>
            </w:r>
            <w:r w:rsidRPr="004E2ABA">
              <w:rPr>
                <w:rFonts w:ascii="Times New Roman" w:eastAsia="宋体" w:hAnsi="Times New Roman" w:cs="Times New Roman"/>
                <w:color w:val="000000"/>
                <w:kern w:val="0"/>
                <w:szCs w:val="21"/>
              </w:rPr>
              <w:t>（</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r w:rsidRPr="004E2ABA">
              <w:rPr>
                <w:rFonts w:ascii="Times New Roman" w:eastAsia="宋体" w:hAnsi="Times New Roman" w:cs="Times New Roman"/>
                <w:color w:val="000000"/>
                <w:kern w:val="0"/>
                <w:szCs w:val="21"/>
              </w:rPr>
              <w:t>-</w:t>
            </w:r>
            <w:r w:rsidRPr="004E2ABA">
              <w:rPr>
                <w:rFonts w:ascii="Times New Roman" w:eastAsia="宋体" w:hAnsi="Times New Roman" w:cs="Times New Roman"/>
                <w:color w:val="000000"/>
                <w:kern w:val="0"/>
                <w:szCs w:val="21"/>
              </w:rPr>
              <w:t>人民币）</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004164</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国泰中国企业信用精选债券型证券投资基金</w:t>
            </w:r>
            <w:r w:rsidRPr="004E2ABA">
              <w:rPr>
                <w:rFonts w:ascii="Times New Roman" w:eastAsia="宋体" w:hAnsi="Times New Roman" w:cs="Times New Roman"/>
                <w:color w:val="000000"/>
                <w:kern w:val="0"/>
                <w:szCs w:val="21"/>
              </w:rPr>
              <w:t>(QDII)</w:t>
            </w:r>
            <w:r w:rsidRPr="004E2ABA">
              <w:rPr>
                <w:rFonts w:ascii="Times New Roman" w:eastAsia="宋体" w:hAnsi="Times New Roman" w:cs="Times New Roman"/>
                <w:color w:val="000000"/>
                <w:kern w:val="0"/>
                <w:szCs w:val="21"/>
              </w:rPr>
              <w:t>（</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r w:rsidRPr="004E2ABA">
              <w:rPr>
                <w:rFonts w:ascii="Times New Roman" w:eastAsia="宋体" w:hAnsi="Times New Roman" w:cs="Times New Roman"/>
                <w:color w:val="000000"/>
                <w:kern w:val="0"/>
                <w:szCs w:val="21"/>
              </w:rPr>
              <w:t>-</w:t>
            </w:r>
            <w:r w:rsidRPr="004E2ABA">
              <w:rPr>
                <w:rFonts w:ascii="Times New Roman" w:eastAsia="宋体" w:hAnsi="Times New Roman" w:cs="Times New Roman"/>
                <w:color w:val="000000"/>
                <w:kern w:val="0"/>
                <w:szCs w:val="21"/>
              </w:rPr>
              <w:t>人民币）</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004253</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国泰黄金交易型开放式证券投资基金联接基金（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005095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国泰量化成长优选混合型证券投资基金（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005096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国泰量化成长优选混合型证券投资基金（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005185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国泰招惠收益定期开放债券型证券投资基金</w:t>
            </w:r>
            <w:r w:rsidRPr="004E2ABA">
              <w:rPr>
                <w:rFonts w:ascii="Times New Roman" w:eastAsia="宋体" w:hAnsi="Times New Roman" w:cs="Times New Roman"/>
                <w:color w:val="000000"/>
                <w:kern w:val="0"/>
                <w:szCs w:val="21"/>
              </w:rPr>
              <w:t>*</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005244</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国泰聚优价值灵活配置混合型证券投资基金（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005245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国泰聚优价值灵活配置混合型证券投资基金（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005246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国泰可转债债券型证券投资基金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005726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国泰价值精选灵活配置混合型证券投资基金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005730</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国泰江源优势精选灵活配置混合型证券投资基金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lastRenderedPageBreak/>
              <w:t>005746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国泰聚利价值定期开放灵活配置混合型证券投资基金</w:t>
            </w:r>
            <w:r w:rsidRPr="004E2ABA">
              <w:rPr>
                <w:rFonts w:ascii="Times New Roman" w:eastAsia="宋体" w:hAnsi="Times New Roman" w:cs="Times New Roman"/>
                <w:color w:val="000000"/>
                <w:kern w:val="0"/>
                <w:szCs w:val="21"/>
              </w:rPr>
              <w:t>*</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005816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国泰农惠定期开放债券型证券投资基金</w:t>
            </w:r>
            <w:r w:rsidRPr="004E2ABA">
              <w:rPr>
                <w:rFonts w:ascii="Times New Roman" w:eastAsia="宋体" w:hAnsi="Times New Roman" w:cs="Times New Roman"/>
                <w:color w:val="000000"/>
                <w:kern w:val="0"/>
                <w:szCs w:val="21"/>
              </w:rPr>
              <w:t>*</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005819</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国泰优势行业混合型证券投资基金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005867</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国泰沪深</w:t>
            </w:r>
            <w:r w:rsidRPr="004E2ABA">
              <w:rPr>
                <w:rFonts w:ascii="Times New Roman" w:eastAsia="宋体" w:hAnsi="Times New Roman" w:cs="Times New Roman"/>
                <w:color w:val="000000"/>
                <w:kern w:val="0"/>
                <w:szCs w:val="21"/>
              </w:rPr>
              <w:t>300</w:t>
            </w:r>
            <w:r w:rsidRPr="004E2ABA">
              <w:rPr>
                <w:rFonts w:ascii="Times New Roman" w:eastAsia="宋体" w:hAnsi="Times New Roman" w:cs="Times New Roman"/>
                <w:color w:val="000000"/>
                <w:kern w:val="0"/>
                <w:szCs w:val="21"/>
              </w:rPr>
              <w:t>指数证券投资基金（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005970</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国泰消费优选股票型证券投资基金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006037</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国泰瑞和纯债债券型证券投资基金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006116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国泰丰祺纯债债券型证券投资基金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006475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国泰嘉睿纯债债券型证券投资基金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006596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国泰聚禾纯债债券型证券投资基金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006597</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国泰利享中短债债券型证券投资基金（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006598</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国泰利享中短债债券型证券投资基金（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006756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国泰中证生物医药交易型开放式指数证券投资基金联接基金（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006757</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国泰中证生物医药交易型开放式指数证券投资基金联接基金（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007214</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国泰惠丰纯债债券型证券投资基金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007231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国泰民安养老目标日期</w:t>
            </w:r>
            <w:r w:rsidRPr="004E2ABA">
              <w:rPr>
                <w:rFonts w:ascii="Times New Roman" w:eastAsia="宋体" w:hAnsi="Times New Roman" w:cs="Times New Roman"/>
                <w:color w:val="000000"/>
                <w:kern w:val="0"/>
                <w:szCs w:val="21"/>
              </w:rPr>
              <w:t>2040</w:t>
            </w:r>
            <w:r w:rsidRPr="004E2ABA">
              <w:rPr>
                <w:rFonts w:ascii="Times New Roman" w:eastAsia="宋体" w:hAnsi="Times New Roman" w:cs="Times New Roman"/>
                <w:color w:val="000000"/>
                <w:kern w:val="0"/>
                <w:szCs w:val="21"/>
              </w:rPr>
              <w:t>三年持有期混合型基金中基金</w:t>
            </w:r>
            <w:r w:rsidRPr="004E2ABA">
              <w:rPr>
                <w:rFonts w:ascii="Times New Roman" w:eastAsia="宋体" w:hAnsi="Times New Roman" w:cs="Times New Roman"/>
                <w:color w:val="000000"/>
                <w:kern w:val="0"/>
                <w:szCs w:val="21"/>
              </w:rPr>
              <w:t>(FOF)</w:t>
            </w:r>
            <w:r w:rsidR="00635B8A" w:rsidRPr="004E2ABA">
              <w:rPr>
                <w:rFonts w:ascii="Times New Roman" w:eastAsia="宋体" w:hAnsi="Times New Roman" w:cs="Times New Roman"/>
                <w:color w:val="000000"/>
                <w:kern w:val="0"/>
                <w:szCs w:val="21"/>
              </w:rPr>
              <w:t>***</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007817</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国泰中证全指通信设备交易型开放式指数证券投资基金发起式联接基金（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007818</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国泰中证全指通信设备交易型开放式指数证券投资基金发起式联接基金（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007835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国泰鑫睿混合型证券投资基金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008017</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国泰惠信三年定期开放债券型证券投资基金</w:t>
            </w:r>
            <w:r w:rsidRPr="004E2ABA">
              <w:rPr>
                <w:rFonts w:ascii="Times New Roman" w:eastAsia="宋体" w:hAnsi="Times New Roman" w:cs="Times New Roman"/>
                <w:color w:val="000000"/>
                <w:kern w:val="0"/>
                <w:szCs w:val="21"/>
              </w:rPr>
              <w:t>*</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020001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国泰金鹰增长灵活配置混合型证券投资基金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020002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国泰金龙债券证券投资基金（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020003</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国泰金龙行业精选证券投资基金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020005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国泰金马稳健回报证券投资基金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020007</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国泰货币市场证券投资基金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020009</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国泰金鹏蓝筹价值混合型证券投资基金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020010</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国泰金牛创新成长混合型证券投资基金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020011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国泰沪深</w:t>
            </w:r>
            <w:r w:rsidRPr="004E2ABA">
              <w:rPr>
                <w:rFonts w:ascii="Times New Roman" w:eastAsia="宋体" w:hAnsi="Times New Roman" w:cs="Times New Roman"/>
                <w:color w:val="000000"/>
                <w:kern w:val="0"/>
                <w:szCs w:val="21"/>
              </w:rPr>
              <w:t>300</w:t>
            </w:r>
            <w:r w:rsidRPr="004E2ABA">
              <w:rPr>
                <w:rFonts w:ascii="Times New Roman" w:eastAsia="宋体" w:hAnsi="Times New Roman" w:cs="Times New Roman"/>
                <w:color w:val="000000"/>
                <w:kern w:val="0"/>
                <w:szCs w:val="21"/>
              </w:rPr>
              <w:t>指数证券投资基金（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020012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国泰金龙债券证券投资基金（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020015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国泰区位优势混合型证券投资基金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020018</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国泰金鹿混合型证券投资基金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020019</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国泰双利债券证券投资基金（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020020</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国泰双利债券证券投资基金（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020021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国泰上证</w:t>
            </w:r>
            <w:r w:rsidRPr="004E2ABA">
              <w:rPr>
                <w:rFonts w:ascii="Times New Roman" w:eastAsia="宋体" w:hAnsi="Times New Roman" w:cs="Times New Roman"/>
                <w:color w:val="000000"/>
                <w:kern w:val="0"/>
                <w:szCs w:val="21"/>
              </w:rPr>
              <w:t>180</w:t>
            </w:r>
            <w:r w:rsidRPr="004E2ABA">
              <w:rPr>
                <w:rFonts w:ascii="Times New Roman" w:eastAsia="宋体" w:hAnsi="Times New Roman" w:cs="Times New Roman"/>
                <w:color w:val="000000"/>
                <w:kern w:val="0"/>
                <w:szCs w:val="21"/>
              </w:rPr>
              <w:t>金融交易型开放式指数证券投资基金联接基金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020022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国泰策略价值灵活配置混合型证券投资基金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020023</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国泰事件驱动策略混合型证券投资基金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020026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国泰成长优选混合型证券投资基金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020031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国泰现金管理货币市场基金（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020032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国泰现金管理货币市场基金（</w:t>
            </w:r>
            <w:r w:rsidRPr="004E2ABA">
              <w:rPr>
                <w:rFonts w:ascii="Times New Roman" w:eastAsia="宋体" w:hAnsi="Times New Roman" w:cs="Times New Roman"/>
                <w:color w:val="000000"/>
                <w:kern w:val="0"/>
                <w:szCs w:val="21"/>
              </w:rPr>
              <w:t>B</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020033</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国泰民安增利债券型发起式证券投资基金（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020034</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国泰民安增利债券型发起式证券投资基金（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160211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国泰中小盘成长混合型证券投资基金</w:t>
            </w:r>
            <w:r w:rsidRPr="004E2ABA">
              <w:rPr>
                <w:rFonts w:ascii="Times New Roman" w:eastAsia="宋体" w:hAnsi="Times New Roman" w:cs="Times New Roman"/>
                <w:color w:val="000000"/>
                <w:kern w:val="0"/>
                <w:szCs w:val="21"/>
              </w:rPr>
              <w:t>(LOF)</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160212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国泰估值优势混合型证券投资基金</w:t>
            </w:r>
            <w:r w:rsidRPr="004E2ABA">
              <w:rPr>
                <w:rFonts w:ascii="Times New Roman" w:eastAsia="宋体" w:hAnsi="Times New Roman" w:cs="Times New Roman"/>
                <w:color w:val="000000"/>
                <w:kern w:val="0"/>
                <w:szCs w:val="21"/>
              </w:rPr>
              <w:t>(LOF)</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160213</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国泰纳斯达克</w:t>
            </w:r>
            <w:r w:rsidRPr="004E2ABA">
              <w:rPr>
                <w:rFonts w:ascii="Times New Roman" w:eastAsia="宋体" w:hAnsi="Times New Roman" w:cs="Times New Roman"/>
                <w:color w:val="000000"/>
                <w:kern w:val="0"/>
                <w:szCs w:val="21"/>
              </w:rPr>
              <w:t>100</w:t>
            </w:r>
            <w:r w:rsidRPr="004E2ABA">
              <w:rPr>
                <w:rFonts w:ascii="Times New Roman" w:eastAsia="宋体" w:hAnsi="Times New Roman" w:cs="Times New Roman"/>
                <w:color w:val="000000"/>
                <w:kern w:val="0"/>
                <w:szCs w:val="21"/>
              </w:rPr>
              <w:t>指数证券投资基金</w:t>
            </w:r>
            <w:r w:rsidR="004D052E" w:rsidRPr="004E2ABA">
              <w:rPr>
                <w:rFonts w:ascii="Times New Roman" w:eastAsia="宋体" w:hAnsi="Times New Roman" w:cs="Times New Roman"/>
                <w:color w:val="000000"/>
                <w:kern w:val="0"/>
                <w:szCs w:val="21"/>
              </w:rPr>
              <w:t>**</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160215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国泰价值经典灵活配置混合型证券投资基金</w:t>
            </w:r>
            <w:r w:rsidRPr="004E2ABA">
              <w:rPr>
                <w:rFonts w:ascii="Times New Roman" w:eastAsia="宋体" w:hAnsi="Times New Roman" w:cs="Times New Roman"/>
                <w:color w:val="000000"/>
                <w:kern w:val="0"/>
                <w:szCs w:val="21"/>
              </w:rPr>
              <w:t>(LOF)</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160216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国泰大宗商品配置证券投资基金</w:t>
            </w:r>
            <w:r w:rsidRPr="004E2ABA">
              <w:rPr>
                <w:rFonts w:ascii="Times New Roman" w:eastAsia="宋体" w:hAnsi="Times New Roman" w:cs="Times New Roman"/>
                <w:color w:val="000000"/>
                <w:kern w:val="0"/>
                <w:szCs w:val="21"/>
              </w:rPr>
              <w:t>(LOF)</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160218</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国泰国证房地产行业指数分级证券投资基金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160219</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国泰国证医药卫生行业指数分级证券投资基金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160220</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国泰民益灵活配置混合型证券投资基金</w:t>
            </w:r>
            <w:r w:rsidRPr="004E2ABA">
              <w:rPr>
                <w:rFonts w:ascii="Times New Roman" w:eastAsia="宋体" w:hAnsi="Times New Roman" w:cs="Times New Roman"/>
                <w:color w:val="000000"/>
                <w:kern w:val="0"/>
                <w:szCs w:val="21"/>
              </w:rPr>
              <w:t>(LOF)</w:t>
            </w:r>
            <w:r w:rsidRPr="004E2ABA">
              <w:rPr>
                <w:rFonts w:ascii="Times New Roman" w:eastAsia="宋体" w:hAnsi="Times New Roman" w:cs="Times New Roman"/>
                <w:color w:val="000000"/>
                <w:kern w:val="0"/>
                <w:szCs w:val="21"/>
              </w:rPr>
              <w:t>（</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160221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国泰国证有色金属行业指数分级证券投资基金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160222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国泰国证食品饮料行业指数分级证券投资基金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160223</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国泰创业板指数证券投资基金</w:t>
            </w:r>
            <w:r w:rsidRPr="004E2ABA">
              <w:rPr>
                <w:rFonts w:ascii="Times New Roman" w:eastAsia="宋体" w:hAnsi="Times New Roman" w:cs="Times New Roman"/>
                <w:color w:val="000000"/>
                <w:kern w:val="0"/>
                <w:szCs w:val="21"/>
              </w:rPr>
              <w:t>(LOF)</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160224</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国泰深证</w:t>
            </w:r>
            <w:r w:rsidRPr="004E2ABA">
              <w:rPr>
                <w:rFonts w:ascii="Times New Roman" w:eastAsia="宋体" w:hAnsi="Times New Roman" w:cs="Times New Roman"/>
                <w:color w:val="000000"/>
                <w:kern w:val="0"/>
                <w:szCs w:val="21"/>
              </w:rPr>
              <w:t>TMT50</w:t>
            </w:r>
            <w:r w:rsidRPr="004E2ABA">
              <w:rPr>
                <w:rFonts w:ascii="Times New Roman" w:eastAsia="宋体" w:hAnsi="Times New Roman" w:cs="Times New Roman"/>
                <w:color w:val="000000"/>
                <w:kern w:val="0"/>
                <w:szCs w:val="21"/>
              </w:rPr>
              <w:t>指数分级证券投资基金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160225</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国泰国证新能源汽车指数证券投资基金</w:t>
            </w:r>
            <w:r w:rsidRPr="004E2ABA">
              <w:rPr>
                <w:rFonts w:ascii="Times New Roman" w:eastAsia="宋体" w:hAnsi="Times New Roman" w:cs="Times New Roman"/>
                <w:color w:val="000000"/>
                <w:kern w:val="0"/>
                <w:szCs w:val="21"/>
              </w:rPr>
              <w:t>(LOF)</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160226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国泰民益灵活配置混合型证券投资基金</w:t>
            </w:r>
            <w:r w:rsidRPr="004E2ABA">
              <w:rPr>
                <w:rFonts w:ascii="Times New Roman" w:eastAsia="宋体" w:hAnsi="Times New Roman" w:cs="Times New Roman"/>
                <w:color w:val="000000"/>
                <w:kern w:val="0"/>
                <w:szCs w:val="21"/>
              </w:rPr>
              <w:t>(LOF)</w:t>
            </w:r>
            <w:r w:rsidRPr="004E2ABA">
              <w:rPr>
                <w:rFonts w:ascii="Times New Roman" w:eastAsia="宋体" w:hAnsi="Times New Roman" w:cs="Times New Roman"/>
                <w:color w:val="000000"/>
                <w:kern w:val="0"/>
                <w:szCs w:val="21"/>
              </w:rPr>
              <w:t>（</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501016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国泰中证申万证券行业指数证券投资基金</w:t>
            </w:r>
            <w:r w:rsidRPr="004E2ABA">
              <w:rPr>
                <w:rFonts w:ascii="Times New Roman" w:eastAsia="宋体" w:hAnsi="Times New Roman" w:cs="Times New Roman"/>
                <w:color w:val="000000"/>
                <w:kern w:val="0"/>
                <w:szCs w:val="21"/>
              </w:rPr>
              <w:t>(LOF)</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501017</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国泰融丰外延增长灵活配置混合型证券投资基金</w:t>
            </w:r>
            <w:r w:rsidRPr="004E2ABA">
              <w:rPr>
                <w:rFonts w:ascii="Times New Roman" w:eastAsia="宋体" w:hAnsi="Times New Roman" w:cs="Times New Roman"/>
                <w:color w:val="000000"/>
                <w:kern w:val="0"/>
                <w:szCs w:val="21"/>
              </w:rPr>
              <w:t>(LOF)</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501019</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国泰国证航天军工指数证券投资基金</w:t>
            </w:r>
            <w:r w:rsidRPr="004E2ABA">
              <w:rPr>
                <w:rFonts w:ascii="Times New Roman" w:eastAsia="宋体" w:hAnsi="Times New Roman" w:cs="Times New Roman"/>
                <w:color w:val="000000"/>
                <w:kern w:val="0"/>
                <w:szCs w:val="21"/>
              </w:rPr>
              <w:t>(LOF)</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501027</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国泰融信灵活配置混合型证券投资基金</w:t>
            </w:r>
            <w:r w:rsidRPr="004E2ABA">
              <w:rPr>
                <w:rFonts w:ascii="Times New Roman" w:eastAsia="宋体" w:hAnsi="Times New Roman" w:cs="Times New Roman"/>
                <w:color w:val="000000"/>
                <w:kern w:val="0"/>
                <w:szCs w:val="21"/>
              </w:rPr>
              <w:t>(LOF)</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501309</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kern w:val="0"/>
                <w:szCs w:val="21"/>
              </w:rPr>
            </w:pPr>
            <w:r w:rsidRPr="004E2ABA">
              <w:rPr>
                <w:rFonts w:ascii="Times New Roman" w:eastAsia="宋体" w:hAnsi="Times New Roman" w:cs="Times New Roman"/>
                <w:kern w:val="0"/>
                <w:szCs w:val="21"/>
              </w:rPr>
              <w:t>国泰恒生港股通指数证券投资基金</w:t>
            </w:r>
            <w:r w:rsidRPr="004E2ABA">
              <w:rPr>
                <w:rFonts w:ascii="Times New Roman" w:eastAsia="宋体" w:hAnsi="Times New Roman" w:cs="Times New Roman"/>
                <w:kern w:val="0"/>
                <w:szCs w:val="21"/>
              </w:rPr>
              <w:t>(LOF)</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519020</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国泰金泰灵活配置混合型证券投资基金（</w:t>
            </w:r>
            <w:r w:rsidRPr="004E2ABA">
              <w:rPr>
                <w:rFonts w:ascii="Times New Roman" w:eastAsia="宋体" w:hAnsi="Times New Roman" w:cs="Times New Roman"/>
                <w:color w:val="000000"/>
                <w:kern w:val="0"/>
                <w:szCs w:val="21"/>
              </w:rPr>
              <w:t>A</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519021</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国泰金鼎价值精选混合型证券投资基金</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519022</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国泰金泰灵活配置混合型证券投资基金（</w:t>
            </w:r>
            <w:r w:rsidRPr="004E2ABA">
              <w:rPr>
                <w:rFonts w:ascii="Times New Roman" w:eastAsia="宋体" w:hAnsi="Times New Roman" w:cs="Times New Roman"/>
                <w:color w:val="000000"/>
                <w:kern w:val="0"/>
                <w:szCs w:val="21"/>
              </w:rPr>
              <w:t>C</w:t>
            </w:r>
            <w:r w:rsidRPr="004E2ABA">
              <w:rPr>
                <w:rFonts w:ascii="Times New Roman" w:eastAsia="宋体" w:hAnsi="Times New Roman" w:cs="Times New Roman"/>
                <w:color w:val="000000"/>
                <w:kern w:val="0"/>
                <w:szCs w:val="21"/>
              </w:rPr>
              <w:t>类）</w:t>
            </w:r>
          </w:p>
        </w:tc>
      </w:tr>
      <w:tr w:rsidR="00286F38" w:rsidRPr="004E2ABA" w:rsidTr="00E714AC">
        <w:trPr>
          <w:trHeight w:val="270"/>
          <w:jc w:val="center"/>
        </w:trPr>
        <w:tc>
          <w:tcPr>
            <w:tcW w:w="1143" w:type="dxa"/>
            <w:tcBorders>
              <w:top w:val="nil"/>
              <w:left w:val="single" w:sz="4" w:space="0" w:color="auto"/>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center"/>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519606</w:t>
            </w:r>
          </w:p>
        </w:tc>
        <w:tc>
          <w:tcPr>
            <w:tcW w:w="7654" w:type="dxa"/>
            <w:tcBorders>
              <w:top w:val="nil"/>
              <w:left w:val="nil"/>
              <w:bottom w:val="single" w:sz="4" w:space="0" w:color="auto"/>
              <w:right w:val="single" w:sz="4" w:space="0" w:color="auto"/>
            </w:tcBorders>
            <w:shd w:val="clear" w:color="auto" w:fill="auto"/>
            <w:noWrap/>
            <w:hideMark/>
          </w:tcPr>
          <w:p w:rsidR="00286F38" w:rsidRPr="004E2ABA" w:rsidRDefault="00286F38" w:rsidP="00E714AC">
            <w:pPr>
              <w:widowControl/>
              <w:spacing w:line="360" w:lineRule="auto"/>
              <w:jc w:val="left"/>
              <w:rPr>
                <w:rFonts w:ascii="Times New Roman" w:eastAsia="宋体" w:hAnsi="Times New Roman" w:cs="Times New Roman"/>
                <w:color w:val="000000"/>
                <w:kern w:val="0"/>
                <w:szCs w:val="21"/>
              </w:rPr>
            </w:pPr>
            <w:r w:rsidRPr="004E2ABA">
              <w:rPr>
                <w:rFonts w:ascii="Times New Roman" w:eastAsia="宋体" w:hAnsi="Times New Roman" w:cs="Times New Roman"/>
                <w:color w:val="000000"/>
                <w:kern w:val="0"/>
                <w:szCs w:val="21"/>
              </w:rPr>
              <w:t>国泰金鑫股票型证券投资基金</w:t>
            </w:r>
          </w:p>
        </w:tc>
      </w:tr>
    </w:tbl>
    <w:p w:rsidR="0056327E" w:rsidRPr="004E2ABA" w:rsidRDefault="000A321D" w:rsidP="00C85866">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4E2ABA">
        <w:rPr>
          <w:rFonts w:ascii="Times New Roman" w:hAnsi="Times New Roman" w:cs="Times New Roman"/>
          <w:bCs/>
          <w:color w:val="auto"/>
          <w:sz w:val="21"/>
          <w:szCs w:val="21"/>
        </w:rPr>
        <w:t>注：</w:t>
      </w:r>
      <w:r w:rsidR="0056327E" w:rsidRPr="004E2ABA">
        <w:rPr>
          <w:rFonts w:ascii="Times New Roman" w:hAnsi="Times New Roman" w:cs="Times New Roman"/>
          <w:bCs/>
          <w:color w:val="auto"/>
          <w:sz w:val="21"/>
          <w:szCs w:val="21"/>
        </w:rPr>
        <w:t>1</w:t>
      </w:r>
      <w:r w:rsidR="0056327E" w:rsidRPr="004E2ABA">
        <w:rPr>
          <w:rFonts w:ascii="Times New Roman" w:hAnsi="Times New Roman" w:cs="Times New Roman"/>
          <w:bCs/>
          <w:color w:val="auto"/>
          <w:sz w:val="21"/>
          <w:szCs w:val="21"/>
        </w:rPr>
        <w:t>、上述表格内标注</w:t>
      </w:r>
      <w:r w:rsidR="0056327E" w:rsidRPr="004E2ABA">
        <w:rPr>
          <w:rFonts w:ascii="Times New Roman" w:hAnsi="Times New Roman" w:cs="Times New Roman"/>
          <w:bCs/>
          <w:color w:val="auto"/>
          <w:sz w:val="21"/>
          <w:szCs w:val="21"/>
        </w:rPr>
        <w:t>*</w:t>
      </w:r>
      <w:r w:rsidR="0056327E" w:rsidRPr="004E2ABA">
        <w:rPr>
          <w:rFonts w:ascii="Times New Roman" w:hAnsi="Times New Roman" w:cs="Times New Roman"/>
          <w:bCs/>
          <w:color w:val="auto"/>
          <w:sz w:val="21"/>
          <w:szCs w:val="21"/>
        </w:rPr>
        <w:t>的</w:t>
      </w:r>
      <w:r w:rsidR="008B597D" w:rsidRPr="004E2ABA">
        <w:rPr>
          <w:rFonts w:ascii="Times New Roman" w:hAnsi="Times New Roman" w:cs="Times New Roman"/>
          <w:color w:val="auto"/>
          <w:sz w:val="21"/>
          <w:szCs w:val="21"/>
        </w:rPr>
        <w:t>国泰民丰回报定期开放灵活配置混合型证券投资基金</w:t>
      </w:r>
      <w:r w:rsidR="000B17FD" w:rsidRPr="004E2ABA">
        <w:rPr>
          <w:rFonts w:ascii="Times New Roman" w:hAnsi="Times New Roman" w:cs="Times New Roman"/>
          <w:bCs/>
          <w:color w:val="auto"/>
          <w:sz w:val="21"/>
          <w:szCs w:val="21"/>
        </w:rPr>
        <w:t>、</w:t>
      </w:r>
      <w:r w:rsidR="00952495" w:rsidRPr="004E2ABA">
        <w:rPr>
          <w:rFonts w:ascii="Times New Roman" w:hAnsi="Times New Roman" w:cs="Times New Roman"/>
          <w:color w:val="auto"/>
          <w:sz w:val="21"/>
          <w:szCs w:val="21"/>
        </w:rPr>
        <w:t>国泰招惠收益定期开放债券型证券投资基金</w:t>
      </w:r>
      <w:r w:rsidR="00812349" w:rsidRPr="004E2ABA">
        <w:rPr>
          <w:rFonts w:ascii="Times New Roman" w:hAnsi="Times New Roman" w:cs="Times New Roman"/>
          <w:bCs/>
          <w:color w:val="auto"/>
          <w:sz w:val="21"/>
          <w:szCs w:val="21"/>
        </w:rPr>
        <w:t>、</w:t>
      </w:r>
      <w:r w:rsidR="00952495" w:rsidRPr="004E2ABA">
        <w:rPr>
          <w:rFonts w:ascii="Times New Roman" w:hAnsi="Times New Roman" w:cs="Times New Roman"/>
          <w:color w:val="auto"/>
          <w:sz w:val="21"/>
          <w:szCs w:val="21"/>
        </w:rPr>
        <w:t>国泰聚利价值定期开放灵活配置混合型证券投资基金、国泰农惠定期开放债券型证券投资基金、</w:t>
      </w:r>
      <w:r w:rsidR="00286F38" w:rsidRPr="004E2ABA">
        <w:rPr>
          <w:rFonts w:ascii="Times New Roman" w:hAnsi="Times New Roman" w:cs="Times New Roman"/>
          <w:color w:val="auto"/>
          <w:sz w:val="21"/>
          <w:szCs w:val="21"/>
        </w:rPr>
        <w:t>国泰惠信三年定期开放债券型证券投资基金</w:t>
      </w:r>
      <w:r w:rsidR="0056327E" w:rsidRPr="004E2ABA">
        <w:rPr>
          <w:rFonts w:ascii="Times New Roman" w:hAnsi="Times New Roman" w:cs="Times New Roman"/>
          <w:bCs/>
          <w:color w:val="auto"/>
          <w:sz w:val="21"/>
          <w:szCs w:val="21"/>
        </w:rPr>
        <w:t>暂处于封闭期，自</w:t>
      </w:r>
      <w:r w:rsidR="00034496" w:rsidRPr="004E2ABA">
        <w:rPr>
          <w:rFonts w:ascii="Times New Roman" w:hAnsi="Times New Roman" w:cs="Times New Roman"/>
          <w:bCs/>
          <w:color w:val="auto"/>
          <w:sz w:val="21"/>
          <w:szCs w:val="21"/>
        </w:rPr>
        <w:t>上述</w:t>
      </w:r>
      <w:r w:rsidR="0056327E" w:rsidRPr="004E2ABA">
        <w:rPr>
          <w:rFonts w:ascii="Times New Roman" w:hAnsi="Times New Roman" w:cs="Times New Roman"/>
          <w:bCs/>
          <w:color w:val="auto"/>
          <w:sz w:val="21"/>
          <w:szCs w:val="21"/>
        </w:rPr>
        <w:t>基金进入开放期之日起，投资者可通过</w:t>
      </w:r>
      <w:r w:rsidR="00F42215" w:rsidRPr="004E2ABA">
        <w:rPr>
          <w:rFonts w:ascii="Times New Roman" w:hAnsi="Times New Roman" w:cs="Times New Roman"/>
          <w:bCs/>
          <w:color w:val="auto"/>
          <w:sz w:val="21"/>
          <w:szCs w:val="21"/>
        </w:rPr>
        <w:t>东方财富</w:t>
      </w:r>
      <w:r w:rsidR="00952495" w:rsidRPr="004E2ABA">
        <w:rPr>
          <w:rFonts w:ascii="Times New Roman" w:hAnsi="Times New Roman" w:cs="Times New Roman"/>
          <w:bCs/>
          <w:color w:val="auto"/>
          <w:sz w:val="21"/>
          <w:szCs w:val="21"/>
        </w:rPr>
        <w:t>证券</w:t>
      </w:r>
      <w:r w:rsidR="0056327E" w:rsidRPr="004E2ABA">
        <w:rPr>
          <w:rFonts w:ascii="Times New Roman" w:hAnsi="Times New Roman" w:cs="Times New Roman"/>
          <w:bCs/>
          <w:color w:val="auto"/>
          <w:sz w:val="21"/>
          <w:szCs w:val="21"/>
        </w:rPr>
        <w:t>办理相关业务。</w:t>
      </w:r>
    </w:p>
    <w:p w:rsidR="00C85866" w:rsidRPr="004E2ABA" w:rsidRDefault="004D052E" w:rsidP="00C85866">
      <w:pPr>
        <w:pStyle w:val="Default"/>
        <w:tabs>
          <w:tab w:val="left" w:pos="426"/>
        </w:tabs>
        <w:spacing w:line="360" w:lineRule="auto"/>
        <w:ind w:leftChars="43" w:left="90" w:firstLineChars="207" w:firstLine="435"/>
        <w:jc w:val="both"/>
        <w:rPr>
          <w:rFonts w:ascii="Times New Roman" w:hAnsi="Times New Roman" w:cs="Times New Roman"/>
          <w:color w:val="auto"/>
          <w:sz w:val="21"/>
          <w:szCs w:val="21"/>
        </w:rPr>
      </w:pPr>
      <w:r w:rsidRPr="004E2ABA">
        <w:rPr>
          <w:rFonts w:ascii="Times New Roman" w:hAnsi="Times New Roman" w:cs="Times New Roman"/>
          <w:bCs/>
          <w:color w:val="auto"/>
          <w:sz w:val="21"/>
          <w:szCs w:val="21"/>
        </w:rPr>
        <w:t>2</w:t>
      </w:r>
      <w:r w:rsidRPr="004E2ABA">
        <w:rPr>
          <w:rFonts w:ascii="Times New Roman" w:hAnsi="Times New Roman" w:cs="Times New Roman"/>
          <w:bCs/>
          <w:color w:val="auto"/>
          <w:sz w:val="21"/>
          <w:szCs w:val="21"/>
        </w:rPr>
        <w:t>、</w:t>
      </w:r>
      <w:r w:rsidRPr="004E2ABA">
        <w:rPr>
          <w:rFonts w:ascii="Times New Roman" w:hAnsi="Times New Roman" w:cs="Times New Roman"/>
          <w:color w:val="auto"/>
          <w:sz w:val="21"/>
          <w:szCs w:val="21"/>
        </w:rPr>
        <w:t>上述表格内标注</w:t>
      </w:r>
      <w:r w:rsidRPr="004E2ABA">
        <w:rPr>
          <w:rFonts w:ascii="Times New Roman" w:hAnsi="Times New Roman" w:cs="Times New Roman"/>
          <w:color w:val="auto"/>
          <w:sz w:val="21"/>
          <w:szCs w:val="21"/>
        </w:rPr>
        <w:t>**</w:t>
      </w:r>
      <w:r w:rsidRPr="004E2ABA">
        <w:rPr>
          <w:rFonts w:ascii="Times New Roman" w:hAnsi="Times New Roman" w:cs="Times New Roman"/>
          <w:color w:val="auto"/>
          <w:sz w:val="21"/>
          <w:szCs w:val="21"/>
        </w:rPr>
        <w:t>的</w:t>
      </w:r>
      <w:r w:rsidRPr="004E2ABA">
        <w:rPr>
          <w:rFonts w:ascii="Times New Roman" w:hAnsi="Times New Roman" w:cs="Times New Roman"/>
          <w:sz w:val="21"/>
          <w:szCs w:val="21"/>
        </w:rPr>
        <w:t>国泰纳斯达克</w:t>
      </w:r>
      <w:r w:rsidRPr="004E2ABA">
        <w:rPr>
          <w:rFonts w:ascii="Times New Roman" w:hAnsi="Times New Roman" w:cs="Times New Roman"/>
          <w:sz w:val="21"/>
          <w:szCs w:val="21"/>
        </w:rPr>
        <w:t>100</w:t>
      </w:r>
      <w:r w:rsidRPr="004E2ABA">
        <w:rPr>
          <w:rFonts w:ascii="Times New Roman" w:hAnsi="Times New Roman" w:cs="Times New Roman"/>
          <w:sz w:val="21"/>
          <w:szCs w:val="21"/>
        </w:rPr>
        <w:t>指数证券投资基金</w:t>
      </w:r>
      <w:r w:rsidRPr="004E2ABA">
        <w:rPr>
          <w:rFonts w:ascii="Times New Roman" w:hAnsi="Times New Roman" w:cs="Times New Roman"/>
          <w:color w:val="auto"/>
          <w:sz w:val="21"/>
          <w:szCs w:val="21"/>
        </w:rPr>
        <w:t>目前</w:t>
      </w:r>
      <w:r w:rsidR="00A066E1" w:rsidRPr="004E2ABA">
        <w:rPr>
          <w:rFonts w:ascii="Times New Roman" w:hAnsi="Times New Roman" w:cs="Times New Roman"/>
          <w:color w:val="auto"/>
          <w:sz w:val="21"/>
          <w:szCs w:val="21"/>
        </w:rPr>
        <w:t>处于暂停</w:t>
      </w:r>
      <w:r w:rsidRPr="004E2ABA">
        <w:rPr>
          <w:rFonts w:ascii="Times New Roman" w:hAnsi="Times New Roman" w:cs="Times New Roman"/>
          <w:color w:val="auto"/>
          <w:sz w:val="21"/>
          <w:szCs w:val="21"/>
        </w:rPr>
        <w:t>申购（含定投）业务</w:t>
      </w:r>
      <w:r w:rsidR="00A066E1" w:rsidRPr="004E2ABA">
        <w:rPr>
          <w:rFonts w:ascii="Times New Roman" w:hAnsi="Times New Roman" w:cs="Times New Roman"/>
          <w:color w:val="auto"/>
          <w:sz w:val="21"/>
          <w:szCs w:val="21"/>
        </w:rPr>
        <w:t>状态</w:t>
      </w:r>
      <w:r w:rsidRPr="004E2ABA">
        <w:rPr>
          <w:rFonts w:ascii="Times New Roman" w:hAnsi="Times New Roman" w:cs="Times New Roman"/>
          <w:color w:val="auto"/>
          <w:sz w:val="21"/>
          <w:szCs w:val="21"/>
        </w:rPr>
        <w:t>，自该基金</w:t>
      </w:r>
      <w:r w:rsidR="00A066E1" w:rsidRPr="004E2ABA">
        <w:rPr>
          <w:rFonts w:ascii="Times New Roman" w:hAnsi="Times New Roman" w:cs="Times New Roman"/>
          <w:color w:val="auto"/>
          <w:sz w:val="21"/>
          <w:szCs w:val="21"/>
        </w:rPr>
        <w:t>恢复</w:t>
      </w:r>
      <w:r w:rsidRPr="004E2ABA">
        <w:rPr>
          <w:rFonts w:ascii="Times New Roman" w:hAnsi="Times New Roman" w:cs="Times New Roman"/>
          <w:color w:val="auto"/>
          <w:sz w:val="21"/>
          <w:szCs w:val="21"/>
        </w:rPr>
        <w:t>相关业务之日起，投资者可通过</w:t>
      </w:r>
      <w:r w:rsidR="00676B74" w:rsidRPr="004E2ABA">
        <w:rPr>
          <w:rFonts w:ascii="Times New Roman" w:hAnsi="Times New Roman" w:cs="Times New Roman"/>
          <w:color w:val="auto"/>
          <w:sz w:val="21"/>
          <w:szCs w:val="21"/>
        </w:rPr>
        <w:t>东方财富</w:t>
      </w:r>
      <w:r w:rsidRPr="004E2ABA">
        <w:rPr>
          <w:rFonts w:ascii="Times New Roman" w:hAnsi="Times New Roman" w:cs="Times New Roman"/>
          <w:color w:val="auto"/>
          <w:sz w:val="21"/>
          <w:szCs w:val="21"/>
        </w:rPr>
        <w:t>证券进行办理。</w:t>
      </w:r>
    </w:p>
    <w:p w:rsidR="00635B8A" w:rsidRPr="004E2ABA" w:rsidRDefault="00635B8A" w:rsidP="00C85866">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4E2ABA">
        <w:rPr>
          <w:rFonts w:ascii="Times New Roman" w:hAnsi="Times New Roman" w:cs="Times New Roman"/>
          <w:sz w:val="21"/>
          <w:szCs w:val="21"/>
        </w:rPr>
        <w:t>3</w:t>
      </w:r>
      <w:r w:rsidRPr="004E2ABA">
        <w:rPr>
          <w:rFonts w:ascii="Times New Roman" w:hAnsi="Times New Roman" w:cs="Times New Roman"/>
          <w:szCs w:val="21"/>
        </w:rPr>
        <w:t>、</w:t>
      </w:r>
      <w:r w:rsidRPr="004E2ABA">
        <w:rPr>
          <w:rFonts w:ascii="Times New Roman" w:hAnsi="Times New Roman" w:cs="Times New Roman"/>
          <w:bCs/>
          <w:color w:val="auto"/>
          <w:sz w:val="21"/>
          <w:szCs w:val="21"/>
        </w:rPr>
        <w:t>上述表格内标注</w:t>
      </w:r>
      <w:r w:rsidRPr="004E2ABA">
        <w:rPr>
          <w:rFonts w:ascii="Times New Roman" w:hAnsi="Times New Roman" w:cs="Times New Roman"/>
          <w:bCs/>
          <w:color w:val="auto"/>
          <w:sz w:val="21"/>
          <w:szCs w:val="21"/>
        </w:rPr>
        <w:t>***</w:t>
      </w:r>
      <w:r w:rsidRPr="004E2ABA">
        <w:rPr>
          <w:rFonts w:ascii="Times New Roman" w:hAnsi="Times New Roman" w:cs="Times New Roman"/>
          <w:bCs/>
          <w:color w:val="auto"/>
          <w:sz w:val="21"/>
          <w:szCs w:val="21"/>
        </w:rPr>
        <w:t>的国泰民安养老目标日期</w:t>
      </w:r>
      <w:r w:rsidRPr="004E2ABA">
        <w:rPr>
          <w:rFonts w:ascii="Times New Roman" w:hAnsi="Times New Roman" w:cs="Times New Roman"/>
          <w:bCs/>
          <w:color w:val="auto"/>
          <w:sz w:val="21"/>
          <w:szCs w:val="21"/>
        </w:rPr>
        <w:t>2040</w:t>
      </w:r>
      <w:r w:rsidRPr="004E2ABA">
        <w:rPr>
          <w:rFonts w:ascii="Times New Roman" w:hAnsi="Times New Roman" w:cs="Times New Roman"/>
          <w:bCs/>
          <w:color w:val="auto"/>
          <w:sz w:val="21"/>
          <w:szCs w:val="21"/>
        </w:rPr>
        <w:t>三年持有期混合型基金中基金</w:t>
      </w:r>
      <w:r w:rsidRPr="004E2ABA">
        <w:rPr>
          <w:rFonts w:ascii="Times New Roman" w:hAnsi="Times New Roman" w:cs="Times New Roman"/>
          <w:bCs/>
          <w:color w:val="auto"/>
          <w:sz w:val="21"/>
          <w:szCs w:val="21"/>
        </w:rPr>
        <w:t>(FOF)</w:t>
      </w:r>
      <w:r w:rsidRPr="004E2ABA">
        <w:rPr>
          <w:rFonts w:ascii="Times New Roman" w:hAnsi="Times New Roman" w:cs="Times New Roman"/>
          <w:bCs/>
          <w:color w:val="auto"/>
          <w:sz w:val="21"/>
          <w:szCs w:val="21"/>
        </w:rPr>
        <w:t>的目标日期指</w:t>
      </w:r>
      <w:r w:rsidRPr="004E2ABA">
        <w:rPr>
          <w:rFonts w:ascii="Times New Roman" w:hAnsi="Times New Roman" w:cs="Times New Roman"/>
          <w:bCs/>
          <w:color w:val="auto"/>
          <w:sz w:val="21"/>
          <w:szCs w:val="21"/>
        </w:rPr>
        <w:t>2040</w:t>
      </w:r>
      <w:r w:rsidRPr="004E2ABA">
        <w:rPr>
          <w:rFonts w:ascii="Times New Roman" w:hAnsi="Times New Roman" w:cs="Times New Roman"/>
          <w:bCs/>
          <w:color w:val="auto"/>
          <w:sz w:val="21"/>
          <w:szCs w:val="21"/>
        </w:rPr>
        <w:t>年底的最后一个工作日。目标日期前，基金份额持有人持有的每份基金份额最短持有期限为</w:t>
      </w:r>
      <w:r w:rsidRPr="004E2ABA">
        <w:rPr>
          <w:rFonts w:ascii="Times New Roman" w:hAnsi="Times New Roman" w:cs="Times New Roman"/>
          <w:bCs/>
          <w:color w:val="auto"/>
          <w:sz w:val="21"/>
          <w:szCs w:val="21"/>
        </w:rPr>
        <w:t>3</w:t>
      </w:r>
      <w:r w:rsidRPr="004E2ABA">
        <w:rPr>
          <w:rFonts w:ascii="Times New Roman" w:hAnsi="Times New Roman" w:cs="Times New Roman"/>
          <w:bCs/>
          <w:color w:val="auto"/>
          <w:sz w:val="21"/>
          <w:szCs w:val="21"/>
        </w:rPr>
        <w:t>年，在最短持有期限内该份基金份额不可赎回，自最短持有期限的下一工作日起（含该日）可赎回，</w:t>
      </w:r>
      <w:r w:rsidR="00753D33" w:rsidRPr="004E2ABA">
        <w:rPr>
          <w:rFonts w:ascii="Times New Roman" w:hAnsi="Times New Roman" w:cs="Times New Roman"/>
          <w:bCs/>
          <w:color w:val="auto"/>
          <w:sz w:val="21"/>
          <w:szCs w:val="21"/>
        </w:rPr>
        <w:t>请投资者做好资金安排</w:t>
      </w:r>
      <w:r w:rsidRPr="004E2ABA">
        <w:rPr>
          <w:rFonts w:ascii="Times New Roman" w:hAnsi="Times New Roman" w:cs="Times New Roman"/>
          <w:bCs/>
          <w:color w:val="auto"/>
          <w:sz w:val="21"/>
          <w:szCs w:val="21"/>
        </w:rPr>
        <w:t>。</w:t>
      </w:r>
    </w:p>
    <w:p w:rsidR="001816BC" w:rsidRPr="004E2ABA" w:rsidRDefault="00635B8A" w:rsidP="00C85866">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4E2ABA">
        <w:rPr>
          <w:rFonts w:ascii="Times New Roman" w:hAnsi="Times New Roman" w:cs="Times New Roman"/>
          <w:color w:val="auto"/>
          <w:sz w:val="21"/>
          <w:szCs w:val="21"/>
        </w:rPr>
        <w:t>4</w:t>
      </w:r>
      <w:r w:rsidR="001816BC" w:rsidRPr="004E2ABA">
        <w:rPr>
          <w:rFonts w:ascii="Times New Roman" w:hAnsi="Times New Roman" w:cs="Times New Roman"/>
          <w:color w:val="auto"/>
          <w:sz w:val="21"/>
          <w:szCs w:val="21"/>
        </w:rPr>
        <w:t>、</w:t>
      </w:r>
      <w:r w:rsidR="0056327E" w:rsidRPr="004E2ABA">
        <w:rPr>
          <w:rFonts w:ascii="Times New Roman" w:hAnsi="Times New Roman" w:cs="Times New Roman"/>
          <w:color w:val="auto"/>
          <w:sz w:val="21"/>
          <w:szCs w:val="21"/>
        </w:rPr>
        <w:t>上述表格内基金</w:t>
      </w:r>
      <w:r w:rsidR="001816BC" w:rsidRPr="004E2ABA">
        <w:rPr>
          <w:rFonts w:ascii="Times New Roman" w:hAnsi="Times New Roman" w:cs="Times New Roman"/>
          <w:color w:val="auto"/>
          <w:sz w:val="21"/>
          <w:szCs w:val="21"/>
        </w:rPr>
        <w:t>的申购最低金额限制，转换、赎回最低份额限制请详见本基金管理人发布的</w:t>
      </w:r>
      <w:r w:rsidR="00130D27" w:rsidRPr="004E2ABA">
        <w:rPr>
          <w:rFonts w:ascii="Times New Roman" w:hAnsi="Times New Roman" w:cs="Times New Roman"/>
          <w:color w:val="auto"/>
          <w:sz w:val="21"/>
          <w:szCs w:val="21"/>
        </w:rPr>
        <w:t>相关</w:t>
      </w:r>
      <w:r w:rsidR="001816BC" w:rsidRPr="004E2ABA">
        <w:rPr>
          <w:rFonts w:ascii="Times New Roman" w:hAnsi="Times New Roman" w:cs="Times New Roman"/>
          <w:color w:val="auto"/>
          <w:sz w:val="21"/>
          <w:szCs w:val="21"/>
        </w:rPr>
        <w:t>业务公告，如</w:t>
      </w:r>
      <w:r w:rsidR="00556E5F" w:rsidRPr="004E2ABA">
        <w:rPr>
          <w:rFonts w:ascii="Times New Roman" w:hAnsi="Times New Roman" w:cs="Times New Roman"/>
          <w:bCs/>
          <w:color w:val="auto"/>
          <w:sz w:val="21"/>
          <w:szCs w:val="21"/>
        </w:rPr>
        <w:t>东方财富证券</w:t>
      </w:r>
      <w:r w:rsidR="001816BC" w:rsidRPr="004E2ABA">
        <w:rPr>
          <w:rFonts w:ascii="Times New Roman" w:hAnsi="Times New Roman" w:cs="Times New Roman"/>
          <w:color w:val="auto"/>
          <w:sz w:val="21"/>
          <w:szCs w:val="21"/>
        </w:rPr>
        <w:t>有不同规定，投资者通过</w:t>
      </w:r>
      <w:r w:rsidR="00556E5F" w:rsidRPr="004E2ABA">
        <w:rPr>
          <w:rFonts w:ascii="Times New Roman" w:hAnsi="Times New Roman" w:cs="Times New Roman"/>
          <w:bCs/>
          <w:color w:val="auto"/>
          <w:sz w:val="21"/>
          <w:szCs w:val="21"/>
        </w:rPr>
        <w:t>东方财富证券</w:t>
      </w:r>
      <w:r w:rsidR="001816BC" w:rsidRPr="004E2ABA">
        <w:rPr>
          <w:rFonts w:ascii="Times New Roman" w:hAnsi="Times New Roman" w:cs="Times New Roman"/>
          <w:color w:val="auto"/>
          <w:sz w:val="21"/>
          <w:szCs w:val="21"/>
        </w:rPr>
        <w:t>办理相关业务时，需同时遵循</w:t>
      </w:r>
      <w:r w:rsidR="00556E5F" w:rsidRPr="004E2ABA">
        <w:rPr>
          <w:rFonts w:ascii="Times New Roman" w:hAnsi="Times New Roman" w:cs="Times New Roman"/>
          <w:bCs/>
          <w:color w:val="auto"/>
          <w:sz w:val="21"/>
          <w:szCs w:val="21"/>
        </w:rPr>
        <w:t>东方财富证券</w:t>
      </w:r>
      <w:r w:rsidR="001816BC" w:rsidRPr="004E2ABA">
        <w:rPr>
          <w:rFonts w:ascii="Times New Roman" w:hAnsi="Times New Roman" w:cs="Times New Roman"/>
          <w:color w:val="auto"/>
          <w:sz w:val="21"/>
          <w:szCs w:val="21"/>
        </w:rPr>
        <w:t>的具体规定。</w:t>
      </w:r>
    </w:p>
    <w:p w:rsidR="00B12A87" w:rsidRPr="004E2ABA" w:rsidRDefault="00635B8A" w:rsidP="00C85866">
      <w:pPr>
        <w:pStyle w:val="Default"/>
        <w:tabs>
          <w:tab w:val="left" w:pos="426"/>
        </w:tabs>
        <w:spacing w:line="360" w:lineRule="auto"/>
        <w:ind w:leftChars="43" w:left="90" w:firstLineChars="207" w:firstLine="435"/>
        <w:jc w:val="both"/>
        <w:rPr>
          <w:rFonts w:ascii="Times New Roman" w:hAnsi="Times New Roman" w:cs="Times New Roman"/>
          <w:color w:val="auto"/>
          <w:sz w:val="21"/>
          <w:szCs w:val="21"/>
        </w:rPr>
      </w:pPr>
      <w:r w:rsidRPr="004E2ABA">
        <w:rPr>
          <w:rFonts w:ascii="Times New Roman" w:hAnsi="Times New Roman" w:cs="Times New Roman"/>
          <w:color w:val="auto"/>
          <w:sz w:val="21"/>
          <w:szCs w:val="21"/>
        </w:rPr>
        <w:t>5</w:t>
      </w:r>
      <w:r w:rsidR="001816BC" w:rsidRPr="004E2ABA">
        <w:rPr>
          <w:rFonts w:ascii="Times New Roman" w:hAnsi="Times New Roman" w:cs="Times New Roman"/>
          <w:color w:val="auto"/>
          <w:sz w:val="21"/>
          <w:szCs w:val="21"/>
        </w:rPr>
        <w:t>、投资者通过</w:t>
      </w:r>
      <w:r w:rsidR="00556E5F" w:rsidRPr="004E2ABA">
        <w:rPr>
          <w:rFonts w:ascii="Times New Roman" w:hAnsi="Times New Roman" w:cs="Times New Roman"/>
          <w:bCs/>
          <w:color w:val="auto"/>
          <w:sz w:val="21"/>
          <w:szCs w:val="21"/>
        </w:rPr>
        <w:t>东方财富证券</w:t>
      </w:r>
      <w:r w:rsidR="001816BC" w:rsidRPr="004E2ABA">
        <w:rPr>
          <w:rFonts w:ascii="Times New Roman" w:hAnsi="Times New Roman" w:cs="Times New Roman"/>
          <w:color w:val="auto"/>
          <w:sz w:val="21"/>
          <w:szCs w:val="21"/>
        </w:rPr>
        <w:t>办理</w:t>
      </w:r>
      <w:r w:rsidR="0056327E" w:rsidRPr="004E2ABA">
        <w:rPr>
          <w:rFonts w:ascii="Times New Roman" w:hAnsi="Times New Roman" w:cs="Times New Roman"/>
          <w:color w:val="auto"/>
          <w:sz w:val="21"/>
          <w:szCs w:val="21"/>
        </w:rPr>
        <w:t>上述表格内</w:t>
      </w:r>
      <w:r w:rsidR="001816BC" w:rsidRPr="004E2ABA">
        <w:rPr>
          <w:rFonts w:ascii="Times New Roman" w:hAnsi="Times New Roman" w:cs="Times New Roman"/>
          <w:color w:val="auto"/>
          <w:sz w:val="21"/>
          <w:szCs w:val="21"/>
        </w:rPr>
        <w:t>基金的申购、</w:t>
      </w:r>
      <w:r w:rsidR="00F105FE" w:rsidRPr="004E2ABA">
        <w:rPr>
          <w:rFonts w:ascii="Times New Roman" w:hAnsi="Times New Roman" w:cs="Times New Roman"/>
          <w:color w:val="auto"/>
          <w:sz w:val="21"/>
          <w:szCs w:val="21"/>
        </w:rPr>
        <w:t>转换</w:t>
      </w:r>
      <w:r w:rsidR="001816BC" w:rsidRPr="004E2ABA">
        <w:rPr>
          <w:rFonts w:ascii="Times New Roman" w:hAnsi="Times New Roman" w:cs="Times New Roman"/>
          <w:color w:val="auto"/>
          <w:sz w:val="21"/>
          <w:szCs w:val="21"/>
        </w:rPr>
        <w:t>业务，是否享受费率优惠、具体折扣费率及费率优惠活动期限以</w:t>
      </w:r>
      <w:r w:rsidR="00556E5F" w:rsidRPr="004E2ABA">
        <w:rPr>
          <w:rFonts w:ascii="Times New Roman" w:hAnsi="Times New Roman" w:cs="Times New Roman"/>
          <w:bCs/>
          <w:color w:val="auto"/>
          <w:sz w:val="21"/>
          <w:szCs w:val="21"/>
        </w:rPr>
        <w:t>东方财富证券</w:t>
      </w:r>
      <w:r w:rsidR="001816BC" w:rsidRPr="004E2ABA">
        <w:rPr>
          <w:rFonts w:ascii="Times New Roman" w:hAnsi="Times New Roman" w:cs="Times New Roman"/>
          <w:color w:val="auto"/>
          <w:sz w:val="21"/>
          <w:szCs w:val="21"/>
        </w:rPr>
        <w:t>活动公告为准。</w:t>
      </w:r>
    </w:p>
    <w:p w:rsidR="00C7569E" w:rsidRPr="004E2ABA" w:rsidRDefault="00C7569E" w:rsidP="00C85866">
      <w:pPr>
        <w:spacing w:line="360" w:lineRule="auto"/>
        <w:rPr>
          <w:rFonts w:ascii="Times New Roman" w:eastAsia="宋体" w:hAnsi="Times New Roman" w:cs="Times New Roman"/>
          <w:bCs/>
          <w:kern w:val="0"/>
          <w:szCs w:val="21"/>
        </w:rPr>
      </w:pPr>
    </w:p>
    <w:p w:rsidR="001816BC" w:rsidRPr="004E2ABA" w:rsidRDefault="00F23F42" w:rsidP="00C85866">
      <w:pPr>
        <w:spacing w:line="360" w:lineRule="auto"/>
        <w:ind w:firstLine="420"/>
        <w:rPr>
          <w:rFonts w:ascii="Times New Roman" w:eastAsia="宋体" w:hAnsi="Times New Roman" w:cs="Times New Roman"/>
          <w:szCs w:val="21"/>
        </w:rPr>
      </w:pPr>
      <w:r w:rsidRPr="004E2ABA">
        <w:rPr>
          <w:rFonts w:ascii="Times New Roman" w:eastAsia="宋体" w:hAnsi="Times New Roman" w:cs="Times New Roman"/>
          <w:szCs w:val="21"/>
        </w:rPr>
        <w:t>二</w:t>
      </w:r>
      <w:r w:rsidR="001816BC" w:rsidRPr="004E2ABA">
        <w:rPr>
          <w:rFonts w:ascii="Times New Roman" w:eastAsia="宋体" w:hAnsi="Times New Roman" w:cs="Times New Roman"/>
          <w:szCs w:val="21"/>
        </w:rPr>
        <w:t>、转换业务规则</w:t>
      </w:r>
    </w:p>
    <w:p w:rsidR="001816BC" w:rsidRPr="004E2ABA" w:rsidRDefault="001816BC" w:rsidP="00C85866">
      <w:pPr>
        <w:spacing w:line="360" w:lineRule="auto"/>
        <w:ind w:firstLine="420"/>
        <w:rPr>
          <w:rFonts w:ascii="Times New Roman" w:eastAsia="宋体" w:hAnsi="Times New Roman" w:cs="Times New Roman"/>
          <w:szCs w:val="21"/>
        </w:rPr>
      </w:pPr>
      <w:r w:rsidRPr="004E2ABA">
        <w:rPr>
          <w:rFonts w:ascii="Times New Roman" w:eastAsia="宋体" w:hAnsi="Times New Roman" w:cs="Times New Roman"/>
          <w:szCs w:val="21"/>
        </w:rPr>
        <w:t>1</w:t>
      </w:r>
      <w:r w:rsidRPr="004E2ABA">
        <w:rPr>
          <w:rFonts w:ascii="Times New Roman" w:eastAsia="宋体" w:hAnsi="Times New Roman" w:cs="Times New Roman"/>
          <w:szCs w:val="21"/>
        </w:rPr>
        <w:t>、基金转换业务是指投资者在同一销售机构持有本基金管理人管理的开放式基金基金份额后，可将其持有的基金份额直接转换成本基金管理人管理的由该销售机构销售的其他开放式基金的基金份额，而不需要先赎回已持有的基金份额，再申购目标基金的一种业务模式。</w:t>
      </w:r>
    </w:p>
    <w:p w:rsidR="001816BC" w:rsidRPr="004E2ABA" w:rsidRDefault="001816BC" w:rsidP="00C85866">
      <w:pPr>
        <w:spacing w:line="360" w:lineRule="auto"/>
        <w:ind w:firstLine="420"/>
        <w:rPr>
          <w:rFonts w:ascii="Times New Roman" w:eastAsia="宋体" w:hAnsi="Times New Roman" w:cs="Times New Roman"/>
          <w:szCs w:val="21"/>
        </w:rPr>
      </w:pPr>
      <w:r w:rsidRPr="004E2ABA">
        <w:rPr>
          <w:rFonts w:ascii="Times New Roman" w:eastAsia="宋体" w:hAnsi="Times New Roman" w:cs="Times New Roman"/>
          <w:szCs w:val="21"/>
        </w:rPr>
        <w:t>2</w:t>
      </w:r>
      <w:r w:rsidRPr="004E2ABA">
        <w:rPr>
          <w:rFonts w:ascii="Times New Roman" w:eastAsia="宋体" w:hAnsi="Times New Roman" w:cs="Times New Roman"/>
          <w:szCs w:val="21"/>
        </w:rPr>
        <w:t>、同一基金</w:t>
      </w:r>
      <w:r w:rsidRPr="004E2ABA">
        <w:rPr>
          <w:rFonts w:ascii="Times New Roman" w:eastAsia="宋体" w:hAnsi="Times New Roman" w:cs="Times New Roman"/>
          <w:szCs w:val="21"/>
        </w:rPr>
        <w:t>A/C</w:t>
      </w:r>
      <w:r w:rsidRPr="004E2ABA">
        <w:rPr>
          <w:rFonts w:ascii="Times New Roman" w:eastAsia="宋体" w:hAnsi="Times New Roman" w:cs="Times New Roman"/>
          <w:szCs w:val="21"/>
        </w:rPr>
        <w:t>类收费模式之间不可进行转换。</w:t>
      </w:r>
    </w:p>
    <w:p w:rsidR="001816BC" w:rsidRPr="004E2ABA" w:rsidRDefault="008A464B" w:rsidP="00C85866">
      <w:pPr>
        <w:spacing w:line="360" w:lineRule="auto"/>
        <w:ind w:firstLine="420"/>
        <w:rPr>
          <w:rFonts w:ascii="Times New Roman" w:eastAsia="宋体" w:hAnsi="Times New Roman" w:cs="Times New Roman"/>
          <w:szCs w:val="21"/>
        </w:rPr>
      </w:pPr>
      <w:r w:rsidRPr="004E2ABA">
        <w:rPr>
          <w:rFonts w:ascii="Times New Roman" w:eastAsia="宋体" w:hAnsi="Times New Roman" w:cs="Times New Roman"/>
          <w:szCs w:val="21"/>
        </w:rPr>
        <w:t>3</w:t>
      </w:r>
      <w:r w:rsidRPr="004E2ABA">
        <w:rPr>
          <w:rFonts w:ascii="Times New Roman" w:eastAsia="宋体" w:hAnsi="Times New Roman" w:cs="Times New Roman"/>
          <w:szCs w:val="21"/>
        </w:rPr>
        <w:t>、若涉及由</w:t>
      </w:r>
      <w:r w:rsidRPr="004E2ABA">
        <w:rPr>
          <w:rFonts w:ascii="Times New Roman" w:eastAsia="宋体" w:hAnsi="Times New Roman" w:cs="Times New Roman"/>
          <w:kern w:val="0"/>
          <w:szCs w:val="21"/>
        </w:rPr>
        <w:t>中国证券登记结算有限责任公司担任注册登记机构的基金的</w:t>
      </w:r>
      <w:r w:rsidRPr="004E2ABA">
        <w:rPr>
          <w:rFonts w:ascii="Times New Roman" w:eastAsia="宋体" w:hAnsi="Times New Roman" w:cs="Times New Roman"/>
          <w:szCs w:val="21"/>
        </w:rPr>
        <w:t>转换业务仅限于通过本基金管理人直销柜台渠道办理</w:t>
      </w:r>
      <w:r w:rsidR="00CF5549" w:rsidRPr="004E2ABA">
        <w:rPr>
          <w:rFonts w:ascii="Times New Roman" w:eastAsia="宋体" w:hAnsi="Times New Roman" w:cs="Times New Roman"/>
          <w:szCs w:val="21"/>
        </w:rPr>
        <w:t>。</w:t>
      </w:r>
    </w:p>
    <w:p w:rsidR="00CF5549" w:rsidRPr="004E2ABA" w:rsidRDefault="00CF5549" w:rsidP="00C85866">
      <w:pPr>
        <w:spacing w:line="360" w:lineRule="auto"/>
        <w:ind w:firstLine="420"/>
        <w:rPr>
          <w:rFonts w:ascii="Times New Roman" w:eastAsia="宋体" w:hAnsi="Times New Roman" w:cs="Times New Roman"/>
          <w:bCs/>
          <w:kern w:val="0"/>
          <w:szCs w:val="21"/>
        </w:rPr>
      </w:pPr>
      <w:r w:rsidRPr="004E2ABA">
        <w:rPr>
          <w:rFonts w:ascii="Times New Roman" w:eastAsia="宋体" w:hAnsi="Times New Roman" w:cs="Times New Roman"/>
          <w:bCs/>
          <w:kern w:val="0"/>
          <w:szCs w:val="21"/>
        </w:rPr>
        <w:t>4</w:t>
      </w:r>
      <w:r w:rsidRPr="004E2ABA">
        <w:rPr>
          <w:rFonts w:ascii="Times New Roman" w:eastAsia="宋体" w:hAnsi="Times New Roman" w:cs="Times New Roman"/>
          <w:bCs/>
          <w:kern w:val="0"/>
          <w:szCs w:val="21"/>
        </w:rPr>
        <w:t>、上述基金的转换业务开通情况，请参见本基金管理人</w:t>
      </w:r>
      <w:r w:rsidRPr="004E2ABA">
        <w:rPr>
          <w:rFonts w:ascii="Times New Roman" w:eastAsia="宋体" w:hAnsi="Times New Roman" w:cs="Times New Roman"/>
          <w:szCs w:val="21"/>
        </w:rPr>
        <w:t>发布的相关业务公告。</w:t>
      </w:r>
    </w:p>
    <w:p w:rsidR="001816BC" w:rsidRPr="004E2ABA" w:rsidRDefault="00CF5549" w:rsidP="00C85866">
      <w:pPr>
        <w:spacing w:line="360" w:lineRule="auto"/>
        <w:ind w:firstLine="420"/>
        <w:rPr>
          <w:rFonts w:ascii="Times New Roman" w:eastAsia="宋体" w:hAnsi="Times New Roman" w:cs="Times New Roman"/>
          <w:szCs w:val="21"/>
        </w:rPr>
      </w:pPr>
      <w:r w:rsidRPr="004E2ABA">
        <w:rPr>
          <w:rFonts w:ascii="Times New Roman" w:eastAsia="宋体" w:hAnsi="Times New Roman" w:cs="Times New Roman"/>
          <w:szCs w:val="21"/>
        </w:rPr>
        <w:t>5</w:t>
      </w:r>
      <w:r w:rsidR="001816BC" w:rsidRPr="004E2ABA">
        <w:rPr>
          <w:rFonts w:ascii="Times New Roman" w:eastAsia="宋体" w:hAnsi="Times New Roman" w:cs="Times New Roman"/>
          <w:szCs w:val="21"/>
        </w:rPr>
        <w:t>、本基金管理人旗下管理的基金的转换业务规则的解释权归国泰基金管理有限公司。</w:t>
      </w:r>
    </w:p>
    <w:p w:rsidR="003F287F" w:rsidRPr="004E2ABA" w:rsidRDefault="003F287F" w:rsidP="00C85866">
      <w:pPr>
        <w:spacing w:line="360" w:lineRule="auto"/>
        <w:ind w:firstLine="420"/>
        <w:rPr>
          <w:rFonts w:ascii="Times New Roman" w:eastAsia="宋体" w:hAnsi="Times New Roman" w:cs="Times New Roman"/>
          <w:bCs/>
          <w:kern w:val="0"/>
          <w:szCs w:val="21"/>
        </w:rPr>
      </w:pPr>
    </w:p>
    <w:p w:rsidR="00CE396B" w:rsidRPr="004E2ABA" w:rsidRDefault="00F23F42" w:rsidP="00C85866">
      <w:pPr>
        <w:spacing w:line="360" w:lineRule="auto"/>
        <w:ind w:firstLine="420"/>
        <w:rPr>
          <w:rFonts w:ascii="Times New Roman" w:eastAsia="宋体" w:hAnsi="Times New Roman" w:cs="Times New Roman"/>
          <w:bCs/>
          <w:kern w:val="0"/>
          <w:szCs w:val="21"/>
        </w:rPr>
      </w:pPr>
      <w:r w:rsidRPr="004E2ABA">
        <w:rPr>
          <w:rFonts w:ascii="Times New Roman" w:eastAsia="宋体" w:hAnsi="Times New Roman" w:cs="Times New Roman"/>
          <w:bCs/>
          <w:kern w:val="0"/>
          <w:szCs w:val="21"/>
        </w:rPr>
        <w:t>三</w:t>
      </w:r>
      <w:r w:rsidR="00CE396B" w:rsidRPr="004E2ABA">
        <w:rPr>
          <w:rFonts w:ascii="Times New Roman" w:eastAsia="宋体" w:hAnsi="Times New Roman" w:cs="Times New Roman"/>
          <w:bCs/>
          <w:kern w:val="0"/>
          <w:szCs w:val="21"/>
        </w:rPr>
        <w:t>、投资者可以通过以下渠道办理相关业务</w:t>
      </w:r>
    </w:p>
    <w:p w:rsidR="00493184" w:rsidRPr="004E2ABA" w:rsidRDefault="000A321D" w:rsidP="00C85866">
      <w:pPr>
        <w:spacing w:line="360" w:lineRule="auto"/>
        <w:ind w:firstLine="420"/>
        <w:rPr>
          <w:rFonts w:ascii="Times New Roman" w:eastAsia="宋体" w:hAnsi="Times New Roman" w:cs="Times New Roman"/>
          <w:szCs w:val="21"/>
        </w:rPr>
      </w:pPr>
      <w:r w:rsidRPr="004E2ABA">
        <w:rPr>
          <w:rFonts w:ascii="Times New Roman" w:eastAsia="宋体" w:hAnsi="Times New Roman" w:cs="Times New Roman"/>
          <w:szCs w:val="21"/>
        </w:rPr>
        <w:t>1</w:t>
      </w:r>
      <w:r w:rsidRPr="004E2ABA">
        <w:rPr>
          <w:rFonts w:ascii="Times New Roman" w:eastAsia="宋体" w:hAnsi="Times New Roman" w:cs="Times New Roman"/>
          <w:szCs w:val="21"/>
        </w:rPr>
        <w:t>、</w:t>
      </w:r>
      <w:r w:rsidR="00556E5F" w:rsidRPr="004E2ABA">
        <w:rPr>
          <w:rFonts w:ascii="Times New Roman" w:eastAsia="宋体" w:hAnsi="Times New Roman" w:cs="Times New Roman"/>
          <w:color w:val="000000"/>
          <w:szCs w:val="21"/>
        </w:rPr>
        <w:t>西藏东方财富证券股份有限公司</w:t>
      </w:r>
    </w:p>
    <w:p w:rsidR="00AC2B19" w:rsidRPr="004E2ABA" w:rsidRDefault="00AC2B19" w:rsidP="00C85866">
      <w:pPr>
        <w:spacing w:line="360" w:lineRule="auto"/>
        <w:ind w:firstLine="420"/>
        <w:rPr>
          <w:rFonts w:ascii="Times New Roman" w:eastAsia="宋体" w:hAnsi="Times New Roman" w:cs="Times New Roman"/>
          <w:bCs/>
          <w:kern w:val="0"/>
          <w:szCs w:val="21"/>
        </w:rPr>
      </w:pPr>
      <w:r w:rsidRPr="004E2ABA">
        <w:rPr>
          <w:rFonts w:ascii="Times New Roman" w:eastAsia="宋体" w:hAnsi="Times New Roman" w:cs="Times New Roman"/>
          <w:bCs/>
          <w:kern w:val="0"/>
          <w:szCs w:val="21"/>
        </w:rPr>
        <w:t>地址：</w:t>
      </w:r>
      <w:r w:rsidR="00556E5F" w:rsidRPr="004E2ABA">
        <w:rPr>
          <w:rFonts w:ascii="Times New Roman" w:eastAsia="宋体" w:hAnsi="Times New Roman" w:cs="Times New Roman"/>
          <w:color w:val="000000"/>
          <w:szCs w:val="21"/>
        </w:rPr>
        <w:t>上海市徐汇区宛平南路</w:t>
      </w:r>
      <w:r w:rsidR="00556E5F" w:rsidRPr="004E2ABA">
        <w:rPr>
          <w:rFonts w:ascii="Times New Roman" w:eastAsia="宋体" w:hAnsi="Times New Roman" w:cs="Times New Roman"/>
          <w:color w:val="000000"/>
          <w:szCs w:val="21"/>
        </w:rPr>
        <w:t>88</w:t>
      </w:r>
      <w:r w:rsidR="00556E5F" w:rsidRPr="004E2ABA">
        <w:rPr>
          <w:rFonts w:ascii="Times New Roman" w:eastAsia="宋体" w:hAnsi="Times New Roman" w:cs="Times New Roman"/>
          <w:color w:val="000000"/>
          <w:szCs w:val="21"/>
        </w:rPr>
        <w:t>号东方财富大厦</w:t>
      </w:r>
    </w:p>
    <w:p w:rsidR="00AC2B19" w:rsidRPr="004E2ABA" w:rsidRDefault="00AC2B19" w:rsidP="00C85866">
      <w:pPr>
        <w:spacing w:line="360" w:lineRule="auto"/>
        <w:ind w:firstLine="420"/>
        <w:rPr>
          <w:rFonts w:ascii="Times New Roman" w:eastAsia="宋体" w:hAnsi="Times New Roman" w:cs="Times New Roman"/>
          <w:szCs w:val="21"/>
        </w:rPr>
      </w:pPr>
      <w:r w:rsidRPr="004E2ABA">
        <w:rPr>
          <w:rFonts w:ascii="Times New Roman" w:eastAsia="宋体" w:hAnsi="Times New Roman" w:cs="Times New Roman"/>
          <w:szCs w:val="21"/>
        </w:rPr>
        <w:t>客服电话：</w:t>
      </w:r>
      <w:r w:rsidR="00556E5F" w:rsidRPr="004E2ABA">
        <w:rPr>
          <w:rFonts w:ascii="Times New Roman" w:eastAsia="宋体" w:hAnsi="Times New Roman" w:cs="Times New Roman"/>
          <w:color w:val="000000"/>
          <w:szCs w:val="21"/>
        </w:rPr>
        <w:t>95357</w:t>
      </w:r>
    </w:p>
    <w:p w:rsidR="00AC2B19" w:rsidRPr="004E2ABA" w:rsidRDefault="00AC2B19" w:rsidP="00C85866">
      <w:pPr>
        <w:spacing w:line="360" w:lineRule="auto"/>
        <w:ind w:firstLine="420"/>
        <w:rPr>
          <w:rFonts w:ascii="Times New Roman" w:eastAsia="宋体" w:hAnsi="Times New Roman" w:cs="Times New Roman"/>
          <w:color w:val="000000"/>
          <w:szCs w:val="21"/>
        </w:rPr>
      </w:pPr>
      <w:r w:rsidRPr="004E2ABA">
        <w:rPr>
          <w:rFonts w:ascii="Times New Roman" w:eastAsia="宋体" w:hAnsi="Times New Roman" w:cs="Times New Roman"/>
          <w:color w:val="000000"/>
          <w:szCs w:val="21"/>
        </w:rPr>
        <w:t>网址</w:t>
      </w:r>
      <w:r w:rsidRPr="004E2ABA">
        <w:rPr>
          <w:rFonts w:ascii="Times New Roman" w:eastAsia="宋体" w:hAnsi="Times New Roman" w:cs="Times New Roman"/>
          <w:szCs w:val="21"/>
        </w:rPr>
        <w:t>：</w:t>
      </w:r>
      <w:r w:rsidR="00C4258A" w:rsidRPr="004E2ABA">
        <w:rPr>
          <w:rFonts w:ascii="Times New Roman" w:eastAsia="宋体" w:hAnsi="Times New Roman" w:cs="Times New Roman"/>
          <w:bCs/>
          <w:kern w:val="0"/>
        </w:rPr>
        <w:t>www.18.cn</w:t>
      </w:r>
    </w:p>
    <w:p w:rsidR="001B448A" w:rsidRPr="004E2ABA" w:rsidRDefault="001B448A" w:rsidP="00C85866">
      <w:pPr>
        <w:spacing w:line="360" w:lineRule="auto"/>
        <w:ind w:firstLine="420"/>
        <w:rPr>
          <w:rFonts w:ascii="Times New Roman" w:eastAsia="宋体" w:hAnsi="Times New Roman" w:cs="Times New Roman"/>
          <w:bCs/>
          <w:kern w:val="0"/>
          <w:szCs w:val="21"/>
        </w:rPr>
      </w:pPr>
      <w:r w:rsidRPr="004E2ABA">
        <w:rPr>
          <w:rFonts w:ascii="Times New Roman" w:eastAsia="宋体" w:hAnsi="Times New Roman" w:cs="Times New Roman"/>
          <w:bCs/>
          <w:kern w:val="0"/>
          <w:szCs w:val="21"/>
        </w:rPr>
        <w:t>2</w:t>
      </w:r>
      <w:r w:rsidRPr="004E2ABA">
        <w:rPr>
          <w:rFonts w:ascii="Times New Roman" w:eastAsia="宋体" w:hAnsi="Times New Roman" w:cs="Times New Roman"/>
          <w:bCs/>
          <w:kern w:val="0"/>
          <w:szCs w:val="21"/>
        </w:rPr>
        <w:t>、国泰基金管理有限公司</w:t>
      </w:r>
    </w:p>
    <w:p w:rsidR="001B448A" w:rsidRPr="004E2ABA" w:rsidRDefault="001B448A" w:rsidP="00C85866">
      <w:pPr>
        <w:spacing w:line="360" w:lineRule="auto"/>
        <w:ind w:firstLine="420"/>
        <w:rPr>
          <w:rFonts w:ascii="Times New Roman" w:eastAsia="宋体" w:hAnsi="Times New Roman" w:cs="Times New Roman"/>
          <w:bCs/>
          <w:kern w:val="0"/>
          <w:szCs w:val="21"/>
        </w:rPr>
      </w:pPr>
      <w:r w:rsidRPr="004E2ABA">
        <w:rPr>
          <w:rFonts w:ascii="Times New Roman" w:eastAsia="宋体" w:hAnsi="Times New Roman" w:cs="Times New Roman"/>
          <w:bCs/>
          <w:kern w:val="0"/>
          <w:szCs w:val="21"/>
        </w:rPr>
        <w:t>地址</w:t>
      </w:r>
      <w:r w:rsidR="00331D85" w:rsidRPr="004E2ABA">
        <w:rPr>
          <w:rFonts w:ascii="Times New Roman" w:eastAsia="宋体" w:hAnsi="Times New Roman" w:cs="Times New Roman"/>
          <w:bCs/>
          <w:kern w:val="0"/>
          <w:szCs w:val="21"/>
        </w:rPr>
        <w:t>：</w:t>
      </w:r>
      <w:r w:rsidRPr="004E2ABA">
        <w:rPr>
          <w:rFonts w:ascii="Times New Roman" w:eastAsia="宋体" w:hAnsi="Times New Roman" w:cs="Times New Roman"/>
          <w:bCs/>
          <w:kern w:val="0"/>
          <w:szCs w:val="21"/>
        </w:rPr>
        <w:t>上海市虹口区公平路</w:t>
      </w:r>
      <w:r w:rsidRPr="004E2ABA">
        <w:rPr>
          <w:rFonts w:ascii="Times New Roman" w:eastAsia="宋体" w:hAnsi="Times New Roman" w:cs="Times New Roman"/>
          <w:bCs/>
          <w:kern w:val="0"/>
          <w:szCs w:val="21"/>
        </w:rPr>
        <w:t>18</w:t>
      </w:r>
      <w:r w:rsidRPr="004E2ABA">
        <w:rPr>
          <w:rFonts w:ascii="Times New Roman" w:eastAsia="宋体" w:hAnsi="Times New Roman" w:cs="Times New Roman"/>
          <w:bCs/>
          <w:kern w:val="0"/>
          <w:szCs w:val="21"/>
        </w:rPr>
        <w:t>号</w:t>
      </w:r>
      <w:r w:rsidRPr="004E2ABA">
        <w:rPr>
          <w:rFonts w:ascii="Times New Roman" w:eastAsia="宋体" w:hAnsi="Times New Roman" w:cs="Times New Roman"/>
          <w:bCs/>
          <w:kern w:val="0"/>
          <w:szCs w:val="21"/>
        </w:rPr>
        <w:t>8</w:t>
      </w:r>
      <w:r w:rsidRPr="004E2ABA">
        <w:rPr>
          <w:rFonts w:ascii="Times New Roman" w:eastAsia="宋体" w:hAnsi="Times New Roman" w:cs="Times New Roman"/>
          <w:bCs/>
          <w:kern w:val="0"/>
          <w:szCs w:val="21"/>
        </w:rPr>
        <w:t>号楼嘉昱大厦</w:t>
      </w:r>
      <w:r w:rsidRPr="004E2ABA">
        <w:rPr>
          <w:rFonts w:ascii="Times New Roman" w:eastAsia="宋体" w:hAnsi="Times New Roman" w:cs="Times New Roman"/>
          <w:bCs/>
          <w:kern w:val="0"/>
          <w:szCs w:val="21"/>
        </w:rPr>
        <w:t>16-19</w:t>
      </w:r>
      <w:r w:rsidRPr="004E2ABA">
        <w:rPr>
          <w:rFonts w:ascii="Times New Roman" w:eastAsia="宋体" w:hAnsi="Times New Roman" w:cs="Times New Roman"/>
          <w:bCs/>
          <w:kern w:val="0"/>
          <w:szCs w:val="21"/>
        </w:rPr>
        <w:t>层</w:t>
      </w:r>
    </w:p>
    <w:p w:rsidR="001B448A" w:rsidRPr="004E2ABA" w:rsidRDefault="001B448A" w:rsidP="00C85866">
      <w:pPr>
        <w:spacing w:line="360" w:lineRule="auto"/>
        <w:ind w:firstLine="420"/>
        <w:rPr>
          <w:rFonts w:ascii="Times New Roman" w:eastAsia="宋体" w:hAnsi="Times New Roman" w:cs="Times New Roman"/>
          <w:bCs/>
          <w:kern w:val="0"/>
          <w:szCs w:val="21"/>
        </w:rPr>
      </w:pPr>
      <w:r w:rsidRPr="004E2ABA">
        <w:rPr>
          <w:rFonts w:ascii="Times New Roman" w:eastAsia="宋体" w:hAnsi="Times New Roman" w:cs="Times New Roman"/>
          <w:bCs/>
          <w:kern w:val="0"/>
          <w:szCs w:val="21"/>
        </w:rPr>
        <w:t>客服电话：</w:t>
      </w:r>
      <w:r w:rsidRPr="004E2ABA">
        <w:rPr>
          <w:rFonts w:ascii="Times New Roman" w:eastAsia="宋体" w:hAnsi="Times New Roman" w:cs="Times New Roman"/>
          <w:bCs/>
          <w:kern w:val="0"/>
          <w:szCs w:val="21"/>
        </w:rPr>
        <w:t>400-888-8688</w:t>
      </w:r>
    </w:p>
    <w:p w:rsidR="001B448A" w:rsidRPr="004E2ABA" w:rsidRDefault="001B448A" w:rsidP="00C85866">
      <w:pPr>
        <w:spacing w:line="360" w:lineRule="auto"/>
        <w:ind w:firstLine="420"/>
        <w:rPr>
          <w:rFonts w:ascii="Times New Roman" w:eastAsia="宋体" w:hAnsi="Times New Roman" w:cs="Times New Roman"/>
          <w:bCs/>
          <w:kern w:val="0"/>
          <w:szCs w:val="21"/>
        </w:rPr>
      </w:pPr>
      <w:r w:rsidRPr="004E2ABA">
        <w:rPr>
          <w:rFonts w:ascii="Times New Roman" w:eastAsia="宋体" w:hAnsi="Times New Roman" w:cs="Times New Roman"/>
          <w:bCs/>
          <w:kern w:val="0"/>
          <w:szCs w:val="21"/>
        </w:rPr>
        <w:t>网址：</w:t>
      </w:r>
      <w:r w:rsidRPr="004E2ABA">
        <w:rPr>
          <w:rFonts w:ascii="Times New Roman" w:eastAsia="宋体" w:hAnsi="Times New Roman" w:cs="Times New Roman"/>
          <w:bCs/>
          <w:kern w:val="0"/>
          <w:szCs w:val="21"/>
        </w:rPr>
        <w:t>www.gtfund.com</w:t>
      </w:r>
    </w:p>
    <w:p w:rsidR="001B448A" w:rsidRPr="004E2ABA" w:rsidRDefault="001B448A" w:rsidP="00C85866">
      <w:pPr>
        <w:pStyle w:val="Default"/>
        <w:tabs>
          <w:tab w:val="left" w:pos="426"/>
        </w:tabs>
        <w:spacing w:line="360" w:lineRule="auto"/>
        <w:ind w:leftChars="43" w:left="90" w:firstLineChars="207" w:firstLine="435"/>
        <w:jc w:val="both"/>
        <w:rPr>
          <w:rFonts w:ascii="Times New Roman" w:hAnsi="Times New Roman" w:cs="Times New Roman"/>
          <w:color w:val="auto"/>
          <w:sz w:val="21"/>
          <w:szCs w:val="21"/>
        </w:rPr>
      </w:pPr>
    </w:p>
    <w:p w:rsidR="00232541" w:rsidRPr="004E2ABA" w:rsidRDefault="00232541" w:rsidP="00C85866">
      <w:pPr>
        <w:spacing w:line="360" w:lineRule="auto"/>
        <w:ind w:firstLine="420"/>
        <w:rPr>
          <w:rFonts w:ascii="Times New Roman" w:eastAsia="宋体" w:hAnsi="Times New Roman" w:cs="Times New Roman"/>
          <w:bCs/>
          <w:kern w:val="0"/>
          <w:szCs w:val="21"/>
        </w:rPr>
      </w:pPr>
      <w:r w:rsidRPr="004E2ABA">
        <w:rPr>
          <w:rFonts w:ascii="Times New Roman" w:eastAsia="宋体" w:hAnsi="Times New Roman" w:cs="Times New Roman"/>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CE396B" w:rsidRPr="004E2ABA" w:rsidRDefault="00CE396B" w:rsidP="00C85866">
      <w:pPr>
        <w:spacing w:line="360" w:lineRule="auto"/>
        <w:ind w:firstLine="420"/>
        <w:rPr>
          <w:rFonts w:ascii="Times New Roman" w:eastAsia="宋体" w:hAnsi="Times New Roman" w:cs="Times New Roman"/>
          <w:bCs/>
          <w:kern w:val="0"/>
          <w:szCs w:val="21"/>
        </w:rPr>
      </w:pPr>
      <w:r w:rsidRPr="004E2ABA">
        <w:rPr>
          <w:rFonts w:ascii="Times New Roman" w:eastAsia="宋体" w:hAnsi="Times New Roman" w:cs="Times New Roman"/>
          <w:bCs/>
          <w:kern w:val="0"/>
          <w:szCs w:val="21"/>
        </w:rPr>
        <w:t>特此公告。</w:t>
      </w:r>
    </w:p>
    <w:p w:rsidR="00C7569E" w:rsidRPr="004E2ABA" w:rsidRDefault="00C7569E" w:rsidP="00C85866">
      <w:pPr>
        <w:spacing w:line="360" w:lineRule="auto"/>
        <w:ind w:firstLine="420"/>
        <w:rPr>
          <w:rFonts w:ascii="Times New Roman" w:eastAsia="宋体" w:hAnsi="Times New Roman" w:cs="Times New Roman"/>
          <w:bCs/>
          <w:kern w:val="0"/>
          <w:szCs w:val="21"/>
        </w:rPr>
      </w:pPr>
    </w:p>
    <w:p w:rsidR="00C7569E" w:rsidRPr="004E2ABA" w:rsidRDefault="00C7569E" w:rsidP="00C85866">
      <w:pPr>
        <w:spacing w:line="360" w:lineRule="auto"/>
        <w:ind w:firstLine="420"/>
        <w:rPr>
          <w:rFonts w:ascii="Times New Roman" w:eastAsia="宋体" w:hAnsi="Times New Roman" w:cs="Times New Roman"/>
          <w:bCs/>
          <w:kern w:val="0"/>
          <w:szCs w:val="21"/>
        </w:rPr>
      </w:pPr>
    </w:p>
    <w:p w:rsidR="00AC3651" w:rsidRPr="004E2ABA" w:rsidRDefault="00AC3651" w:rsidP="00C85866">
      <w:pPr>
        <w:pStyle w:val="Default"/>
        <w:tabs>
          <w:tab w:val="left" w:pos="426"/>
        </w:tabs>
        <w:spacing w:line="360" w:lineRule="auto"/>
        <w:jc w:val="both"/>
        <w:rPr>
          <w:rFonts w:ascii="Times New Roman" w:hAnsi="Times New Roman" w:cs="Times New Roman"/>
          <w:color w:val="auto"/>
          <w:sz w:val="21"/>
          <w:szCs w:val="21"/>
        </w:rPr>
      </w:pPr>
    </w:p>
    <w:p w:rsidR="005B0565" w:rsidRPr="004E2ABA" w:rsidRDefault="00CE396B" w:rsidP="00C85866">
      <w:pPr>
        <w:pStyle w:val="Default"/>
        <w:tabs>
          <w:tab w:val="left" w:pos="426"/>
        </w:tabs>
        <w:spacing w:line="360" w:lineRule="auto"/>
        <w:ind w:leftChars="43" w:left="90" w:firstLineChars="2907" w:firstLine="6105"/>
        <w:jc w:val="both"/>
        <w:rPr>
          <w:rFonts w:ascii="Times New Roman" w:hAnsi="Times New Roman" w:cs="Times New Roman"/>
          <w:color w:val="auto"/>
          <w:sz w:val="21"/>
          <w:szCs w:val="21"/>
        </w:rPr>
      </w:pPr>
      <w:r w:rsidRPr="004E2ABA">
        <w:rPr>
          <w:rFonts w:ascii="Times New Roman" w:hAnsi="Times New Roman" w:cs="Times New Roman"/>
          <w:color w:val="auto"/>
          <w:sz w:val="21"/>
          <w:szCs w:val="21"/>
        </w:rPr>
        <w:t>国泰基金管理有限公司</w:t>
      </w:r>
    </w:p>
    <w:p w:rsidR="000F1CD5" w:rsidRPr="004E2ABA" w:rsidRDefault="00AC2B19" w:rsidP="00C85866">
      <w:pPr>
        <w:pStyle w:val="Default"/>
        <w:tabs>
          <w:tab w:val="left" w:pos="426"/>
        </w:tabs>
        <w:spacing w:line="360" w:lineRule="auto"/>
        <w:ind w:leftChars="43" w:left="90" w:firstLineChars="3207" w:firstLine="6735"/>
        <w:jc w:val="both"/>
        <w:rPr>
          <w:rFonts w:ascii="Times New Roman" w:hAnsi="Times New Roman" w:cs="Times New Roman"/>
          <w:color w:val="auto"/>
          <w:sz w:val="21"/>
          <w:szCs w:val="21"/>
        </w:rPr>
      </w:pPr>
      <w:r w:rsidRPr="004E2ABA">
        <w:rPr>
          <w:rFonts w:ascii="Times New Roman" w:hAnsi="Times New Roman" w:cs="Times New Roman"/>
          <w:color w:val="auto"/>
          <w:sz w:val="21"/>
          <w:szCs w:val="21"/>
        </w:rPr>
        <w:t>20</w:t>
      </w:r>
      <w:r w:rsidR="00556E5F" w:rsidRPr="004E2ABA">
        <w:rPr>
          <w:rFonts w:ascii="Times New Roman" w:hAnsi="Times New Roman" w:cs="Times New Roman"/>
          <w:color w:val="auto"/>
          <w:sz w:val="21"/>
          <w:szCs w:val="21"/>
        </w:rPr>
        <w:t>20</w:t>
      </w:r>
      <w:r w:rsidRPr="004E2ABA">
        <w:rPr>
          <w:rFonts w:ascii="Times New Roman" w:hAnsi="Times New Roman" w:cs="Times New Roman"/>
          <w:color w:val="auto"/>
          <w:sz w:val="21"/>
          <w:szCs w:val="21"/>
        </w:rPr>
        <w:t>年</w:t>
      </w:r>
      <w:r w:rsidR="0090354E" w:rsidRPr="004E2ABA">
        <w:rPr>
          <w:rFonts w:ascii="Times New Roman" w:hAnsi="Times New Roman" w:cs="Times New Roman"/>
          <w:color w:val="auto"/>
          <w:sz w:val="21"/>
          <w:szCs w:val="21"/>
        </w:rPr>
        <w:t>3</w:t>
      </w:r>
      <w:r w:rsidRPr="004E2ABA">
        <w:rPr>
          <w:rFonts w:ascii="Times New Roman" w:hAnsi="Times New Roman" w:cs="Times New Roman"/>
          <w:color w:val="auto"/>
          <w:sz w:val="21"/>
          <w:szCs w:val="21"/>
        </w:rPr>
        <w:t>月</w:t>
      </w:r>
      <w:r w:rsidR="0090354E" w:rsidRPr="004E2ABA">
        <w:rPr>
          <w:rFonts w:ascii="Times New Roman" w:hAnsi="Times New Roman" w:cs="Times New Roman"/>
          <w:color w:val="auto"/>
          <w:sz w:val="21"/>
          <w:szCs w:val="21"/>
        </w:rPr>
        <w:t>5</w:t>
      </w:r>
      <w:r w:rsidR="008444DD" w:rsidRPr="004E2ABA">
        <w:rPr>
          <w:rFonts w:ascii="Times New Roman" w:hAnsi="Times New Roman" w:cs="Times New Roman"/>
          <w:color w:val="auto"/>
          <w:sz w:val="21"/>
          <w:szCs w:val="21"/>
        </w:rPr>
        <w:t>日</w:t>
      </w:r>
    </w:p>
    <w:sectPr w:rsidR="000F1CD5" w:rsidRPr="004E2ABA"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B41" w:rsidRDefault="008B4B41" w:rsidP="009760CC">
      <w:r>
        <w:separator/>
      </w:r>
    </w:p>
  </w:endnote>
  <w:endnote w:type="continuationSeparator" w:id="1">
    <w:p w:rsidR="008B4B41" w:rsidRDefault="008B4B41"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B41" w:rsidRDefault="008B4B41" w:rsidP="009760CC">
      <w:r>
        <w:separator/>
      </w:r>
    </w:p>
  </w:footnote>
  <w:footnote w:type="continuationSeparator" w:id="1">
    <w:p w:rsidR="008B4B41" w:rsidRDefault="008B4B41"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567C0"/>
    <w:multiLevelType w:val="hybridMultilevel"/>
    <w:tmpl w:val="E6501CD2"/>
    <w:lvl w:ilvl="0" w:tplc="1450B7B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0B3"/>
    <w:rsid w:val="00011CCB"/>
    <w:rsid w:val="00020426"/>
    <w:rsid w:val="00034496"/>
    <w:rsid w:val="00046291"/>
    <w:rsid w:val="00057F7D"/>
    <w:rsid w:val="000617B5"/>
    <w:rsid w:val="00093609"/>
    <w:rsid w:val="000A321D"/>
    <w:rsid w:val="000A374B"/>
    <w:rsid w:val="000A453A"/>
    <w:rsid w:val="000A56D7"/>
    <w:rsid w:val="000B17FD"/>
    <w:rsid w:val="000C04DF"/>
    <w:rsid w:val="000D21F9"/>
    <w:rsid w:val="000D4F5C"/>
    <w:rsid w:val="000D6A2E"/>
    <w:rsid w:val="000F1CD5"/>
    <w:rsid w:val="00113E27"/>
    <w:rsid w:val="00126D44"/>
    <w:rsid w:val="00130D27"/>
    <w:rsid w:val="0014045D"/>
    <w:rsid w:val="00143BE1"/>
    <w:rsid w:val="00146176"/>
    <w:rsid w:val="0015439E"/>
    <w:rsid w:val="001554EE"/>
    <w:rsid w:val="00160D99"/>
    <w:rsid w:val="00161926"/>
    <w:rsid w:val="00171C91"/>
    <w:rsid w:val="001816BC"/>
    <w:rsid w:val="001A424B"/>
    <w:rsid w:val="001A5F14"/>
    <w:rsid w:val="001B1DA3"/>
    <w:rsid w:val="001B448A"/>
    <w:rsid w:val="001B72FC"/>
    <w:rsid w:val="001B7BDF"/>
    <w:rsid w:val="001C0738"/>
    <w:rsid w:val="001C744B"/>
    <w:rsid w:val="001C7FE1"/>
    <w:rsid w:val="001D3F41"/>
    <w:rsid w:val="001E0FF2"/>
    <w:rsid w:val="001E200F"/>
    <w:rsid w:val="00222D5C"/>
    <w:rsid w:val="002242E8"/>
    <w:rsid w:val="00224349"/>
    <w:rsid w:val="00232541"/>
    <w:rsid w:val="00233F66"/>
    <w:rsid w:val="00242130"/>
    <w:rsid w:val="00256530"/>
    <w:rsid w:val="00263301"/>
    <w:rsid w:val="00265C7A"/>
    <w:rsid w:val="00276AAC"/>
    <w:rsid w:val="00286740"/>
    <w:rsid w:val="00286F38"/>
    <w:rsid w:val="002A1565"/>
    <w:rsid w:val="002C15D6"/>
    <w:rsid w:val="002C5463"/>
    <w:rsid w:val="002D1704"/>
    <w:rsid w:val="002D38D0"/>
    <w:rsid w:val="002E4094"/>
    <w:rsid w:val="0030502D"/>
    <w:rsid w:val="00312734"/>
    <w:rsid w:val="003137F3"/>
    <w:rsid w:val="003165DA"/>
    <w:rsid w:val="00324F27"/>
    <w:rsid w:val="00331D85"/>
    <w:rsid w:val="00350D09"/>
    <w:rsid w:val="00373D96"/>
    <w:rsid w:val="00394DFB"/>
    <w:rsid w:val="003A3F31"/>
    <w:rsid w:val="003A74AE"/>
    <w:rsid w:val="003B159A"/>
    <w:rsid w:val="003D112C"/>
    <w:rsid w:val="003E60AC"/>
    <w:rsid w:val="003F287F"/>
    <w:rsid w:val="003F39D2"/>
    <w:rsid w:val="003F475B"/>
    <w:rsid w:val="0041382D"/>
    <w:rsid w:val="00415F6E"/>
    <w:rsid w:val="00427307"/>
    <w:rsid w:val="00431977"/>
    <w:rsid w:val="0044170B"/>
    <w:rsid w:val="004759E3"/>
    <w:rsid w:val="004760E8"/>
    <w:rsid w:val="00480804"/>
    <w:rsid w:val="004907B5"/>
    <w:rsid w:val="00492672"/>
    <w:rsid w:val="00493184"/>
    <w:rsid w:val="004C08D4"/>
    <w:rsid w:val="004C3BCD"/>
    <w:rsid w:val="004C6556"/>
    <w:rsid w:val="004D052E"/>
    <w:rsid w:val="004E2ABA"/>
    <w:rsid w:val="004E38F3"/>
    <w:rsid w:val="004E7737"/>
    <w:rsid w:val="00502895"/>
    <w:rsid w:val="00507217"/>
    <w:rsid w:val="00514698"/>
    <w:rsid w:val="00515BC1"/>
    <w:rsid w:val="0052502E"/>
    <w:rsid w:val="00525FD0"/>
    <w:rsid w:val="00526CC2"/>
    <w:rsid w:val="00536680"/>
    <w:rsid w:val="00544949"/>
    <w:rsid w:val="00556E5F"/>
    <w:rsid w:val="0056327E"/>
    <w:rsid w:val="00566FF3"/>
    <w:rsid w:val="00572CDB"/>
    <w:rsid w:val="00580E11"/>
    <w:rsid w:val="005905BC"/>
    <w:rsid w:val="00594BBB"/>
    <w:rsid w:val="00596AB3"/>
    <w:rsid w:val="005B03D5"/>
    <w:rsid w:val="005B0565"/>
    <w:rsid w:val="005B358B"/>
    <w:rsid w:val="005B6621"/>
    <w:rsid w:val="005C2F17"/>
    <w:rsid w:val="005D3287"/>
    <w:rsid w:val="005D7A8A"/>
    <w:rsid w:val="005F0E20"/>
    <w:rsid w:val="00602136"/>
    <w:rsid w:val="00614187"/>
    <w:rsid w:val="00620140"/>
    <w:rsid w:val="00634C22"/>
    <w:rsid w:val="00635B8A"/>
    <w:rsid w:val="006512B8"/>
    <w:rsid w:val="00653AC3"/>
    <w:rsid w:val="00662D90"/>
    <w:rsid w:val="00666BCB"/>
    <w:rsid w:val="00676B74"/>
    <w:rsid w:val="0069432D"/>
    <w:rsid w:val="006B15F0"/>
    <w:rsid w:val="006B7CC1"/>
    <w:rsid w:val="006C39BF"/>
    <w:rsid w:val="006C54F2"/>
    <w:rsid w:val="006E4511"/>
    <w:rsid w:val="006F57B3"/>
    <w:rsid w:val="00702324"/>
    <w:rsid w:val="00707C23"/>
    <w:rsid w:val="00717802"/>
    <w:rsid w:val="00720E5D"/>
    <w:rsid w:val="007300ED"/>
    <w:rsid w:val="00730891"/>
    <w:rsid w:val="00743DC7"/>
    <w:rsid w:val="00753D33"/>
    <w:rsid w:val="007543CC"/>
    <w:rsid w:val="00754FB5"/>
    <w:rsid w:val="00765ECE"/>
    <w:rsid w:val="00771F49"/>
    <w:rsid w:val="00772EB9"/>
    <w:rsid w:val="007A02F1"/>
    <w:rsid w:val="007C4080"/>
    <w:rsid w:val="007C691A"/>
    <w:rsid w:val="007C7CE8"/>
    <w:rsid w:val="007D48F4"/>
    <w:rsid w:val="007D6BC3"/>
    <w:rsid w:val="007E0655"/>
    <w:rsid w:val="007E5A00"/>
    <w:rsid w:val="007F3E8B"/>
    <w:rsid w:val="007F40B3"/>
    <w:rsid w:val="007F4340"/>
    <w:rsid w:val="00801CA6"/>
    <w:rsid w:val="00806C6E"/>
    <w:rsid w:val="00811500"/>
    <w:rsid w:val="00812349"/>
    <w:rsid w:val="00814EF2"/>
    <w:rsid w:val="0082505C"/>
    <w:rsid w:val="0083056F"/>
    <w:rsid w:val="008444DD"/>
    <w:rsid w:val="008505B1"/>
    <w:rsid w:val="008519AF"/>
    <w:rsid w:val="00853337"/>
    <w:rsid w:val="008560D5"/>
    <w:rsid w:val="00857D17"/>
    <w:rsid w:val="00873D03"/>
    <w:rsid w:val="00886570"/>
    <w:rsid w:val="00896B04"/>
    <w:rsid w:val="008A464B"/>
    <w:rsid w:val="008B1809"/>
    <w:rsid w:val="008B4B41"/>
    <w:rsid w:val="008B597D"/>
    <w:rsid w:val="008B645A"/>
    <w:rsid w:val="008C0600"/>
    <w:rsid w:val="008D2D8B"/>
    <w:rsid w:val="008D3D27"/>
    <w:rsid w:val="008F5549"/>
    <w:rsid w:val="0090354E"/>
    <w:rsid w:val="00916114"/>
    <w:rsid w:val="00916382"/>
    <w:rsid w:val="00921DC2"/>
    <w:rsid w:val="00922627"/>
    <w:rsid w:val="00923EDC"/>
    <w:rsid w:val="00927282"/>
    <w:rsid w:val="009449C5"/>
    <w:rsid w:val="00952495"/>
    <w:rsid w:val="009524BB"/>
    <w:rsid w:val="009715AF"/>
    <w:rsid w:val="009760CC"/>
    <w:rsid w:val="00976E0D"/>
    <w:rsid w:val="009824B2"/>
    <w:rsid w:val="009864C9"/>
    <w:rsid w:val="0099069C"/>
    <w:rsid w:val="0099226E"/>
    <w:rsid w:val="00993E05"/>
    <w:rsid w:val="00994DFA"/>
    <w:rsid w:val="009A207E"/>
    <w:rsid w:val="009B7CF2"/>
    <w:rsid w:val="009E0B6E"/>
    <w:rsid w:val="009F091B"/>
    <w:rsid w:val="009F17CA"/>
    <w:rsid w:val="009F3122"/>
    <w:rsid w:val="009F3C4E"/>
    <w:rsid w:val="00A066E1"/>
    <w:rsid w:val="00A10C0E"/>
    <w:rsid w:val="00A11A42"/>
    <w:rsid w:val="00A172E9"/>
    <w:rsid w:val="00A43ADE"/>
    <w:rsid w:val="00A461E3"/>
    <w:rsid w:val="00A501C3"/>
    <w:rsid w:val="00A50CF7"/>
    <w:rsid w:val="00A51111"/>
    <w:rsid w:val="00A63B18"/>
    <w:rsid w:val="00A75ED5"/>
    <w:rsid w:val="00AA1167"/>
    <w:rsid w:val="00AC2B19"/>
    <w:rsid w:val="00AC3651"/>
    <w:rsid w:val="00AC4729"/>
    <w:rsid w:val="00AD11B1"/>
    <w:rsid w:val="00AE23EE"/>
    <w:rsid w:val="00AE75E0"/>
    <w:rsid w:val="00AF302C"/>
    <w:rsid w:val="00AF5C6D"/>
    <w:rsid w:val="00B00CA2"/>
    <w:rsid w:val="00B037DC"/>
    <w:rsid w:val="00B05318"/>
    <w:rsid w:val="00B06D13"/>
    <w:rsid w:val="00B0729B"/>
    <w:rsid w:val="00B128BD"/>
    <w:rsid w:val="00B12A87"/>
    <w:rsid w:val="00B13048"/>
    <w:rsid w:val="00B15A7F"/>
    <w:rsid w:val="00B17343"/>
    <w:rsid w:val="00B22549"/>
    <w:rsid w:val="00B27B6A"/>
    <w:rsid w:val="00B35242"/>
    <w:rsid w:val="00B52DF0"/>
    <w:rsid w:val="00B540F1"/>
    <w:rsid w:val="00B625E1"/>
    <w:rsid w:val="00B712D6"/>
    <w:rsid w:val="00B84894"/>
    <w:rsid w:val="00B8560A"/>
    <w:rsid w:val="00B86275"/>
    <w:rsid w:val="00B90779"/>
    <w:rsid w:val="00B92194"/>
    <w:rsid w:val="00B93F40"/>
    <w:rsid w:val="00B96A30"/>
    <w:rsid w:val="00BA2DC8"/>
    <w:rsid w:val="00BB2A04"/>
    <w:rsid w:val="00BB4DA8"/>
    <w:rsid w:val="00BB58F5"/>
    <w:rsid w:val="00BC26BD"/>
    <w:rsid w:val="00BD1539"/>
    <w:rsid w:val="00BD6FDE"/>
    <w:rsid w:val="00BF5802"/>
    <w:rsid w:val="00C04501"/>
    <w:rsid w:val="00C05717"/>
    <w:rsid w:val="00C1379F"/>
    <w:rsid w:val="00C168CB"/>
    <w:rsid w:val="00C40BCC"/>
    <w:rsid w:val="00C4258A"/>
    <w:rsid w:val="00C4277D"/>
    <w:rsid w:val="00C45AF9"/>
    <w:rsid w:val="00C45D1B"/>
    <w:rsid w:val="00C5108C"/>
    <w:rsid w:val="00C57B9F"/>
    <w:rsid w:val="00C67E1F"/>
    <w:rsid w:val="00C7569E"/>
    <w:rsid w:val="00C772E3"/>
    <w:rsid w:val="00C85866"/>
    <w:rsid w:val="00C87482"/>
    <w:rsid w:val="00C9673F"/>
    <w:rsid w:val="00CB2D14"/>
    <w:rsid w:val="00CB50FD"/>
    <w:rsid w:val="00CB562B"/>
    <w:rsid w:val="00CC0F17"/>
    <w:rsid w:val="00CC43DC"/>
    <w:rsid w:val="00CC5334"/>
    <w:rsid w:val="00CD7117"/>
    <w:rsid w:val="00CE396B"/>
    <w:rsid w:val="00CE7AF2"/>
    <w:rsid w:val="00CF215C"/>
    <w:rsid w:val="00CF5549"/>
    <w:rsid w:val="00D05D18"/>
    <w:rsid w:val="00D11BDA"/>
    <w:rsid w:val="00D15A4A"/>
    <w:rsid w:val="00D21093"/>
    <w:rsid w:val="00D34C59"/>
    <w:rsid w:val="00D42A88"/>
    <w:rsid w:val="00D440AD"/>
    <w:rsid w:val="00D4603D"/>
    <w:rsid w:val="00D63C1F"/>
    <w:rsid w:val="00D77826"/>
    <w:rsid w:val="00D85CD0"/>
    <w:rsid w:val="00D91F27"/>
    <w:rsid w:val="00DA15FD"/>
    <w:rsid w:val="00DB0884"/>
    <w:rsid w:val="00DB5082"/>
    <w:rsid w:val="00DB64B9"/>
    <w:rsid w:val="00DB6DA0"/>
    <w:rsid w:val="00DD03F1"/>
    <w:rsid w:val="00DD7530"/>
    <w:rsid w:val="00DE4F1B"/>
    <w:rsid w:val="00DF49E8"/>
    <w:rsid w:val="00DF5956"/>
    <w:rsid w:val="00E3153B"/>
    <w:rsid w:val="00E41440"/>
    <w:rsid w:val="00E45612"/>
    <w:rsid w:val="00E46037"/>
    <w:rsid w:val="00E54239"/>
    <w:rsid w:val="00E5698C"/>
    <w:rsid w:val="00E6452B"/>
    <w:rsid w:val="00E714AC"/>
    <w:rsid w:val="00E80FDC"/>
    <w:rsid w:val="00EA04DB"/>
    <w:rsid w:val="00EB7398"/>
    <w:rsid w:val="00ED527D"/>
    <w:rsid w:val="00EE2FEF"/>
    <w:rsid w:val="00F06C2D"/>
    <w:rsid w:val="00F0768E"/>
    <w:rsid w:val="00F105FE"/>
    <w:rsid w:val="00F133C2"/>
    <w:rsid w:val="00F17EA9"/>
    <w:rsid w:val="00F23F42"/>
    <w:rsid w:val="00F25A73"/>
    <w:rsid w:val="00F307E8"/>
    <w:rsid w:val="00F33DE1"/>
    <w:rsid w:val="00F42215"/>
    <w:rsid w:val="00F445F6"/>
    <w:rsid w:val="00F51F50"/>
    <w:rsid w:val="00F5230F"/>
    <w:rsid w:val="00F61F22"/>
    <w:rsid w:val="00F672E5"/>
    <w:rsid w:val="00F673A8"/>
    <w:rsid w:val="00F74E13"/>
    <w:rsid w:val="00F7641F"/>
    <w:rsid w:val="00F77FFA"/>
    <w:rsid w:val="00FB7803"/>
    <w:rsid w:val="00FC266D"/>
    <w:rsid w:val="00FC2F13"/>
    <w:rsid w:val="00FF3A0A"/>
    <w:rsid w:val="00FF3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383096242">
      <w:bodyDiv w:val="1"/>
      <w:marLeft w:val="0"/>
      <w:marRight w:val="0"/>
      <w:marTop w:val="0"/>
      <w:marBottom w:val="0"/>
      <w:divBdr>
        <w:top w:val="none" w:sz="0" w:space="0" w:color="auto"/>
        <w:left w:val="none" w:sz="0" w:space="0" w:color="auto"/>
        <w:bottom w:val="none" w:sz="0" w:space="0" w:color="auto"/>
        <w:right w:val="none" w:sz="0" w:space="0" w:color="auto"/>
      </w:divBdr>
    </w:div>
    <w:div w:id="1634411487">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AE49-26EC-4E6F-9D25-9A3E8A51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3920</Characters>
  <Application>Microsoft Office Word</Application>
  <DocSecurity>4</DocSecurity>
  <Lines>32</Lines>
  <Paragraphs>9</Paragraphs>
  <ScaleCrop>false</ScaleCrop>
  <Company>Lenovo</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林通:返回发起人</dc:creator>
  <cp:lastModifiedBy>JonMMx 2000</cp:lastModifiedBy>
  <cp:revision>2</cp:revision>
  <dcterms:created xsi:type="dcterms:W3CDTF">2020-03-04T16:10:00Z</dcterms:created>
  <dcterms:modified xsi:type="dcterms:W3CDTF">2020-03-04T16:10:00Z</dcterms:modified>
</cp:coreProperties>
</file>