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7A" w:rsidRPr="007D3551" w:rsidRDefault="004C7003" w:rsidP="007D3551">
      <w:pPr>
        <w:widowControl/>
        <w:adjustRightInd w:val="0"/>
        <w:snapToGrid w:val="0"/>
        <w:spacing w:line="360" w:lineRule="auto"/>
        <w:jc w:val="left"/>
        <w:rPr>
          <w:rFonts w:ascii="宋体" w:hAnsi="宋体" w:cs="宋体"/>
          <w:b/>
          <w:color w:val="000000"/>
          <w:kern w:val="0"/>
          <w:sz w:val="30"/>
          <w:szCs w:val="30"/>
        </w:rPr>
      </w:pPr>
      <w:r w:rsidRPr="007D3551">
        <w:rPr>
          <w:rFonts w:ascii="宋体" w:hAnsi="宋体" w:cs="宋体" w:hint="eastAsia"/>
          <w:b/>
          <w:color w:val="000000"/>
          <w:kern w:val="0"/>
          <w:sz w:val="30"/>
          <w:szCs w:val="30"/>
        </w:rPr>
        <w:t>兴业基金管理有限公司关于在青岛农村商业银行股份有限公司开通旗下部分定期</w:t>
      </w:r>
      <w:r w:rsidRPr="007D3551">
        <w:rPr>
          <w:rFonts w:ascii="宋体" w:hAnsi="宋体" w:cs="宋体"/>
          <w:b/>
          <w:color w:val="000000"/>
          <w:kern w:val="0"/>
          <w:sz w:val="30"/>
          <w:szCs w:val="30"/>
        </w:rPr>
        <w:t>定额投资</w:t>
      </w:r>
      <w:r w:rsidRPr="007D3551">
        <w:rPr>
          <w:rFonts w:ascii="宋体" w:hAnsi="宋体" w:cs="宋体" w:hint="eastAsia"/>
          <w:b/>
          <w:color w:val="000000"/>
          <w:kern w:val="0"/>
          <w:sz w:val="30"/>
          <w:szCs w:val="30"/>
        </w:rPr>
        <w:t>和转换业务的公告</w:t>
      </w:r>
    </w:p>
    <w:p w:rsidR="001E497A" w:rsidRDefault="001E497A" w:rsidP="007D3551">
      <w:pPr>
        <w:adjustRightInd w:val="0"/>
        <w:snapToGrid w:val="0"/>
        <w:spacing w:line="360" w:lineRule="auto"/>
        <w:rPr>
          <w:rFonts w:ascii="宋体" w:hAnsi="宋体" w:cs="宋体"/>
          <w:sz w:val="24"/>
          <w:szCs w:val="24"/>
        </w:rPr>
      </w:pPr>
    </w:p>
    <w:p w:rsidR="001E497A" w:rsidRDefault="004C7003" w:rsidP="007D3551">
      <w:pPr>
        <w:pStyle w:val="Default"/>
        <w:snapToGrid w:val="0"/>
        <w:spacing w:line="360" w:lineRule="auto"/>
        <w:ind w:firstLineChars="200" w:firstLine="480"/>
        <w:rPr>
          <w:rFonts w:ascii="宋体" w:hAnsi="宋体" w:cs="宋体"/>
        </w:rPr>
      </w:pPr>
      <w:r>
        <w:rPr>
          <w:rFonts w:ascii="宋体" w:eastAsia="宋体" w:hAnsi="宋体" w:cs="宋体" w:hint="eastAsia"/>
        </w:rPr>
        <w:t>为更好地满足广大投资者的理财需求，兴业基金管理有限公司（以下简称“本公司”）决定自2020年</w:t>
      </w:r>
      <w:r w:rsidR="002C7866">
        <w:rPr>
          <w:rFonts w:ascii="宋体" w:eastAsia="宋体" w:hAnsi="宋体" w:cs="宋体" w:hint="eastAsia"/>
        </w:rPr>
        <w:t>2月27日</w:t>
      </w:r>
      <w:r>
        <w:rPr>
          <w:rFonts w:ascii="宋体" w:eastAsia="宋体" w:hAnsi="宋体" w:cs="宋体" w:hint="eastAsia"/>
        </w:rPr>
        <w:t>起在青岛农村商业银行股份有限公司（以下简称：青岛农商行）开通旗下部分基金的定期定额投资和转换业务。</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定期定额投资业务（以下简称“定投”）</w:t>
      </w:r>
      <w:r w:rsidR="007D3551">
        <w:rPr>
          <w:rFonts w:ascii="宋体" w:hAnsi="宋体" w:cs="宋体" w:hint="eastAsia"/>
          <w:color w:val="000000"/>
          <w:kern w:val="0"/>
          <w:sz w:val="24"/>
          <w:szCs w:val="24"/>
        </w:rPr>
        <w:t>是</w:t>
      </w:r>
      <w:r>
        <w:rPr>
          <w:rFonts w:ascii="宋体" w:hAnsi="宋体" w:cs="宋体" w:hint="eastAsia"/>
          <w:color w:val="000000"/>
          <w:kern w:val="0"/>
          <w:sz w:val="24"/>
          <w:szCs w:val="24"/>
        </w:rPr>
        <w:t>指投资者通过有关销售机构提出申请，约定每期扣款日、扣款金额及扣款方式，由销售机构于每期约定扣款日在投资者指定资金账户内自动完成扣款及基金申购申请的一种投资方式。</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基金转换业务是指投资者可将其通过销售机构购买并持有本公司管理的某只开放式基金的全部或部分基金份额转换为本公司管理的其他开放式基金的基金份额。</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具体公告内容如下：</w:t>
      </w:r>
    </w:p>
    <w:p w:rsidR="00D4357C" w:rsidRDefault="00D4357C"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7D3551">
      <w:pPr>
        <w:widowControl/>
        <w:numPr>
          <w:ilvl w:val="0"/>
          <w:numId w:val="1"/>
        </w:numPr>
        <w:shd w:val="clear" w:color="auto" w:fill="FFFFFF"/>
        <w:adjustRightInd w:val="0"/>
        <w:snapToGrid w:val="0"/>
        <w:spacing w:line="360" w:lineRule="auto"/>
        <w:jc w:val="left"/>
        <w:rPr>
          <w:rFonts w:ascii="宋体" w:hAnsi="宋体" w:cs="宋体"/>
          <w:b/>
          <w:color w:val="000000"/>
          <w:kern w:val="0"/>
          <w:sz w:val="24"/>
          <w:szCs w:val="24"/>
        </w:rPr>
      </w:pPr>
      <w:r>
        <w:rPr>
          <w:rFonts w:ascii="宋体" w:hAnsi="宋体" w:cs="宋体" w:hint="eastAsia"/>
          <w:b/>
          <w:color w:val="000000"/>
          <w:kern w:val="0"/>
          <w:sz w:val="24"/>
          <w:szCs w:val="24"/>
        </w:rPr>
        <w:t>开通基金转换和定投业务的范围</w:t>
      </w:r>
    </w:p>
    <w:p w:rsidR="001E497A" w:rsidRDefault="004C7003" w:rsidP="007D3551">
      <w:pPr>
        <w:widowControl/>
        <w:numPr>
          <w:ilvl w:val="1"/>
          <w:numId w:val="2"/>
        </w:numPr>
        <w:shd w:val="clear" w:color="auto" w:fill="FFFFFF"/>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本次开通基金定投业务范围：</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693"/>
        <w:gridCol w:w="2835"/>
        <w:gridCol w:w="1418"/>
      </w:tblGrid>
      <w:tr w:rsidR="001E497A" w:rsidTr="001C7236">
        <w:trPr>
          <w:trHeight w:val="283"/>
        </w:trPr>
        <w:tc>
          <w:tcPr>
            <w:tcW w:w="4693" w:type="dxa"/>
            <w:vAlign w:val="center"/>
          </w:tcPr>
          <w:p w:rsidR="001E497A" w:rsidRDefault="004C7003" w:rsidP="00EA2B49">
            <w:pPr>
              <w:widowControl/>
              <w:adjustRightInd w:val="0"/>
              <w:snapToGrid w:val="0"/>
              <w:spacing w:line="360" w:lineRule="auto"/>
              <w:jc w:val="center"/>
              <w:textAlignment w:val="top"/>
              <w:rPr>
                <w:rFonts w:ascii="宋体" w:hAnsi="宋体" w:cs="宋体"/>
                <w:b/>
                <w:color w:val="000000"/>
                <w:sz w:val="22"/>
              </w:rPr>
            </w:pPr>
            <w:r>
              <w:rPr>
                <w:rFonts w:ascii="宋体" w:hAnsi="宋体" w:cs="宋体" w:hint="eastAsia"/>
                <w:b/>
                <w:color w:val="000000"/>
                <w:kern w:val="0"/>
                <w:sz w:val="22"/>
              </w:rPr>
              <w:t>基金名称</w:t>
            </w:r>
          </w:p>
        </w:tc>
        <w:tc>
          <w:tcPr>
            <w:tcW w:w="2835" w:type="dxa"/>
            <w:vAlign w:val="center"/>
          </w:tcPr>
          <w:p w:rsidR="001E497A" w:rsidRDefault="004C7003" w:rsidP="00EA2B49">
            <w:pPr>
              <w:widowControl/>
              <w:adjustRightInd w:val="0"/>
              <w:snapToGrid w:val="0"/>
              <w:spacing w:line="360" w:lineRule="auto"/>
              <w:jc w:val="center"/>
              <w:textAlignment w:val="top"/>
              <w:rPr>
                <w:rFonts w:ascii="宋体" w:hAnsi="宋体" w:cs="宋体"/>
                <w:b/>
                <w:color w:val="000000"/>
                <w:sz w:val="22"/>
              </w:rPr>
            </w:pPr>
            <w:r>
              <w:rPr>
                <w:rFonts w:ascii="宋体" w:hAnsi="宋体" w:cs="宋体" w:hint="eastAsia"/>
                <w:b/>
                <w:color w:val="000000"/>
                <w:kern w:val="0"/>
                <w:sz w:val="22"/>
              </w:rPr>
              <w:t>基金简称</w:t>
            </w:r>
          </w:p>
        </w:tc>
        <w:tc>
          <w:tcPr>
            <w:tcW w:w="1418" w:type="dxa"/>
            <w:vAlign w:val="center"/>
          </w:tcPr>
          <w:p w:rsidR="001E497A" w:rsidRDefault="004C7003" w:rsidP="00EA2B49">
            <w:pPr>
              <w:widowControl/>
              <w:adjustRightInd w:val="0"/>
              <w:snapToGrid w:val="0"/>
              <w:spacing w:line="360" w:lineRule="auto"/>
              <w:jc w:val="center"/>
              <w:textAlignment w:val="top"/>
              <w:rPr>
                <w:rFonts w:ascii="宋体" w:hAnsi="宋体" w:cs="宋体"/>
                <w:b/>
                <w:color w:val="000000"/>
                <w:sz w:val="22"/>
              </w:rPr>
            </w:pPr>
            <w:r>
              <w:rPr>
                <w:rFonts w:ascii="宋体" w:hAnsi="宋体" w:cs="宋体" w:hint="eastAsia"/>
                <w:b/>
                <w:color w:val="000000"/>
                <w:kern w:val="0"/>
                <w:sz w:val="22"/>
              </w:rPr>
              <w:t>基金代码</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兴业多策略灵活配置混合型发起式证券投资基金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兴业多策略混合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000963</w:t>
            </w:r>
          </w:p>
        </w:tc>
      </w:tr>
      <w:tr w:rsidR="001E497A" w:rsidTr="001C7236">
        <w:trPr>
          <w:trHeight w:val="283"/>
        </w:trPr>
        <w:tc>
          <w:tcPr>
            <w:tcW w:w="4693"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兴业收益增强债券型证券投资基金</w:t>
            </w:r>
          </w:p>
        </w:tc>
        <w:tc>
          <w:tcPr>
            <w:tcW w:w="2835"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兴业收益增强债券A/C</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A类：001257</w:t>
            </w:r>
          </w:p>
        </w:tc>
      </w:tr>
      <w:tr w:rsidR="001E497A" w:rsidTr="001C7236">
        <w:trPr>
          <w:trHeight w:val="283"/>
        </w:trPr>
        <w:tc>
          <w:tcPr>
            <w:tcW w:w="4693"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2835"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C类：001258</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兴业国企改革灵活配置混合型证券投资基金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兴业国企改革混合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001623</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兴业奕祥混合型证券投资基金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兴业奕祥混合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002338</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兴业聚利灵活配置混合型证券投资基金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兴业聚利灵活配置混合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001272</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兴业聚盈灵活配置混合型证券投资基金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兴业聚盈灵活配置混合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002494</w:t>
            </w:r>
          </w:p>
        </w:tc>
      </w:tr>
      <w:tr w:rsidR="001E497A" w:rsidTr="001C7236">
        <w:trPr>
          <w:trHeight w:val="283"/>
        </w:trPr>
        <w:tc>
          <w:tcPr>
            <w:tcW w:w="4693"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兴业短债债券型证券投资基金</w:t>
            </w:r>
          </w:p>
        </w:tc>
        <w:tc>
          <w:tcPr>
            <w:tcW w:w="2835"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兴业短债债券A/C</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A类：002301</w:t>
            </w:r>
          </w:p>
        </w:tc>
      </w:tr>
      <w:tr w:rsidR="001E497A" w:rsidTr="001C7236">
        <w:trPr>
          <w:trHeight w:val="283"/>
        </w:trPr>
        <w:tc>
          <w:tcPr>
            <w:tcW w:w="4693" w:type="dxa"/>
            <w:vMerge/>
            <w:vAlign w:val="center"/>
          </w:tcPr>
          <w:p w:rsidR="001E497A" w:rsidRDefault="001E497A" w:rsidP="007D3551">
            <w:pPr>
              <w:widowControl/>
              <w:adjustRightInd w:val="0"/>
              <w:snapToGrid w:val="0"/>
              <w:spacing w:line="360" w:lineRule="auto"/>
              <w:textAlignment w:val="center"/>
              <w:rPr>
                <w:rFonts w:ascii="宋体" w:hAnsi="宋体" w:cs="宋体"/>
                <w:color w:val="000000"/>
                <w:kern w:val="0"/>
                <w:sz w:val="22"/>
              </w:rPr>
            </w:pPr>
          </w:p>
        </w:tc>
        <w:tc>
          <w:tcPr>
            <w:tcW w:w="2835" w:type="dxa"/>
            <w:vMerge/>
            <w:vAlign w:val="center"/>
          </w:tcPr>
          <w:p w:rsidR="001E497A" w:rsidRDefault="001E497A" w:rsidP="007D3551">
            <w:pPr>
              <w:widowControl/>
              <w:adjustRightInd w:val="0"/>
              <w:snapToGrid w:val="0"/>
              <w:spacing w:line="360" w:lineRule="auto"/>
              <w:textAlignment w:val="center"/>
              <w:rPr>
                <w:rFonts w:ascii="宋体" w:hAnsi="宋体" w:cs="宋体"/>
                <w:color w:val="000000"/>
                <w:sz w:val="22"/>
              </w:rPr>
            </w:pP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C类：002769</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兴业聚宝灵活配置混合型证券投资基金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兴业聚宝灵活配置混合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002330</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兴业聚鑫灵活配置混合型证券投资基金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兴业聚鑫灵活配置混合A</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002498</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兴业成长动力灵活配置混合型证券投资基金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兴业成长动力混合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002597</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lastRenderedPageBreak/>
              <w:t>兴业聚源灵活配置混合型证券投资基金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兴业聚源灵活配置混合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002660</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兴业聚丰灵活配置混合型证券投资基金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兴业聚丰灵活配置混合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002668</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兴业裕华债券型证券投资基金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兴业裕华债券</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003672</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兴业裕丰债券型证券投资基金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兴业裕丰债券</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003640</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兴业福益债券型证券投资基金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兴业福益债券</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002524</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兴业量化精选灵活配置混合型发起式证券投资基金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兴业量化混合A</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005133</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兴业裕恒债券型证券投资基金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兴业裕恒债券</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003671</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兴业天禧债券型证券投资基金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兴业天禧债券</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002661</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兴业龙腾双益平衡混合型证券投资基金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兴业龙腾双益平衡混合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005706</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兴业中证国有企业改革指数增强型证券投资基金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兴业中证国有企业改革指数增强</w:t>
            </w:r>
            <w:r>
              <w:rPr>
                <w:rFonts w:ascii="宋体" w:hAnsi="宋体" w:cs="宋体" w:hint="eastAsia"/>
                <w:color w:val="000000"/>
                <w:sz w:val="22"/>
              </w:rPr>
              <w:t>A</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005339</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兴业机遇债券型证券投资基金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兴业机遇债券</w:t>
            </w:r>
            <w:r>
              <w:rPr>
                <w:rFonts w:ascii="宋体" w:hAnsi="宋体" w:cs="宋体" w:hint="eastAsia"/>
                <w:color w:val="000000"/>
                <w:sz w:val="22"/>
              </w:rPr>
              <w:t>A</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005717</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兴业安保优选混合型证券投资基金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兴业安保优选混合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006366</w:t>
            </w:r>
          </w:p>
        </w:tc>
      </w:tr>
    </w:tbl>
    <w:p w:rsidR="001E497A" w:rsidRDefault="001E497A" w:rsidP="00EA2B49">
      <w:pPr>
        <w:widowControl/>
        <w:shd w:val="clear" w:color="auto" w:fill="FFFFFF"/>
        <w:adjustRightInd w:val="0"/>
        <w:snapToGrid w:val="0"/>
        <w:spacing w:line="360" w:lineRule="auto"/>
        <w:jc w:val="left"/>
        <w:rPr>
          <w:rFonts w:ascii="宋体" w:hAnsi="宋体" w:cs="宋体"/>
          <w:color w:val="000000"/>
          <w:kern w:val="0"/>
          <w:sz w:val="24"/>
          <w:szCs w:val="24"/>
        </w:rPr>
      </w:pPr>
    </w:p>
    <w:p w:rsidR="001E497A" w:rsidRDefault="004C7003" w:rsidP="007D3551">
      <w:pPr>
        <w:widowControl/>
        <w:shd w:val="clear" w:color="auto" w:fill="FFFFFF"/>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(注：投资者可通过青岛农商行经营网点或网上交易平台申请办理上述基金的定投业务，每期最低定投金额与产品申购起点保持一致。如销售机构对最低定投金额有其他规定，则以销售机构的业务规定为准。)</w:t>
      </w:r>
    </w:p>
    <w:p w:rsidR="001E497A" w:rsidRDefault="001E497A" w:rsidP="007D3551">
      <w:pPr>
        <w:widowControl/>
        <w:shd w:val="clear" w:color="auto" w:fill="FFFFFF"/>
        <w:adjustRightInd w:val="0"/>
        <w:snapToGrid w:val="0"/>
        <w:spacing w:line="360" w:lineRule="auto"/>
        <w:jc w:val="left"/>
        <w:rPr>
          <w:rFonts w:ascii="宋体" w:hAnsi="宋体" w:cs="宋体"/>
          <w:color w:val="000000"/>
          <w:kern w:val="0"/>
          <w:sz w:val="24"/>
          <w:szCs w:val="24"/>
        </w:rPr>
      </w:pPr>
    </w:p>
    <w:p w:rsidR="001E497A" w:rsidRDefault="004C7003" w:rsidP="007D3551">
      <w:pPr>
        <w:widowControl/>
        <w:numPr>
          <w:ilvl w:val="1"/>
          <w:numId w:val="2"/>
        </w:numPr>
        <w:shd w:val="clear" w:color="auto" w:fill="FFFFFF"/>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开通基金转换业务范围，开通的基金转换业务适用于本公司旗下以下基金之间的转换（同一基金不同类别基金份额间不开放相互转换业务）:</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693"/>
        <w:gridCol w:w="2835"/>
        <w:gridCol w:w="1418"/>
      </w:tblGrid>
      <w:tr w:rsidR="001E497A" w:rsidTr="001C7236">
        <w:trPr>
          <w:trHeight w:val="283"/>
        </w:trPr>
        <w:tc>
          <w:tcPr>
            <w:tcW w:w="4693" w:type="dxa"/>
            <w:vAlign w:val="center"/>
          </w:tcPr>
          <w:p w:rsidR="001E497A" w:rsidRDefault="004C7003" w:rsidP="00EA2B49">
            <w:pPr>
              <w:widowControl/>
              <w:adjustRightInd w:val="0"/>
              <w:snapToGrid w:val="0"/>
              <w:spacing w:line="360" w:lineRule="auto"/>
              <w:jc w:val="center"/>
              <w:textAlignment w:val="top"/>
              <w:rPr>
                <w:rFonts w:ascii="宋体" w:hAnsi="宋体" w:cs="宋体"/>
                <w:b/>
                <w:color w:val="000000"/>
                <w:sz w:val="22"/>
              </w:rPr>
            </w:pPr>
            <w:r>
              <w:rPr>
                <w:rFonts w:ascii="宋体" w:hAnsi="宋体" w:cs="宋体" w:hint="eastAsia"/>
                <w:b/>
                <w:color w:val="000000"/>
                <w:kern w:val="0"/>
                <w:sz w:val="22"/>
              </w:rPr>
              <w:t>基金名称</w:t>
            </w:r>
          </w:p>
        </w:tc>
        <w:tc>
          <w:tcPr>
            <w:tcW w:w="2835" w:type="dxa"/>
            <w:vAlign w:val="center"/>
          </w:tcPr>
          <w:p w:rsidR="001E497A" w:rsidRDefault="004C7003" w:rsidP="00EA2B49">
            <w:pPr>
              <w:widowControl/>
              <w:adjustRightInd w:val="0"/>
              <w:snapToGrid w:val="0"/>
              <w:spacing w:line="360" w:lineRule="auto"/>
              <w:jc w:val="center"/>
              <w:textAlignment w:val="top"/>
              <w:rPr>
                <w:rFonts w:ascii="宋体" w:hAnsi="宋体" w:cs="宋体"/>
                <w:b/>
                <w:color w:val="000000"/>
                <w:sz w:val="22"/>
              </w:rPr>
            </w:pPr>
            <w:r>
              <w:rPr>
                <w:rFonts w:ascii="宋体" w:hAnsi="宋体" w:cs="宋体" w:hint="eastAsia"/>
                <w:b/>
                <w:color w:val="000000"/>
                <w:kern w:val="0"/>
                <w:sz w:val="22"/>
              </w:rPr>
              <w:t>基金简称</w:t>
            </w:r>
          </w:p>
        </w:tc>
        <w:tc>
          <w:tcPr>
            <w:tcW w:w="1418" w:type="dxa"/>
            <w:vAlign w:val="center"/>
          </w:tcPr>
          <w:p w:rsidR="001E497A" w:rsidRDefault="004C7003" w:rsidP="00EA2B49">
            <w:pPr>
              <w:widowControl/>
              <w:adjustRightInd w:val="0"/>
              <w:snapToGrid w:val="0"/>
              <w:spacing w:line="360" w:lineRule="auto"/>
              <w:jc w:val="center"/>
              <w:textAlignment w:val="top"/>
              <w:rPr>
                <w:rFonts w:ascii="宋体" w:hAnsi="宋体" w:cs="宋体"/>
                <w:b/>
                <w:color w:val="000000"/>
                <w:sz w:val="22"/>
              </w:rPr>
            </w:pPr>
            <w:r>
              <w:rPr>
                <w:rFonts w:ascii="宋体" w:hAnsi="宋体" w:cs="宋体" w:hint="eastAsia"/>
                <w:b/>
                <w:color w:val="000000"/>
                <w:kern w:val="0"/>
                <w:sz w:val="22"/>
              </w:rPr>
              <w:t>基金代码</w:t>
            </w:r>
          </w:p>
        </w:tc>
      </w:tr>
      <w:tr w:rsidR="001E497A" w:rsidTr="001C7236">
        <w:trPr>
          <w:trHeight w:val="283"/>
        </w:trPr>
        <w:tc>
          <w:tcPr>
            <w:tcW w:w="4693"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兴业定期开放债券型证券投资基金</w:t>
            </w:r>
          </w:p>
        </w:tc>
        <w:tc>
          <w:tcPr>
            <w:tcW w:w="2835"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兴业定开债券A/C</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A类：000546</w:t>
            </w:r>
          </w:p>
        </w:tc>
      </w:tr>
      <w:tr w:rsidR="001E497A" w:rsidTr="001C7236">
        <w:trPr>
          <w:trHeight w:val="283"/>
        </w:trPr>
        <w:tc>
          <w:tcPr>
            <w:tcW w:w="4693"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2835"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C类：002507</w:t>
            </w:r>
          </w:p>
        </w:tc>
      </w:tr>
      <w:tr w:rsidR="001E497A" w:rsidTr="001C7236">
        <w:trPr>
          <w:trHeight w:val="283"/>
        </w:trPr>
        <w:tc>
          <w:tcPr>
            <w:tcW w:w="4693"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兴业货币市场证券投资基金</w:t>
            </w:r>
          </w:p>
        </w:tc>
        <w:tc>
          <w:tcPr>
            <w:tcW w:w="2835"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兴业货币A/B</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A类：000721</w:t>
            </w:r>
          </w:p>
        </w:tc>
      </w:tr>
      <w:tr w:rsidR="001E497A" w:rsidTr="001C7236">
        <w:trPr>
          <w:trHeight w:val="283"/>
        </w:trPr>
        <w:tc>
          <w:tcPr>
            <w:tcW w:w="4693"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2835"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B类：000722</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兴业多策略灵活配置混合型发起式证券投资基金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兴业多策略混合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000963</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兴业年年利定期开放债券型证券投资基金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兴业年年利定开债券</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001019</w:t>
            </w:r>
          </w:p>
        </w:tc>
      </w:tr>
      <w:tr w:rsidR="001E497A" w:rsidTr="001C7236">
        <w:trPr>
          <w:trHeight w:val="283"/>
        </w:trPr>
        <w:tc>
          <w:tcPr>
            <w:tcW w:w="4693"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兴业收益增强债券型证券投资基金</w:t>
            </w:r>
          </w:p>
        </w:tc>
        <w:tc>
          <w:tcPr>
            <w:tcW w:w="2835"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兴业收益增强债券A/C</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A类：001257</w:t>
            </w:r>
          </w:p>
        </w:tc>
      </w:tr>
      <w:tr w:rsidR="001E497A" w:rsidTr="001C7236">
        <w:trPr>
          <w:trHeight w:val="283"/>
        </w:trPr>
        <w:tc>
          <w:tcPr>
            <w:tcW w:w="4693"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2835"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C类：001258</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兴业国企改革灵活配置混合型证券投资基金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兴业国企改革混合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001623</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兴业奕祥混合型证券投资基金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兴业奕祥混合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002338</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兴业聚利灵活配置混合型证券投资基金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兴业聚利灵活配置混合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001272</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兴业聚盈灵活配置混合型证券投资基金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兴业聚盈灵活配置混合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002494</w:t>
            </w:r>
          </w:p>
        </w:tc>
      </w:tr>
      <w:tr w:rsidR="001E497A" w:rsidTr="001C7236">
        <w:trPr>
          <w:trHeight w:val="283"/>
        </w:trPr>
        <w:tc>
          <w:tcPr>
            <w:tcW w:w="4693"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兴业短债债券型证券投资基金</w:t>
            </w:r>
          </w:p>
        </w:tc>
        <w:tc>
          <w:tcPr>
            <w:tcW w:w="2835"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兴业短债债券A/C</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A类：002301</w:t>
            </w:r>
          </w:p>
        </w:tc>
      </w:tr>
      <w:tr w:rsidR="001E497A" w:rsidTr="001C7236">
        <w:trPr>
          <w:trHeight w:val="283"/>
        </w:trPr>
        <w:tc>
          <w:tcPr>
            <w:tcW w:w="4693" w:type="dxa"/>
            <w:vMerge/>
            <w:vAlign w:val="center"/>
          </w:tcPr>
          <w:p w:rsidR="001E497A" w:rsidRDefault="001E497A" w:rsidP="007D3551">
            <w:pPr>
              <w:widowControl/>
              <w:adjustRightInd w:val="0"/>
              <w:snapToGrid w:val="0"/>
              <w:spacing w:line="360" w:lineRule="auto"/>
              <w:textAlignment w:val="center"/>
              <w:rPr>
                <w:rFonts w:ascii="宋体" w:hAnsi="宋体" w:cs="宋体"/>
                <w:color w:val="000000"/>
                <w:kern w:val="0"/>
                <w:sz w:val="22"/>
              </w:rPr>
            </w:pPr>
          </w:p>
        </w:tc>
        <w:tc>
          <w:tcPr>
            <w:tcW w:w="2835" w:type="dxa"/>
            <w:vMerge/>
            <w:vAlign w:val="center"/>
          </w:tcPr>
          <w:p w:rsidR="001E497A" w:rsidRDefault="001E497A" w:rsidP="007D3551">
            <w:pPr>
              <w:widowControl/>
              <w:adjustRightInd w:val="0"/>
              <w:snapToGrid w:val="0"/>
              <w:spacing w:line="360" w:lineRule="auto"/>
              <w:textAlignment w:val="center"/>
              <w:rPr>
                <w:rFonts w:ascii="宋体" w:hAnsi="宋体" w:cs="宋体"/>
                <w:color w:val="000000"/>
                <w:sz w:val="22"/>
              </w:rPr>
            </w:pP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C类：002769</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兴业聚宝灵活配置混合型证券投资基金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兴业聚宝灵活配置混合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002330</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兴业聚鑫灵活配置混合型证券投资基金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兴业聚鑫灵活配置混合A</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002498</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兴业成长动力灵活配置混合型证券投资基金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兴业成长动力混合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002597</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兴业聚源灵活配置混合型证券投资基金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兴业聚源灵活配置混合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002660</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兴业聚丰灵活配置混合型证券投资基金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兴业聚丰灵活配置混合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002668</w:t>
            </w:r>
          </w:p>
        </w:tc>
      </w:tr>
      <w:tr w:rsidR="001E497A" w:rsidTr="001C7236">
        <w:trPr>
          <w:trHeight w:val="283"/>
        </w:trPr>
        <w:tc>
          <w:tcPr>
            <w:tcW w:w="4693"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兴业稳天盈货币市场基金</w:t>
            </w:r>
          </w:p>
        </w:tc>
        <w:tc>
          <w:tcPr>
            <w:tcW w:w="2835"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兴业稳天盈货币A/B</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A类：</w:t>
            </w:r>
            <w:r>
              <w:rPr>
                <w:rStyle w:val="font01"/>
                <w:rFonts w:hint="default"/>
              </w:rPr>
              <w:t>002912</w:t>
            </w:r>
          </w:p>
        </w:tc>
      </w:tr>
      <w:tr w:rsidR="001E497A" w:rsidTr="001C7236">
        <w:trPr>
          <w:trHeight w:val="283"/>
        </w:trPr>
        <w:tc>
          <w:tcPr>
            <w:tcW w:w="4693"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2835"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B类：005202</w:t>
            </w:r>
          </w:p>
        </w:tc>
      </w:tr>
      <w:tr w:rsidR="001E497A" w:rsidTr="001C7236">
        <w:trPr>
          <w:trHeight w:val="283"/>
        </w:trPr>
        <w:tc>
          <w:tcPr>
            <w:tcW w:w="4693"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兴业添天盈货币市场基金</w:t>
            </w:r>
          </w:p>
        </w:tc>
        <w:tc>
          <w:tcPr>
            <w:tcW w:w="2835"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兴业添天盈货币A/B</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A类：001624</w:t>
            </w:r>
          </w:p>
        </w:tc>
      </w:tr>
      <w:tr w:rsidR="001E497A" w:rsidTr="001C7236">
        <w:trPr>
          <w:trHeight w:val="283"/>
        </w:trPr>
        <w:tc>
          <w:tcPr>
            <w:tcW w:w="4693"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2835"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B类：001625</w:t>
            </w:r>
          </w:p>
        </w:tc>
      </w:tr>
      <w:tr w:rsidR="001E497A" w:rsidTr="001C7236">
        <w:trPr>
          <w:trHeight w:val="283"/>
        </w:trPr>
        <w:tc>
          <w:tcPr>
            <w:tcW w:w="4693"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兴业安润货币市场基金</w:t>
            </w:r>
          </w:p>
        </w:tc>
        <w:tc>
          <w:tcPr>
            <w:tcW w:w="2835"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兴业安润货币A/B</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A类：004216</w:t>
            </w:r>
          </w:p>
        </w:tc>
      </w:tr>
      <w:tr w:rsidR="001E497A" w:rsidTr="001C7236">
        <w:trPr>
          <w:trHeight w:val="283"/>
        </w:trPr>
        <w:tc>
          <w:tcPr>
            <w:tcW w:w="4693"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2835"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B类：004217</w:t>
            </w:r>
          </w:p>
        </w:tc>
      </w:tr>
      <w:tr w:rsidR="001E497A" w:rsidTr="001C7236">
        <w:trPr>
          <w:trHeight w:val="283"/>
        </w:trPr>
        <w:tc>
          <w:tcPr>
            <w:tcW w:w="4693"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兴业鑫天盈货币市场基金</w:t>
            </w:r>
          </w:p>
        </w:tc>
        <w:tc>
          <w:tcPr>
            <w:tcW w:w="2835"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兴业鑫天盈货币A/B</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A类：001925</w:t>
            </w:r>
          </w:p>
        </w:tc>
      </w:tr>
      <w:tr w:rsidR="001E497A" w:rsidTr="001C7236">
        <w:trPr>
          <w:trHeight w:val="283"/>
        </w:trPr>
        <w:tc>
          <w:tcPr>
            <w:tcW w:w="4693"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2835"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B类：001926</w:t>
            </w:r>
          </w:p>
        </w:tc>
      </w:tr>
      <w:tr w:rsidR="001E497A" w:rsidTr="001C7236">
        <w:trPr>
          <w:trHeight w:val="283"/>
        </w:trPr>
        <w:tc>
          <w:tcPr>
            <w:tcW w:w="4693"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兴业启元一年定期开放债券型证券投资基金</w:t>
            </w:r>
          </w:p>
        </w:tc>
        <w:tc>
          <w:tcPr>
            <w:tcW w:w="2835" w:type="dxa"/>
            <w:vMerge w:val="restart"/>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兴业启元一年定开债券A</w:t>
            </w:r>
            <w:r>
              <w:rPr>
                <w:rFonts w:ascii="宋体" w:hAnsi="宋体" w:cs="宋体" w:hint="eastAsia"/>
                <w:color w:val="000000"/>
                <w:kern w:val="0"/>
                <w:sz w:val="22"/>
              </w:rPr>
              <w:t>/C</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A类：003309</w:t>
            </w:r>
          </w:p>
        </w:tc>
      </w:tr>
      <w:tr w:rsidR="001E497A" w:rsidTr="001C7236">
        <w:trPr>
          <w:trHeight w:val="283"/>
        </w:trPr>
        <w:tc>
          <w:tcPr>
            <w:tcW w:w="4693"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2835" w:type="dxa"/>
            <w:vMerge/>
            <w:vAlign w:val="center"/>
          </w:tcPr>
          <w:p w:rsidR="001E497A" w:rsidRDefault="001E497A" w:rsidP="007D3551">
            <w:pPr>
              <w:adjustRightInd w:val="0"/>
              <w:snapToGrid w:val="0"/>
              <w:spacing w:line="360" w:lineRule="auto"/>
              <w:rPr>
                <w:rFonts w:ascii="宋体" w:hAnsi="宋体" w:cs="宋体"/>
                <w:color w:val="000000"/>
                <w:sz w:val="22"/>
              </w:rPr>
            </w:pP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C类：003310</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兴业裕华债券型证券投资基金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兴业裕华债券</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003672</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兴业裕丰债券型证券投资基金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兴业裕丰债券</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003640</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兴业福益债券型证券投资基金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兴业福益债券</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002524</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兴业量化精选灵活配置混合型发起式证券投资基金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兴业量化混合A</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005133</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兴业裕恒债券型证券投资基金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兴业裕恒债券</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003671</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兴业天禧债券型证券投资基金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兴业天禧债券</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002661</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兴业龙腾双益平衡混合型证券投资基金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兴业龙腾双益平衡混合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sz w:val="22"/>
              </w:rPr>
              <w:t>005706</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兴业中证国有企业改革指数增强型证券投资基金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兴业中证国有企业改革指数增强</w:t>
            </w:r>
            <w:r>
              <w:rPr>
                <w:rFonts w:ascii="宋体" w:hAnsi="宋体" w:cs="宋体" w:hint="eastAsia"/>
                <w:color w:val="000000"/>
                <w:sz w:val="22"/>
              </w:rPr>
              <w:t>A</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sz w:val="22"/>
              </w:rPr>
            </w:pPr>
            <w:r>
              <w:rPr>
                <w:rFonts w:ascii="宋体" w:hAnsi="宋体" w:cs="宋体" w:hint="eastAsia"/>
                <w:color w:val="000000"/>
                <w:kern w:val="0"/>
                <w:sz w:val="22"/>
              </w:rPr>
              <w:t>005339</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兴业机遇债券型证券投资基金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兴业机遇债券</w:t>
            </w:r>
            <w:r>
              <w:rPr>
                <w:rFonts w:ascii="宋体" w:hAnsi="宋体" w:cs="宋体" w:hint="eastAsia"/>
                <w:color w:val="000000"/>
                <w:sz w:val="22"/>
              </w:rPr>
              <w:t>A</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005717</w:t>
            </w:r>
          </w:p>
        </w:tc>
      </w:tr>
      <w:tr w:rsidR="001E497A" w:rsidTr="001C7236">
        <w:trPr>
          <w:trHeight w:val="283"/>
        </w:trPr>
        <w:tc>
          <w:tcPr>
            <w:tcW w:w="4693"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兴业安保优选混合型证券投资基金</w:t>
            </w:r>
          </w:p>
        </w:tc>
        <w:tc>
          <w:tcPr>
            <w:tcW w:w="2835"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兴业安保优选混合</w:t>
            </w:r>
          </w:p>
        </w:tc>
        <w:tc>
          <w:tcPr>
            <w:tcW w:w="1418" w:type="dxa"/>
            <w:vAlign w:val="center"/>
          </w:tcPr>
          <w:p w:rsidR="001E497A" w:rsidRDefault="004C7003" w:rsidP="007D3551">
            <w:pPr>
              <w:widowControl/>
              <w:adjustRightInd w:val="0"/>
              <w:snapToGrid w:val="0"/>
              <w:spacing w:line="360" w:lineRule="auto"/>
              <w:textAlignment w:val="center"/>
              <w:rPr>
                <w:rFonts w:ascii="宋体" w:hAnsi="宋体" w:cs="宋体"/>
                <w:color w:val="000000"/>
                <w:kern w:val="0"/>
                <w:sz w:val="22"/>
              </w:rPr>
            </w:pPr>
            <w:r>
              <w:rPr>
                <w:rFonts w:ascii="宋体" w:hAnsi="宋体" w:cs="宋体" w:hint="eastAsia"/>
                <w:color w:val="000000"/>
                <w:kern w:val="0"/>
                <w:sz w:val="22"/>
              </w:rPr>
              <w:t>006366</w:t>
            </w:r>
          </w:p>
        </w:tc>
      </w:tr>
    </w:tbl>
    <w:p w:rsidR="001E497A" w:rsidRDefault="004C7003" w:rsidP="007D3551">
      <w:pPr>
        <w:widowControl/>
        <w:shd w:val="clear" w:color="auto" w:fill="FFFFFF"/>
        <w:adjustRightInd w:val="0"/>
        <w:snapToGrid w:val="0"/>
        <w:spacing w:line="360" w:lineRule="auto"/>
        <w:jc w:val="left"/>
        <w:rPr>
          <w:rFonts w:ascii="宋体" w:hAnsi="宋体" w:cs="宋体"/>
          <w:bCs/>
          <w:color w:val="000000"/>
          <w:kern w:val="0"/>
          <w:sz w:val="24"/>
          <w:szCs w:val="24"/>
        </w:rPr>
      </w:pPr>
      <w:r>
        <w:rPr>
          <w:rFonts w:ascii="宋体" w:hAnsi="宋体" w:cs="宋体" w:hint="eastAsia"/>
          <w:bCs/>
          <w:color w:val="000000"/>
          <w:kern w:val="0"/>
          <w:sz w:val="24"/>
          <w:szCs w:val="24"/>
        </w:rPr>
        <w:t>本公司今后发行的其他开放式基金开通转换业务，将另行公告。</w:t>
      </w:r>
    </w:p>
    <w:p w:rsidR="001E497A" w:rsidRDefault="001E497A" w:rsidP="007D3551">
      <w:pPr>
        <w:widowControl/>
        <w:shd w:val="clear" w:color="auto" w:fill="FFFFFF"/>
        <w:adjustRightInd w:val="0"/>
        <w:snapToGrid w:val="0"/>
        <w:spacing w:line="360" w:lineRule="auto"/>
        <w:jc w:val="left"/>
        <w:rPr>
          <w:rFonts w:ascii="宋体" w:hAnsi="宋体" w:cs="宋体"/>
          <w:color w:val="000000"/>
          <w:kern w:val="0"/>
          <w:sz w:val="24"/>
          <w:szCs w:val="24"/>
        </w:rPr>
      </w:pPr>
    </w:p>
    <w:p w:rsidR="001E497A" w:rsidRDefault="004C7003" w:rsidP="007D3551">
      <w:pPr>
        <w:widowControl/>
        <w:shd w:val="clear" w:color="auto" w:fill="FFFFFF"/>
        <w:adjustRightInd w:val="0"/>
        <w:snapToGrid w:val="0"/>
        <w:spacing w:line="360" w:lineRule="auto"/>
        <w:ind w:firstLineChars="200" w:firstLine="482"/>
        <w:jc w:val="left"/>
        <w:rPr>
          <w:rFonts w:ascii="宋体" w:hAnsi="宋体" w:cs="宋体"/>
          <w:b/>
          <w:color w:val="000000"/>
          <w:kern w:val="0"/>
          <w:sz w:val="24"/>
          <w:szCs w:val="24"/>
        </w:rPr>
      </w:pPr>
      <w:r>
        <w:rPr>
          <w:rFonts w:ascii="宋体" w:hAnsi="宋体" w:cs="宋体" w:hint="eastAsia"/>
          <w:b/>
          <w:color w:val="000000"/>
          <w:kern w:val="0"/>
          <w:sz w:val="24"/>
          <w:szCs w:val="24"/>
        </w:rPr>
        <w:t xml:space="preserve">二、转换和定投业务的办理时间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本公司在开放日办理基金转换业务，具体办理时间为上海证券交易所、深圳证券交易所正常交易日的交易时间（本公司公告暂停申购、赎回时除外）。由于本公司的系统及业务安排等原因，开放日的具体交易时间可能有所不同，以本公司的具体规定为准。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本公司在开放日办理基金的定投业务，具体办理时间为上海证券交易所、深圳证券交易所正常交易日的交易时间（本公司公告暂停申购、赎回时除外）。由于销售机构系统及业务安排等原因，开放日的具体交易时间可能有所不同，投资者应参照销售机构的具体规定。</w:t>
      </w:r>
    </w:p>
    <w:p w:rsidR="001C7236" w:rsidRDefault="001C7236"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7D3551">
      <w:pPr>
        <w:widowControl/>
        <w:shd w:val="clear" w:color="auto" w:fill="FFFFFF"/>
        <w:adjustRightInd w:val="0"/>
        <w:snapToGrid w:val="0"/>
        <w:spacing w:line="360" w:lineRule="auto"/>
        <w:ind w:firstLineChars="200" w:firstLine="482"/>
        <w:jc w:val="left"/>
        <w:rPr>
          <w:rFonts w:ascii="宋体" w:hAnsi="宋体" w:cs="宋体"/>
          <w:b/>
          <w:color w:val="000000"/>
          <w:kern w:val="0"/>
          <w:sz w:val="24"/>
          <w:szCs w:val="24"/>
        </w:rPr>
      </w:pPr>
      <w:r>
        <w:rPr>
          <w:rFonts w:ascii="宋体" w:hAnsi="宋体" w:cs="宋体" w:hint="eastAsia"/>
          <w:b/>
          <w:color w:val="000000"/>
          <w:kern w:val="0"/>
          <w:sz w:val="24"/>
          <w:szCs w:val="24"/>
        </w:rPr>
        <w:t xml:space="preserve">三、开通转换和定投业务机构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青岛农村商业银行股份有限公司</w:t>
      </w:r>
    </w:p>
    <w:p w:rsidR="001C7236" w:rsidRDefault="001C7236"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7D3551">
      <w:pPr>
        <w:widowControl/>
        <w:shd w:val="clear" w:color="auto" w:fill="FFFFFF"/>
        <w:adjustRightInd w:val="0"/>
        <w:snapToGrid w:val="0"/>
        <w:spacing w:line="360" w:lineRule="auto"/>
        <w:ind w:firstLineChars="200" w:firstLine="482"/>
        <w:jc w:val="left"/>
        <w:rPr>
          <w:rFonts w:ascii="宋体" w:hAnsi="宋体" w:cs="宋体"/>
          <w:b/>
          <w:color w:val="000000"/>
          <w:kern w:val="0"/>
          <w:sz w:val="24"/>
          <w:szCs w:val="24"/>
        </w:rPr>
      </w:pPr>
      <w:r>
        <w:rPr>
          <w:rFonts w:ascii="宋体" w:hAnsi="宋体" w:cs="宋体" w:hint="eastAsia"/>
          <w:b/>
          <w:color w:val="000000"/>
          <w:kern w:val="0"/>
          <w:sz w:val="24"/>
          <w:szCs w:val="24"/>
        </w:rPr>
        <w:t>四、转换业务的规则</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b/>
          <w:color w:val="000000"/>
          <w:kern w:val="0"/>
          <w:sz w:val="24"/>
          <w:szCs w:val="24"/>
        </w:rPr>
      </w:pPr>
      <w:r>
        <w:rPr>
          <w:rFonts w:ascii="宋体" w:hAnsi="宋体" w:cs="宋体" w:hint="eastAsia"/>
          <w:color w:val="000000"/>
          <w:kern w:val="0"/>
          <w:sz w:val="24"/>
          <w:szCs w:val="24"/>
        </w:rPr>
        <w:t>4.1 转换的两只基金必须都是由同一销售机构销售、同一基金管理人管理、并在同一注册登记机构处注册登记的基金。投资者办理基金转换业务时，转出方的基金必须处于可赎回状态，转入方的基金必须处于可申购状态。同一基金不同类别基金份额间不开放相互转换业务。</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4.2 投资者可在基金开放日申请办理基金转换业务，具体办理时间与基金申购、赎回业务办理时间相同。本公司公告暂停申购、赎回或转换时除外。</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4.3 交易限额参见相关基金招募说明书和相关公告中对申购和赎回限额的规定。</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4.4 投资者提出的基金转换申请，在当日交易时间结束前可以撤销，交易时间结束后不得撤销。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4.5 基金转换采取未知价法，即基金的转换价格以申请受理当日各转出、转入基金的基金份额净值为基础进行计算。</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4.6 基金转换以份额为单位进行申请，遵循“先进先出”的原则，即份额注册日期在前的先转换出，份额注册日期在后的后转换出。基金转换申请转出的基金份额必须是可用份额。</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4.7 注册登记机构以收到有效转换申请的当天作为转换申请日（T日）。正常情况下，转换基金成功的，注册登记机构将在T＋1日对投资者T日的基金转换业务申请进行有效性确认，办理转出基金的权益扣除以及转入基金的权益登记，投资者可自T+2日起向销售机构查询基金转换的成交情况，并有权转换或赎回转入部分的基金份额。</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4.8 申请基金转换须满足各基金的基金合同及招募说明书关于基金最低持有份额的规定， 如果某笔转换申请导致投资者在单个交易账户的基金份额余额少于转出基金最低保留余额限制，基金管理人有权将投资者在该个交易账户的该基金剩余份额一次性全部赎回。</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4.9 基金份额持有人可将其全部或部分基金份额转换成其他基金，单笔转换申请必须满足各基金的招募说明书等法律文件中关于基金最低交易份额的规定。</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4.10如单个开放日发生巨额赎回时，基金转出与基金赎回具有相同的优先级，基金管理人可根据基金资产组合情况，决定全额转出或部分转出，并且对于基金转出和基金赎回，将采取相同的比例确认（另行公告除外）。巨额赎回定义以各基金的基金合同等法律文件中相关规定为准。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4.11 基金转换后，转入基金份额的持有时间将重新计算，即转入的基金份额的持有期将自转入的基金份额被确认日起重新开始计算。 </w:t>
      </w:r>
    </w:p>
    <w:p w:rsidR="001C7236" w:rsidRDefault="001C7236"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7D3551">
      <w:pPr>
        <w:widowControl/>
        <w:shd w:val="clear" w:color="auto" w:fill="FFFFFF"/>
        <w:adjustRightInd w:val="0"/>
        <w:snapToGrid w:val="0"/>
        <w:spacing w:line="360" w:lineRule="auto"/>
        <w:ind w:firstLineChars="200" w:firstLine="482"/>
        <w:jc w:val="left"/>
        <w:rPr>
          <w:rFonts w:ascii="宋体" w:hAnsi="宋体" w:cs="宋体"/>
          <w:b/>
          <w:color w:val="000000"/>
          <w:kern w:val="0"/>
          <w:sz w:val="24"/>
          <w:szCs w:val="24"/>
        </w:rPr>
      </w:pPr>
      <w:r>
        <w:rPr>
          <w:rFonts w:ascii="宋体" w:hAnsi="宋体" w:cs="宋体" w:hint="eastAsia"/>
          <w:b/>
          <w:color w:val="000000"/>
          <w:kern w:val="0"/>
          <w:sz w:val="24"/>
          <w:szCs w:val="24"/>
        </w:rPr>
        <w:t xml:space="preserve">五、基金转换费用及计算公式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基金转换费用由转出基金的赎回费和基金转换的申购补差费两部分构成，具体收取情况视每次转换时不同基金的申购费率和赎回费率的差异情况而定。基金转换费用由基金持有人承担。</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5.1 转出基金赎回费用按转出基金的赎回费率收取，并按照《证券投资基金销售管理办法》的规定将部分赎回费计入转出基金的基金财产。转出基金的赎回金额、赎回费的处理按照相关基金招募说明书及本公司《开放式基金业务规则》中有关赎回业务相关规则执行。</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5.2 申购补差费率指转入基金与转出基金的申购费率之差。当转入基金的申购费率高于转出基金的申购费率时，应缴纳转入基金和转出基金的申购费差额，反之则不收取申购补差费；各基金的申购费率以基金的招募说明书等法律文件为准，如转入基金或转出基金适用固定费用的，则申购补差费中的申购费按固定费用进行计算。</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转入份额按照四舍五入的方法保留小数点后两位，由此产生的误差归入基金财产。</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转出基金赎回费用、转出转入基金申购补差费用保留小数点后两位，两位以后的部分四舍五入，由此产生的误差计入基金财产。</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基金转换计算公式如下：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转出基金赎回费＝转出份额×转出净值×转出基金赎回费率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转出金额=转出份额×转出基金当日基金份额净值－转出基金赎回费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申购补差费（外扣法）＝Max[转出金额×转入基金的申购费率/（1＋转入基金申购费率）－转出金额×转出基金申购费率/（1＋转出基金申购费率）,0]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转换费用＝转出基金赎回费＋申购补差费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转入份额＝（转出金额－申购补差费）/转入基金当日基金份额净值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注：申购补差费中的转入基金申购费率按基金合同和招募说明书中的费率标准执行，不适用申购费率优惠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例如：某基金份额持有人持有10,000 份</w:t>
      </w:r>
      <w:r>
        <w:rPr>
          <w:rFonts w:ascii="宋体" w:hAnsi="宋体" w:cs="宋体" w:hint="eastAsia"/>
          <w:color w:val="000000"/>
          <w:sz w:val="24"/>
          <w:szCs w:val="24"/>
          <w:shd w:val="clear" w:color="auto" w:fill="FFFFFF"/>
        </w:rPr>
        <w:t>兴业N基金</w:t>
      </w:r>
      <w:r>
        <w:rPr>
          <w:rFonts w:ascii="宋体" w:hAnsi="宋体" w:cs="宋体" w:hint="eastAsia"/>
          <w:color w:val="000000"/>
          <w:kern w:val="0"/>
          <w:sz w:val="24"/>
          <w:szCs w:val="24"/>
        </w:rPr>
        <w:t>份额1年后（未满2 年）决定转换为</w:t>
      </w:r>
      <w:r>
        <w:rPr>
          <w:rFonts w:ascii="宋体" w:hAnsi="宋体" w:cs="宋体" w:hint="eastAsia"/>
          <w:color w:val="000000"/>
          <w:sz w:val="24"/>
          <w:szCs w:val="24"/>
          <w:shd w:val="clear" w:color="auto" w:fill="FFFFFF"/>
        </w:rPr>
        <w:t>M基金</w:t>
      </w:r>
      <w:r>
        <w:rPr>
          <w:rFonts w:ascii="宋体" w:hAnsi="宋体" w:cs="宋体" w:hint="eastAsia"/>
          <w:color w:val="000000"/>
          <w:kern w:val="0"/>
          <w:sz w:val="24"/>
          <w:szCs w:val="24"/>
        </w:rPr>
        <w:t>份额。</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假设N基金申购金额小于100万元，申购费率为0.8%，持有期限满1年未满2年，赎回费为0.05％。</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M基金申购金额小于100万元，申购费率为0.8%，持有期限满1年未满2年，赎回费为0.05％。</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假设转换当日转出基金份额净值是1.050元，转入基金的基金份额净值是1.195元，对应赎回费率为0.05%，申购补差费率为0，则可得到的转换份额为：</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转出基金赎回费＝10,000×1.050×0.05％＝5.25元</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转出金额=10,000×1.050－5.25＝10,494.75元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申购补差费（外扣法）＝Max[10,494.75×0.8%/（1＋0.8%）－10,494.75×0.8%/（1＋0.8%）,0] =0元</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转换费用＝5.25＋0=5.25元</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转入份额＝（10,494.75－0）/1.195= 8782.22份</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即：某基金份额持有人持有10,000 份N基金份额1年后（未满2 年）决定转换为</w:t>
      </w:r>
      <w:r>
        <w:rPr>
          <w:rFonts w:ascii="宋体" w:hAnsi="宋体" w:cs="宋体" w:hint="eastAsia"/>
          <w:color w:val="000000"/>
          <w:sz w:val="24"/>
          <w:szCs w:val="24"/>
          <w:shd w:val="clear" w:color="auto" w:fill="FFFFFF"/>
        </w:rPr>
        <w:t>M基金</w:t>
      </w:r>
      <w:r>
        <w:rPr>
          <w:rFonts w:ascii="宋体" w:hAnsi="宋体" w:cs="宋体" w:hint="eastAsia"/>
          <w:color w:val="000000"/>
          <w:kern w:val="0"/>
          <w:sz w:val="24"/>
          <w:szCs w:val="24"/>
        </w:rPr>
        <w:t>份额，假设转换当日转出基金份额净值是1.050元，转入基金的基金份额净值是1.195元，则可得到的转换份额为8782.22份。</w:t>
      </w:r>
    </w:p>
    <w:p w:rsidR="001C7236" w:rsidRDefault="001C7236"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7D3551">
      <w:pPr>
        <w:widowControl/>
        <w:shd w:val="clear" w:color="auto" w:fill="FFFFFF"/>
        <w:adjustRightInd w:val="0"/>
        <w:snapToGrid w:val="0"/>
        <w:spacing w:line="360" w:lineRule="auto"/>
        <w:jc w:val="left"/>
        <w:rPr>
          <w:rFonts w:ascii="宋体" w:hAnsi="宋体" w:cs="宋体"/>
          <w:b/>
          <w:color w:val="000000"/>
          <w:kern w:val="0"/>
          <w:sz w:val="24"/>
          <w:szCs w:val="24"/>
        </w:rPr>
      </w:pPr>
      <w:r>
        <w:rPr>
          <w:rFonts w:ascii="宋体" w:hAnsi="宋体" w:cs="宋体" w:hint="eastAsia"/>
          <w:b/>
          <w:color w:val="000000"/>
          <w:kern w:val="0"/>
          <w:sz w:val="24"/>
          <w:szCs w:val="24"/>
        </w:rPr>
        <w:t xml:space="preserve">   六、定投业务办理方式</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6.1投资者开立基金账户后即可到销售机构的经营网点或网上交易平台申请办理本基金的基金定投业务，具体安排请遵循销售机构的相关规定。</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（1）投资者应和销售机构约定扣款日期；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（2）销售机构将按照投资者申请时约定的每期扣款日、申购金额扣款，如遇非基金开放日则以销售机构的相关规定为准，并将投资者申购的实际扣款日期视为基金申购申请日（T 日）；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（3）投资者需指定销售机构认可的资金账户作为每期固定扣款账户；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（4）基金定投申购费率是否参加销售机构的申购费率优惠活动，以销售机构的费率优惠活动安排为准；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6.2扣款与交易确认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本基金的基金注册登记机构按照基金申购日（T 日）的基金份额净值为基准计算申购份额，申购份额将在 T+1 日确认，投资者可自 T+2 日起查询申购成交情况；</w:t>
      </w:r>
    </w:p>
    <w:p w:rsidR="001E497A" w:rsidRDefault="004C7003" w:rsidP="007D3551">
      <w:pPr>
        <w:widowControl/>
        <w:shd w:val="clear" w:color="auto" w:fill="FFFFFF"/>
        <w:adjustRightInd w:val="0"/>
        <w:snapToGri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 xml:space="preserve">    6.3变更与解约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投资者欲变更每期申购金额、扣款日期、扣款方式或终止定投业务，请遵循销售机构的相关规定。 </w:t>
      </w:r>
    </w:p>
    <w:p w:rsidR="001C7236" w:rsidRDefault="001C7236"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7D3551">
      <w:pPr>
        <w:widowControl/>
        <w:shd w:val="clear" w:color="auto" w:fill="FFFFFF"/>
        <w:adjustRightInd w:val="0"/>
        <w:snapToGrid w:val="0"/>
        <w:spacing w:line="360" w:lineRule="auto"/>
        <w:jc w:val="left"/>
        <w:rPr>
          <w:rFonts w:ascii="宋体" w:hAnsi="宋体" w:cs="宋体"/>
          <w:b/>
          <w:color w:val="000000"/>
          <w:kern w:val="0"/>
          <w:sz w:val="24"/>
          <w:szCs w:val="24"/>
        </w:rPr>
      </w:pPr>
      <w:r>
        <w:rPr>
          <w:rFonts w:ascii="宋体" w:hAnsi="宋体" w:cs="宋体" w:hint="eastAsia"/>
          <w:b/>
          <w:color w:val="000000"/>
          <w:kern w:val="0"/>
          <w:sz w:val="24"/>
          <w:szCs w:val="24"/>
        </w:rPr>
        <w:t xml:space="preserve">  七、重要提示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7.1 本公告解释权归本公司所有。若增加新的业务办理机构，本公司将及时公告，敬请投资者留意。投资者欲了解本公司旗下基金的详细情况，请仔细阅读本公司旗下基金的基金合同、招募说明书及其更新等相关法律文件；</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7.2 本公司有权根据市场情况或法律法规变化调整上述转换和定投业务规则及有关限制，届时本公司将在调整生效前在中国证监会指定的信息披露媒体上予以公告；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7.3本公司新发售基金的转换和定投业务规定，以届时公告为准。</w:t>
      </w:r>
    </w:p>
    <w:p w:rsidR="001C7236" w:rsidRDefault="001C7236"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7D3551">
      <w:pPr>
        <w:widowControl/>
        <w:shd w:val="clear" w:color="auto" w:fill="FFFFFF"/>
        <w:adjustRightInd w:val="0"/>
        <w:snapToGrid w:val="0"/>
        <w:spacing w:line="360" w:lineRule="auto"/>
        <w:jc w:val="left"/>
        <w:rPr>
          <w:rFonts w:ascii="宋体" w:hAnsi="宋体" w:cs="宋体"/>
          <w:b/>
          <w:color w:val="000000"/>
          <w:kern w:val="0"/>
          <w:sz w:val="24"/>
          <w:szCs w:val="24"/>
        </w:rPr>
      </w:pPr>
      <w:r>
        <w:rPr>
          <w:rFonts w:ascii="宋体" w:hAnsi="宋体" w:cs="宋体" w:hint="eastAsia"/>
          <w:b/>
          <w:color w:val="000000"/>
          <w:kern w:val="0"/>
          <w:sz w:val="24"/>
          <w:szCs w:val="24"/>
        </w:rPr>
        <w:t xml:space="preserve">   八、投资者可通过以下途径咨询有关情况</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（1）青岛农村商业银行股份有限公司</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电话：400-11-96668</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网站：www.qrcb.com.cn </w:t>
      </w:r>
    </w:p>
    <w:p w:rsidR="001E497A" w:rsidRDefault="004C7003" w:rsidP="007D3551">
      <w:pPr>
        <w:widowControl/>
        <w:numPr>
          <w:ilvl w:val="0"/>
          <w:numId w:val="3"/>
        </w:numPr>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兴业基金管理有限公司</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电话：40000-95561</w:t>
      </w:r>
    </w:p>
    <w:p w:rsidR="001E497A" w:rsidRDefault="004C7003" w:rsidP="001C7236">
      <w:pPr>
        <w:widowControl/>
        <w:shd w:val="clear" w:color="auto" w:fill="FFFFFF"/>
        <w:adjustRightInd w:val="0"/>
        <w:snapToGrid w:val="0"/>
        <w:spacing w:line="360" w:lineRule="auto"/>
        <w:ind w:firstLine="465"/>
        <w:jc w:val="left"/>
        <w:rPr>
          <w:rFonts w:ascii="宋体" w:hAnsi="宋体" w:cs="宋体"/>
          <w:color w:val="000000"/>
          <w:kern w:val="0"/>
          <w:sz w:val="24"/>
          <w:szCs w:val="24"/>
        </w:rPr>
      </w:pPr>
      <w:r>
        <w:rPr>
          <w:rFonts w:ascii="宋体" w:hAnsi="宋体" w:cs="宋体" w:hint="eastAsia"/>
          <w:color w:val="000000"/>
          <w:kern w:val="0"/>
          <w:sz w:val="24"/>
          <w:szCs w:val="24"/>
        </w:rPr>
        <w:t>网站：</w:t>
      </w:r>
      <w:hyperlink r:id="rId7" w:history="1">
        <w:r w:rsidR="001C7236" w:rsidRPr="00A92EEF">
          <w:rPr>
            <w:rStyle w:val="a6"/>
            <w:rFonts w:ascii="宋体" w:hAnsi="宋体" w:cs="宋体" w:hint="eastAsia"/>
            <w:kern w:val="0"/>
            <w:sz w:val="24"/>
            <w:szCs w:val="24"/>
          </w:rPr>
          <w:t>http://www.cib-fund.com.cn</w:t>
        </w:r>
      </w:hyperlink>
    </w:p>
    <w:p w:rsidR="001C7236" w:rsidRDefault="001C7236" w:rsidP="001C7236">
      <w:pPr>
        <w:widowControl/>
        <w:shd w:val="clear" w:color="auto" w:fill="FFFFFF"/>
        <w:adjustRightInd w:val="0"/>
        <w:snapToGrid w:val="0"/>
        <w:spacing w:line="360" w:lineRule="auto"/>
        <w:ind w:firstLine="465"/>
        <w:jc w:val="left"/>
        <w:rPr>
          <w:rFonts w:ascii="宋体" w:hAnsi="宋体" w:cs="宋体"/>
          <w:color w:val="000000"/>
          <w:kern w:val="0"/>
          <w:sz w:val="24"/>
          <w:szCs w:val="24"/>
        </w:rPr>
      </w:pPr>
    </w:p>
    <w:p w:rsidR="001E497A" w:rsidRDefault="004C7003" w:rsidP="007D3551">
      <w:pPr>
        <w:widowControl/>
        <w:shd w:val="clear" w:color="auto" w:fill="FFFFFF"/>
        <w:adjustRightInd w:val="0"/>
        <w:snapToGrid w:val="0"/>
        <w:spacing w:line="360" w:lineRule="auto"/>
        <w:ind w:firstLineChars="250" w:firstLine="602"/>
        <w:jc w:val="left"/>
        <w:rPr>
          <w:rFonts w:ascii="宋体" w:hAnsi="宋体" w:cs="宋体"/>
          <w:b/>
          <w:color w:val="000000"/>
          <w:kern w:val="0"/>
          <w:sz w:val="24"/>
          <w:szCs w:val="24"/>
        </w:rPr>
      </w:pPr>
      <w:r>
        <w:rPr>
          <w:rFonts w:ascii="宋体" w:hAnsi="宋体" w:cs="宋体" w:hint="eastAsia"/>
          <w:b/>
          <w:color w:val="000000"/>
          <w:kern w:val="0"/>
          <w:sz w:val="24"/>
          <w:szCs w:val="24"/>
        </w:rPr>
        <w:t xml:space="preserve">九、风险提示 </w:t>
      </w: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风险提示：本公司承诺以诚实信用、勤勉尽责的原则管理和运用基金资产，但不保证基金一定盈利，也不保证最低收益。投资者购买货币市场基金并不等于将资金作为存款存放在银行或者存款类金融机构。基金的过往业绩及其净值高低并不预示其未来业绩表现。基金封闭期内采取封闭运作模式，不办理申购与赎回业务，开放申购与赎回具体时间以公告为准。定期定额投资是引导投资人进行长期投资、平均投资成本的一种简单易行的投资方式。但是定期定额投资并不能规避基金投资所固有的风险，不能保证投资人获得收益，也不是替代储蓄的等效理财方式。投资者投资基金前应认真阅读基金合同、招募说明书等法律文件，了解所投资基金的风险收益特征，并根据自身情况购买与本人风险承受能力相匹配的产品。敬请投资者注意投资风险。 </w:t>
      </w:r>
    </w:p>
    <w:p w:rsidR="001C7236" w:rsidRDefault="001C7236"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特此公告。</w:t>
      </w:r>
    </w:p>
    <w:p w:rsidR="001C7236" w:rsidRDefault="001C7236" w:rsidP="007D3551">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p>
    <w:p w:rsidR="001E497A" w:rsidRDefault="004C7003" w:rsidP="007D3551">
      <w:pPr>
        <w:widowControl/>
        <w:shd w:val="clear" w:color="auto" w:fill="FFFFFF"/>
        <w:adjustRightInd w:val="0"/>
        <w:snapToGrid w:val="0"/>
        <w:spacing w:line="360" w:lineRule="auto"/>
        <w:jc w:val="right"/>
        <w:rPr>
          <w:rFonts w:ascii="宋体" w:hAnsi="宋体" w:cs="宋体"/>
          <w:color w:val="000000"/>
          <w:kern w:val="0"/>
          <w:sz w:val="24"/>
          <w:szCs w:val="24"/>
        </w:rPr>
      </w:pPr>
      <w:r>
        <w:rPr>
          <w:rFonts w:ascii="宋体" w:hAnsi="宋体" w:cs="宋体" w:hint="eastAsia"/>
          <w:color w:val="000000"/>
          <w:kern w:val="0"/>
          <w:sz w:val="24"/>
          <w:szCs w:val="24"/>
        </w:rPr>
        <w:t>兴业基金管理有限公司</w:t>
      </w:r>
    </w:p>
    <w:p w:rsidR="001E497A" w:rsidRDefault="004C7003" w:rsidP="00D4357C">
      <w:pPr>
        <w:widowControl/>
        <w:shd w:val="clear" w:color="auto" w:fill="FFFFFF"/>
        <w:adjustRightInd w:val="0"/>
        <w:snapToGrid w:val="0"/>
        <w:spacing w:line="360" w:lineRule="auto"/>
        <w:ind w:right="220"/>
        <w:jc w:val="right"/>
        <w:rPr>
          <w:rFonts w:ascii="仿宋" w:eastAsia="仿宋" w:hAnsi="仿宋" w:cs="仿宋"/>
          <w:sz w:val="24"/>
          <w:szCs w:val="24"/>
        </w:rPr>
      </w:pPr>
      <w:r>
        <w:rPr>
          <w:rFonts w:ascii="宋体" w:hAnsi="宋体" w:cs="宋体" w:hint="eastAsia"/>
          <w:color w:val="000000"/>
          <w:kern w:val="0"/>
          <w:sz w:val="22"/>
        </w:rPr>
        <w:t>2020年</w:t>
      </w:r>
      <w:r w:rsidR="002C7866">
        <w:rPr>
          <w:rFonts w:ascii="宋体" w:hAnsi="宋体" w:cs="宋体" w:hint="eastAsia"/>
          <w:color w:val="000000"/>
          <w:kern w:val="0"/>
          <w:sz w:val="22"/>
        </w:rPr>
        <w:t>2月27日</w:t>
      </w:r>
    </w:p>
    <w:p w:rsidR="004C7003" w:rsidRDefault="004C7003" w:rsidP="007D3551">
      <w:pPr>
        <w:adjustRightInd w:val="0"/>
        <w:snapToGrid w:val="0"/>
        <w:spacing w:line="360" w:lineRule="auto"/>
        <w:rPr>
          <w:rFonts w:ascii="仿宋" w:eastAsia="仿宋" w:hAnsi="仿宋" w:cs="仿宋"/>
          <w:sz w:val="24"/>
          <w:szCs w:val="24"/>
        </w:rPr>
      </w:pPr>
    </w:p>
    <w:sectPr w:rsidR="004C7003" w:rsidSect="001E497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E8B" w:rsidRDefault="00507E8B">
      <w:pPr>
        <w:rPr>
          <w:sz w:val="18"/>
        </w:rPr>
      </w:pPr>
    </w:p>
  </w:endnote>
  <w:endnote w:type="continuationSeparator" w:id="1">
    <w:p w:rsidR="00507E8B" w:rsidRDefault="00507E8B">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E8B" w:rsidRDefault="00507E8B">
      <w:pPr>
        <w:rPr>
          <w:sz w:val="18"/>
        </w:rPr>
      </w:pPr>
    </w:p>
  </w:footnote>
  <w:footnote w:type="continuationSeparator" w:id="1">
    <w:p w:rsidR="00507E8B" w:rsidRDefault="00507E8B">
      <w:pPr>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4EE1C"/>
    <w:multiLevelType w:val="multilevel"/>
    <w:tmpl w:val="4A74EE1C"/>
    <w:lvl w:ilvl="0">
      <w:start w:val="1"/>
      <w:numFmt w:val="decimal"/>
      <w:suff w:val="space"/>
      <w:lvlText w:val="%1"/>
      <w:lvlJc w:val="left"/>
      <w:pPr>
        <w:ind w:left="120" w:firstLine="0"/>
      </w:pPr>
      <w:rPr>
        <w:rFonts w:hint="default"/>
      </w:rPr>
    </w:lvl>
    <w:lvl w:ilvl="1">
      <w:start w:val="1"/>
      <w:numFmt w:val="decimal"/>
      <w:suff w:val="space"/>
      <w:lvlText w:val="%1.%2"/>
      <w:lvlJc w:val="left"/>
      <w:pPr>
        <w:ind w:left="120" w:firstLine="0"/>
      </w:pPr>
      <w:rPr>
        <w:rFonts w:hint="default"/>
      </w:rPr>
    </w:lvl>
    <w:lvl w:ilvl="2">
      <w:start w:val="1"/>
      <w:numFmt w:val="decimal"/>
      <w:suff w:val="space"/>
      <w:lvlText w:val="%1.%2.%3"/>
      <w:lvlJc w:val="left"/>
      <w:pPr>
        <w:ind w:left="120" w:firstLine="0"/>
      </w:pPr>
      <w:rPr>
        <w:rFonts w:hint="default"/>
      </w:rPr>
    </w:lvl>
    <w:lvl w:ilvl="3">
      <w:start w:val="1"/>
      <w:numFmt w:val="decimal"/>
      <w:suff w:val="space"/>
      <w:lvlText w:val="%1.%2.%3.%4"/>
      <w:lvlJc w:val="left"/>
      <w:pPr>
        <w:ind w:left="120" w:firstLine="0"/>
      </w:pPr>
      <w:rPr>
        <w:rFonts w:hint="default"/>
      </w:rPr>
    </w:lvl>
    <w:lvl w:ilvl="4">
      <w:start w:val="1"/>
      <w:numFmt w:val="decimal"/>
      <w:suff w:val="space"/>
      <w:lvlText w:val="%1.%2.%3.%4.%5"/>
      <w:lvlJc w:val="left"/>
      <w:pPr>
        <w:ind w:left="120" w:firstLine="0"/>
      </w:pPr>
      <w:rPr>
        <w:rFonts w:hint="default"/>
      </w:rPr>
    </w:lvl>
    <w:lvl w:ilvl="5">
      <w:start w:val="1"/>
      <w:numFmt w:val="decimal"/>
      <w:suff w:val="space"/>
      <w:lvlText w:val="%1.%2.%3.%4.%5.%6"/>
      <w:lvlJc w:val="left"/>
      <w:pPr>
        <w:ind w:left="120" w:firstLine="0"/>
      </w:pPr>
      <w:rPr>
        <w:rFonts w:hint="default"/>
      </w:rPr>
    </w:lvl>
    <w:lvl w:ilvl="6">
      <w:start w:val="1"/>
      <w:numFmt w:val="decimal"/>
      <w:suff w:val="space"/>
      <w:lvlText w:val="%1.%2.%3.%4.%5.%6.%7"/>
      <w:lvlJc w:val="left"/>
      <w:pPr>
        <w:ind w:left="120" w:firstLine="0"/>
      </w:pPr>
      <w:rPr>
        <w:rFonts w:hint="default"/>
      </w:rPr>
    </w:lvl>
    <w:lvl w:ilvl="7">
      <w:start w:val="1"/>
      <w:numFmt w:val="decimal"/>
      <w:suff w:val="space"/>
      <w:lvlText w:val="%1.%2.%3.%4.%5.%6.%7.%8"/>
      <w:lvlJc w:val="left"/>
      <w:pPr>
        <w:ind w:left="120" w:firstLine="0"/>
      </w:pPr>
      <w:rPr>
        <w:rFonts w:hint="default"/>
      </w:rPr>
    </w:lvl>
    <w:lvl w:ilvl="8">
      <w:start w:val="1"/>
      <w:numFmt w:val="decimal"/>
      <w:suff w:val="space"/>
      <w:lvlText w:val="%1.%2.%3.%4.%5.%6.%7.%8.%9"/>
      <w:lvlJc w:val="left"/>
      <w:pPr>
        <w:ind w:left="120" w:firstLine="0"/>
      </w:pPr>
      <w:rPr>
        <w:rFonts w:hint="default"/>
      </w:rPr>
    </w:lvl>
  </w:abstractNum>
  <w:abstractNum w:abstractNumId="1">
    <w:nsid w:val="593E57EF"/>
    <w:multiLevelType w:val="multilevel"/>
    <w:tmpl w:val="593E57EF"/>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B459ADE"/>
    <w:multiLevelType w:val="singleLevel"/>
    <w:tmpl w:val="5B459ADE"/>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noPunctuationKerning/>
  <w:characterSpacingControl w:val="compressPunctuation"/>
  <w:hdrShapeDefaults>
    <o:shapedefaults v:ext="edit" spidmax="11265"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5132"/>
    <w:rsid w:val="00005270"/>
    <w:rsid w:val="00010925"/>
    <w:rsid w:val="000147C1"/>
    <w:rsid w:val="00077AD1"/>
    <w:rsid w:val="00085AC5"/>
    <w:rsid w:val="000B5A60"/>
    <w:rsid w:val="000C005E"/>
    <w:rsid w:val="000E4388"/>
    <w:rsid w:val="000E651B"/>
    <w:rsid w:val="00105998"/>
    <w:rsid w:val="0013493A"/>
    <w:rsid w:val="00141783"/>
    <w:rsid w:val="00172A27"/>
    <w:rsid w:val="00175933"/>
    <w:rsid w:val="001A1718"/>
    <w:rsid w:val="001A2668"/>
    <w:rsid w:val="001A26F2"/>
    <w:rsid w:val="001A3358"/>
    <w:rsid w:val="001B2FE0"/>
    <w:rsid w:val="001B5B97"/>
    <w:rsid w:val="001C7236"/>
    <w:rsid w:val="001E497A"/>
    <w:rsid w:val="002127A3"/>
    <w:rsid w:val="00225E7E"/>
    <w:rsid w:val="0024268E"/>
    <w:rsid w:val="002605CA"/>
    <w:rsid w:val="002759A0"/>
    <w:rsid w:val="00284D37"/>
    <w:rsid w:val="002901BA"/>
    <w:rsid w:val="002902A4"/>
    <w:rsid w:val="00296E89"/>
    <w:rsid w:val="002A10BC"/>
    <w:rsid w:val="002A6CBC"/>
    <w:rsid w:val="002C7866"/>
    <w:rsid w:val="002D0884"/>
    <w:rsid w:val="002E2272"/>
    <w:rsid w:val="002F0320"/>
    <w:rsid w:val="003231E7"/>
    <w:rsid w:val="00330DF8"/>
    <w:rsid w:val="003516EB"/>
    <w:rsid w:val="003B1741"/>
    <w:rsid w:val="003C253B"/>
    <w:rsid w:val="004111B7"/>
    <w:rsid w:val="00422B45"/>
    <w:rsid w:val="00447096"/>
    <w:rsid w:val="0046065A"/>
    <w:rsid w:val="004633B9"/>
    <w:rsid w:val="00484B7A"/>
    <w:rsid w:val="00493F3A"/>
    <w:rsid w:val="004A3E02"/>
    <w:rsid w:val="004C7003"/>
    <w:rsid w:val="004D2208"/>
    <w:rsid w:val="004D3B3B"/>
    <w:rsid w:val="004D5D6A"/>
    <w:rsid w:val="00507E8B"/>
    <w:rsid w:val="00512EB1"/>
    <w:rsid w:val="00522115"/>
    <w:rsid w:val="005466EA"/>
    <w:rsid w:val="0058429F"/>
    <w:rsid w:val="00585893"/>
    <w:rsid w:val="00675C6B"/>
    <w:rsid w:val="00687D1A"/>
    <w:rsid w:val="006926E8"/>
    <w:rsid w:val="006B5F9C"/>
    <w:rsid w:val="006C25E5"/>
    <w:rsid w:val="006F119B"/>
    <w:rsid w:val="00717535"/>
    <w:rsid w:val="00734582"/>
    <w:rsid w:val="00782F7A"/>
    <w:rsid w:val="00796A5C"/>
    <w:rsid w:val="007A049C"/>
    <w:rsid w:val="007D3394"/>
    <w:rsid w:val="007D3551"/>
    <w:rsid w:val="007F2215"/>
    <w:rsid w:val="00827879"/>
    <w:rsid w:val="00871222"/>
    <w:rsid w:val="008846B5"/>
    <w:rsid w:val="00891163"/>
    <w:rsid w:val="00897822"/>
    <w:rsid w:val="008A4B69"/>
    <w:rsid w:val="008C5DE9"/>
    <w:rsid w:val="009651E4"/>
    <w:rsid w:val="009A12F8"/>
    <w:rsid w:val="009A15DF"/>
    <w:rsid w:val="009B2AA1"/>
    <w:rsid w:val="009D2A7E"/>
    <w:rsid w:val="009D6CB8"/>
    <w:rsid w:val="009D6DB9"/>
    <w:rsid w:val="009E07CA"/>
    <w:rsid w:val="009F33F2"/>
    <w:rsid w:val="009F4591"/>
    <w:rsid w:val="00A26178"/>
    <w:rsid w:val="00A34AD7"/>
    <w:rsid w:val="00A44E05"/>
    <w:rsid w:val="00A60F88"/>
    <w:rsid w:val="00A831E9"/>
    <w:rsid w:val="00A96ABC"/>
    <w:rsid w:val="00A97D6D"/>
    <w:rsid w:val="00AD20A7"/>
    <w:rsid w:val="00AD6E0B"/>
    <w:rsid w:val="00B177EB"/>
    <w:rsid w:val="00B24298"/>
    <w:rsid w:val="00B3638E"/>
    <w:rsid w:val="00B40EC7"/>
    <w:rsid w:val="00B40FDD"/>
    <w:rsid w:val="00B65F7F"/>
    <w:rsid w:val="00B708D8"/>
    <w:rsid w:val="00B8012F"/>
    <w:rsid w:val="00B91DFC"/>
    <w:rsid w:val="00B95FFF"/>
    <w:rsid w:val="00BE6B19"/>
    <w:rsid w:val="00BE6E89"/>
    <w:rsid w:val="00BF1734"/>
    <w:rsid w:val="00C103B7"/>
    <w:rsid w:val="00C81906"/>
    <w:rsid w:val="00CA79F6"/>
    <w:rsid w:val="00D330C5"/>
    <w:rsid w:val="00D4357C"/>
    <w:rsid w:val="00D5563D"/>
    <w:rsid w:val="00DE3686"/>
    <w:rsid w:val="00E078BF"/>
    <w:rsid w:val="00E46076"/>
    <w:rsid w:val="00E5689E"/>
    <w:rsid w:val="00E5740B"/>
    <w:rsid w:val="00E70762"/>
    <w:rsid w:val="00E877BB"/>
    <w:rsid w:val="00EA2B49"/>
    <w:rsid w:val="00EA4342"/>
    <w:rsid w:val="00EB1FD9"/>
    <w:rsid w:val="00EB4FE3"/>
    <w:rsid w:val="00ED033F"/>
    <w:rsid w:val="00EE34D0"/>
    <w:rsid w:val="00F3226C"/>
    <w:rsid w:val="00F70EE0"/>
    <w:rsid w:val="00FA6B36"/>
    <w:rsid w:val="00FB10D4"/>
    <w:rsid w:val="00FB3084"/>
    <w:rsid w:val="00FF50CF"/>
    <w:rsid w:val="020B698B"/>
    <w:rsid w:val="05F06554"/>
    <w:rsid w:val="062130FE"/>
    <w:rsid w:val="069611E3"/>
    <w:rsid w:val="0C264625"/>
    <w:rsid w:val="0E7562A1"/>
    <w:rsid w:val="0FC50F5F"/>
    <w:rsid w:val="0FD20C0F"/>
    <w:rsid w:val="107A58A5"/>
    <w:rsid w:val="128167E8"/>
    <w:rsid w:val="12B231DC"/>
    <w:rsid w:val="13CF5E44"/>
    <w:rsid w:val="143435C4"/>
    <w:rsid w:val="17C82904"/>
    <w:rsid w:val="18CE2484"/>
    <w:rsid w:val="18E24CEB"/>
    <w:rsid w:val="1C117B4D"/>
    <w:rsid w:val="20026F11"/>
    <w:rsid w:val="21465AC8"/>
    <w:rsid w:val="239740D6"/>
    <w:rsid w:val="23E64BB0"/>
    <w:rsid w:val="23EC10BB"/>
    <w:rsid w:val="24A91B05"/>
    <w:rsid w:val="24B137B1"/>
    <w:rsid w:val="28634C33"/>
    <w:rsid w:val="2B586447"/>
    <w:rsid w:val="2BD527C1"/>
    <w:rsid w:val="2EF97FB8"/>
    <w:rsid w:val="30436181"/>
    <w:rsid w:val="311A50EF"/>
    <w:rsid w:val="35FF144B"/>
    <w:rsid w:val="36241BA8"/>
    <w:rsid w:val="38C92805"/>
    <w:rsid w:val="3A9F541E"/>
    <w:rsid w:val="3B582519"/>
    <w:rsid w:val="3E061D40"/>
    <w:rsid w:val="3EE04EBF"/>
    <w:rsid w:val="3F9D23D5"/>
    <w:rsid w:val="40D254F7"/>
    <w:rsid w:val="41C40536"/>
    <w:rsid w:val="41F52ED9"/>
    <w:rsid w:val="4257206A"/>
    <w:rsid w:val="44104F85"/>
    <w:rsid w:val="47A73764"/>
    <w:rsid w:val="485858BD"/>
    <w:rsid w:val="49881563"/>
    <w:rsid w:val="4B2D45F4"/>
    <w:rsid w:val="4C2C5E46"/>
    <w:rsid w:val="4D772FE6"/>
    <w:rsid w:val="4D8D0857"/>
    <w:rsid w:val="5025673B"/>
    <w:rsid w:val="519925A3"/>
    <w:rsid w:val="522249CE"/>
    <w:rsid w:val="5549757D"/>
    <w:rsid w:val="579C7BED"/>
    <w:rsid w:val="57A56D74"/>
    <w:rsid w:val="57EF36DE"/>
    <w:rsid w:val="58757279"/>
    <w:rsid w:val="593320B8"/>
    <w:rsid w:val="5A1102C3"/>
    <w:rsid w:val="5AC77427"/>
    <w:rsid w:val="5AED75CC"/>
    <w:rsid w:val="5D2038D6"/>
    <w:rsid w:val="5E627739"/>
    <w:rsid w:val="5F040DBE"/>
    <w:rsid w:val="5F661998"/>
    <w:rsid w:val="5FCF17C0"/>
    <w:rsid w:val="61DA31F3"/>
    <w:rsid w:val="61FF0533"/>
    <w:rsid w:val="623552EE"/>
    <w:rsid w:val="64B20B23"/>
    <w:rsid w:val="66234137"/>
    <w:rsid w:val="6AA637FA"/>
    <w:rsid w:val="6D1F485B"/>
    <w:rsid w:val="6F306C86"/>
    <w:rsid w:val="717A1165"/>
    <w:rsid w:val="71FB4229"/>
    <w:rsid w:val="7211189F"/>
    <w:rsid w:val="72382E46"/>
    <w:rsid w:val="7295439D"/>
    <w:rsid w:val="72985F0B"/>
    <w:rsid w:val="73D16662"/>
    <w:rsid w:val="73F14506"/>
    <w:rsid w:val="74EF4D91"/>
    <w:rsid w:val="76DA7A4A"/>
    <w:rsid w:val="7AB03DE4"/>
    <w:rsid w:val="7B642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sid w:val="001E497A"/>
    <w:rPr>
      <w:color w:val="666666"/>
      <w:u w:val="none"/>
    </w:rPr>
  </w:style>
  <w:style w:type="character" w:styleId="a4">
    <w:name w:val="annotation reference"/>
    <w:uiPriority w:val="99"/>
    <w:unhideWhenUsed/>
    <w:rsid w:val="001E497A"/>
    <w:rPr>
      <w:sz w:val="21"/>
      <w:szCs w:val="21"/>
    </w:rPr>
  </w:style>
  <w:style w:type="character" w:styleId="a5">
    <w:name w:val="Emphasis"/>
    <w:uiPriority w:val="20"/>
    <w:qFormat/>
    <w:rsid w:val="001E497A"/>
    <w:rPr>
      <w:i w:val="0"/>
    </w:rPr>
  </w:style>
  <w:style w:type="character" w:styleId="a6">
    <w:name w:val="Hyperlink"/>
    <w:uiPriority w:val="99"/>
    <w:unhideWhenUsed/>
    <w:rsid w:val="001E497A"/>
    <w:rPr>
      <w:color w:val="666666"/>
      <w:u w:val="none"/>
    </w:rPr>
  </w:style>
  <w:style w:type="character" w:customStyle="1" w:styleId="Char">
    <w:name w:val="批注框文本 Char"/>
    <w:link w:val="a7"/>
    <w:uiPriority w:val="99"/>
    <w:semiHidden/>
    <w:rsid w:val="001E497A"/>
    <w:rPr>
      <w:kern w:val="2"/>
      <w:sz w:val="18"/>
      <w:szCs w:val="18"/>
    </w:rPr>
  </w:style>
  <w:style w:type="character" w:customStyle="1" w:styleId="Char0">
    <w:name w:val="页脚 Char"/>
    <w:link w:val="a8"/>
    <w:uiPriority w:val="99"/>
    <w:semiHidden/>
    <w:rsid w:val="001E497A"/>
    <w:rPr>
      <w:sz w:val="18"/>
      <w:szCs w:val="18"/>
    </w:rPr>
  </w:style>
  <w:style w:type="character" w:customStyle="1" w:styleId="href">
    <w:name w:val="href"/>
    <w:rsid w:val="001E497A"/>
    <w:rPr>
      <w:color w:val="0000FF"/>
      <w:u w:val="single"/>
    </w:rPr>
  </w:style>
  <w:style w:type="character" w:customStyle="1" w:styleId="Char1">
    <w:name w:val="批注文字 Char"/>
    <w:link w:val="a9"/>
    <w:uiPriority w:val="99"/>
    <w:semiHidden/>
    <w:rsid w:val="001E497A"/>
    <w:rPr>
      <w:kern w:val="2"/>
      <w:sz w:val="21"/>
      <w:szCs w:val="22"/>
    </w:rPr>
  </w:style>
  <w:style w:type="character" w:customStyle="1" w:styleId="Char2">
    <w:name w:val="页眉 Char"/>
    <w:link w:val="aa"/>
    <w:uiPriority w:val="99"/>
    <w:semiHidden/>
    <w:rsid w:val="001E497A"/>
    <w:rPr>
      <w:sz w:val="18"/>
      <w:szCs w:val="18"/>
    </w:rPr>
  </w:style>
  <w:style w:type="character" w:customStyle="1" w:styleId="font11">
    <w:name w:val="font11"/>
    <w:rsid w:val="001E497A"/>
    <w:rPr>
      <w:rFonts w:ascii="宋体" w:eastAsia="宋体" w:hAnsi="宋体" w:cs="宋体" w:hint="eastAsia"/>
      <w:i w:val="0"/>
      <w:color w:val="000000"/>
      <w:sz w:val="21"/>
      <w:szCs w:val="21"/>
      <w:u w:val="none"/>
    </w:rPr>
  </w:style>
  <w:style w:type="character" w:customStyle="1" w:styleId="Char3">
    <w:name w:val="批注主题 Char"/>
    <w:link w:val="ab"/>
    <w:uiPriority w:val="99"/>
    <w:semiHidden/>
    <w:rsid w:val="001E497A"/>
    <w:rPr>
      <w:b/>
      <w:bCs/>
      <w:kern w:val="2"/>
      <w:sz w:val="21"/>
      <w:szCs w:val="22"/>
    </w:rPr>
  </w:style>
  <w:style w:type="character" w:customStyle="1" w:styleId="first-child">
    <w:name w:val="first-child"/>
    <w:rsid w:val="001E497A"/>
    <w:rPr>
      <w:vanish/>
    </w:rPr>
  </w:style>
  <w:style w:type="character" w:customStyle="1" w:styleId="font01">
    <w:name w:val="font01"/>
    <w:qFormat/>
    <w:rsid w:val="001E497A"/>
    <w:rPr>
      <w:rFonts w:ascii="宋体" w:eastAsia="宋体" w:hAnsi="宋体" w:cs="宋体" w:hint="eastAsia"/>
      <w:color w:val="000000"/>
      <w:sz w:val="22"/>
      <w:szCs w:val="22"/>
      <w:u w:val="none"/>
    </w:rPr>
  </w:style>
  <w:style w:type="paragraph" w:styleId="ab">
    <w:name w:val="annotation subject"/>
    <w:basedOn w:val="a9"/>
    <w:next w:val="a9"/>
    <w:link w:val="Char3"/>
    <w:uiPriority w:val="99"/>
    <w:unhideWhenUsed/>
    <w:rsid w:val="001E497A"/>
    <w:rPr>
      <w:b/>
      <w:bCs/>
    </w:rPr>
  </w:style>
  <w:style w:type="paragraph" w:styleId="aa">
    <w:name w:val="header"/>
    <w:basedOn w:val="a"/>
    <w:link w:val="Char2"/>
    <w:uiPriority w:val="99"/>
    <w:unhideWhenUsed/>
    <w:rsid w:val="001E497A"/>
    <w:pPr>
      <w:pBdr>
        <w:bottom w:val="single" w:sz="6" w:space="1" w:color="auto"/>
      </w:pBdr>
      <w:tabs>
        <w:tab w:val="center" w:pos="4153"/>
        <w:tab w:val="right" w:pos="8306"/>
      </w:tabs>
      <w:snapToGrid w:val="0"/>
      <w:jc w:val="center"/>
    </w:pPr>
    <w:rPr>
      <w:kern w:val="0"/>
      <w:sz w:val="18"/>
      <w:szCs w:val="18"/>
    </w:rPr>
  </w:style>
  <w:style w:type="paragraph" w:styleId="a9">
    <w:name w:val="annotation text"/>
    <w:basedOn w:val="a"/>
    <w:link w:val="Char1"/>
    <w:uiPriority w:val="99"/>
    <w:unhideWhenUsed/>
    <w:rsid w:val="001E497A"/>
    <w:pPr>
      <w:jc w:val="left"/>
    </w:pPr>
  </w:style>
  <w:style w:type="paragraph" w:styleId="a8">
    <w:name w:val="footer"/>
    <w:basedOn w:val="a"/>
    <w:link w:val="Char0"/>
    <w:uiPriority w:val="99"/>
    <w:unhideWhenUsed/>
    <w:rsid w:val="001E497A"/>
    <w:pPr>
      <w:tabs>
        <w:tab w:val="center" w:pos="4153"/>
        <w:tab w:val="right" w:pos="8306"/>
      </w:tabs>
      <w:snapToGrid w:val="0"/>
      <w:jc w:val="left"/>
    </w:pPr>
    <w:rPr>
      <w:kern w:val="0"/>
      <w:sz w:val="18"/>
      <w:szCs w:val="18"/>
    </w:rPr>
  </w:style>
  <w:style w:type="paragraph" w:styleId="a7">
    <w:name w:val="Balloon Text"/>
    <w:basedOn w:val="a"/>
    <w:link w:val="Char"/>
    <w:uiPriority w:val="99"/>
    <w:unhideWhenUsed/>
    <w:rsid w:val="001E497A"/>
    <w:rPr>
      <w:sz w:val="18"/>
      <w:szCs w:val="18"/>
    </w:rPr>
  </w:style>
  <w:style w:type="paragraph" w:customStyle="1" w:styleId="Default">
    <w:name w:val="Default"/>
    <w:rsid w:val="001E497A"/>
    <w:pPr>
      <w:widowControl w:val="0"/>
      <w:autoSpaceDE w:val="0"/>
      <w:autoSpaceDN w:val="0"/>
      <w:adjustRightInd w:val="0"/>
    </w:pPr>
    <w:rPr>
      <w:rFonts w:ascii="微软雅黑" w:eastAsia="微软雅黑" w:cs="微软雅黑"/>
      <w:color w:val="000000"/>
      <w:sz w:val="24"/>
      <w:szCs w:val="24"/>
    </w:rPr>
  </w:style>
  <w:style w:type="table" w:styleId="ac">
    <w:name w:val="Table Grid"/>
    <w:basedOn w:val="a1"/>
    <w:uiPriority w:val="59"/>
    <w:rsid w:val="001E49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b-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5262</Characters>
  <Application>Microsoft Office Word</Application>
  <DocSecurity>4</DocSecurity>
  <PresentationFormat/>
  <Lines>43</Lines>
  <Paragraphs>12</Paragraphs>
  <Slides>0</Slides>
  <Notes>0</Notes>
  <HiddenSlides>0</HiddenSlides>
  <MMClips>0</MMClips>
  <ScaleCrop>false</ScaleCrop>
  <Company>Microsoft</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许野</dc:creator>
  <cp:lastModifiedBy>JonMMx 2000</cp:lastModifiedBy>
  <cp:revision>2</cp:revision>
  <cp:lastPrinted>2019-02-21T03:06:00Z</cp:lastPrinted>
  <dcterms:created xsi:type="dcterms:W3CDTF">2020-02-26T16:16:00Z</dcterms:created>
  <dcterms:modified xsi:type="dcterms:W3CDTF">2020-02-26T16:16:00Z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