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0F" w:rsidRPr="00591E1A" w:rsidRDefault="0081420F" w:rsidP="00230868">
      <w:pPr>
        <w:jc w:val="center"/>
        <w:rPr>
          <w:rFonts w:asciiTheme="minorEastAsia" w:hAnsiTheme="minorEastAsia" w:cs="Times New Roman"/>
          <w:b/>
          <w:sz w:val="32"/>
          <w:szCs w:val="24"/>
        </w:rPr>
      </w:pPr>
      <w:r w:rsidRPr="00591E1A">
        <w:rPr>
          <w:rFonts w:asciiTheme="minorEastAsia" w:hAnsiTheme="minorEastAsia" w:cs="Times New Roman"/>
          <w:b/>
          <w:sz w:val="32"/>
          <w:szCs w:val="24"/>
        </w:rPr>
        <w:t>关于旗下部分开放式基金参与</w:t>
      </w:r>
      <w:r w:rsidR="00256578" w:rsidRPr="00591E1A">
        <w:rPr>
          <w:rFonts w:asciiTheme="minorEastAsia" w:hAnsiTheme="minorEastAsia" w:hint="eastAsia"/>
          <w:b/>
          <w:color w:val="000000"/>
          <w:kern w:val="0"/>
          <w:sz w:val="32"/>
          <w:szCs w:val="24"/>
        </w:rPr>
        <w:t>中国民生银行股份公司</w:t>
      </w:r>
      <w:r w:rsidR="00230868" w:rsidRPr="00591E1A">
        <w:rPr>
          <w:rFonts w:asciiTheme="minorEastAsia" w:hAnsiTheme="minorEastAsia" w:cs="Times New Roman"/>
          <w:b/>
          <w:sz w:val="32"/>
          <w:szCs w:val="24"/>
        </w:rPr>
        <w:t>基金申购手续费率优惠</w:t>
      </w:r>
      <w:r w:rsidRPr="00591E1A">
        <w:rPr>
          <w:rFonts w:asciiTheme="minorEastAsia" w:hAnsiTheme="minorEastAsia" w:cs="Times New Roman"/>
          <w:b/>
          <w:sz w:val="32"/>
          <w:szCs w:val="24"/>
        </w:rPr>
        <w:t>的公告</w:t>
      </w:r>
    </w:p>
    <w:p w:rsidR="0081420F" w:rsidRPr="00591E1A" w:rsidRDefault="0081420F" w:rsidP="0081420F">
      <w:pPr>
        <w:rPr>
          <w:rFonts w:asciiTheme="minorEastAsia" w:hAnsiTheme="minorEastAsia" w:cs="Times New Roman"/>
          <w:sz w:val="24"/>
          <w:szCs w:val="24"/>
        </w:rPr>
      </w:pP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为</w:t>
      </w:r>
      <w:r w:rsidR="00256578" w:rsidRPr="00591E1A">
        <w:rPr>
          <w:rFonts w:asciiTheme="minorEastAsia" w:hAnsiTheme="minorEastAsia" w:cs="Times New Roman" w:hint="eastAsia"/>
          <w:sz w:val="24"/>
          <w:szCs w:val="24"/>
        </w:rPr>
        <w:t>更好的</w:t>
      </w:r>
      <w:r w:rsidRPr="00591E1A">
        <w:rPr>
          <w:rFonts w:asciiTheme="minorEastAsia" w:hAnsiTheme="minorEastAsia" w:cs="Times New Roman"/>
          <w:sz w:val="24"/>
          <w:szCs w:val="24"/>
        </w:rPr>
        <w:t>满足广大投资者的理财需求，经民生加银基金管理有限公司（以下</w:t>
      </w:r>
      <w:r w:rsidR="00256578" w:rsidRPr="00591E1A">
        <w:rPr>
          <w:rFonts w:asciiTheme="minorEastAsia" w:hAnsiTheme="minorEastAsia" w:cs="Times New Roman" w:hint="eastAsia"/>
          <w:sz w:val="24"/>
          <w:szCs w:val="24"/>
        </w:rPr>
        <w:t>简</w:t>
      </w:r>
      <w:r w:rsidRPr="00591E1A">
        <w:rPr>
          <w:rFonts w:asciiTheme="minorEastAsia" w:hAnsiTheme="minorEastAsia" w:cs="Times New Roman"/>
          <w:sz w:val="24"/>
          <w:szCs w:val="24"/>
        </w:rPr>
        <w:t>称</w:t>
      </w:r>
      <w:r w:rsidR="00C211D1" w:rsidRPr="00591E1A">
        <w:rPr>
          <w:rFonts w:asciiTheme="minorEastAsia" w:hAnsiTheme="minorEastAsia" w:cs="Times New Roman" w:hint="eastAsia"/>
          <w:sz w:val="24"/>
          <w:szCs w:val="24"/>
        </w:rPr>
        <w:t>“</w:t>
      </w:r>
      <w:r w:rsidRPr="00591E1A">
        <w:rPr>
          <w:rFonts w:asciiTheme="minorEastAsia" w:hAnsiTheme="minorEastAsia" w:cs="Times New Roman"/>
          <w:sz w:val="24"/>
          <w:szCs w:val="24"/>
        </w:rPr>
        <w:t>本公司</w:t>
      </w:r>
      <w:r w:rsidR="00C211D1" w:rsidRPr="00591E1A">
        <w:rPr>
          <w:rFonts w:asciiTheme="minorEastAsia" w:hAnsiTheme="minorEastAsia" w:cs="Times New Roman" w:hint="eastAsia"/>
          <w:sz w:val="24"/>
          <w:szCs w:val="24"/>
        </w:rPr>
        <w:t>”</w:t>
      </w:r>
      <w:r w:rsidRPr="00591E1A">
        <w:rPr>
          <w:rFonts w:asciiTheme="minorEastAsia" w:hAnsiTheme="minorEastAsia" w:cs="Times New Roman"/>
          <w:sz w:val="24"/>
          <w:szCs w:val="24"/>
        </w:rPr>
        <w:t>）与</w:t>
      </w:r>
      <w:r w:rsidR="00256578" w:rsidRPr="00591E1A">
        <w:rPr>
          <w:rFonts w:asciiTheme="minorEastAsia" w:hAnsiTheme="minorEastAsia" w:cs="Times New Roman" w:hint="eastAsia"/>
          <w:sz w:val="24"/>
          <w:szCs w:val="24"/>
        </w:rPr>
        <w:t>中国民生银行股份公司（以下简称“民生银行”）</w:t>
      </w:r>
      <w:r w:rsidRPr="00591E1A">
        <w:rPr>
          <w:rFonts w:asciiTheme="minorEastAsia" w:hAnsiTheme="minorEastAsia" w:cs="Times New Roman"/>
          <w:sz w:val="24"/>
          <w:szCs w:val="24"/>
        </w:rPr>
        <w:t>协商一致，决定本公司旗下</w:t>
      </w:r>
      <w:r w:rsidR="005F386D" w:rsidRPr="00591E1A">
        <w:rPr>
          <w:rFonts w:asciiTheme="minorEastAsia" w:hAnsiTheme="minorEastAsia" w:cs="Times New Roman"/>
          <w:sz w:val="24"/>
          <w:szCs w:val="24"/>
        </w:rPr>
        <w:t>在</w:t>
      </w:r>
      <w:r w:rsidR="00256578" w:rsidRPr="00591E1A">
        <w:rPr>
          <w:rFonts w:asciiTheme="minorEastAsia" w:hAnsiTheme="minorEastAsia" w:cs="Times New Roman" w:hint="eastAsia"/>
          <w:sz w:val="24"/>
          <w:szCs w:val="24"/>
        </w:rPr>
        <w:t>民生银行</w:t>
      </w:r>
      <w:r w:rsidR="005F386D" w:rsidRPr="00591E1A">
        <w:rPr>
          <w:rFonts w:asciiTheme="minorEastAsia" w:hAnsiTheme="minorEastAsia" w:cs="Times New Roman"/>
          <w:sz w:val="24"/>
          <w:szCs w:val="24"/>
        </w:rPr>
        <w:t>销售的</w:t>
      </w:r>
      <w:r w:rsidRPr="00591E1A">
        <w:rPr>
          <w:rFonts w:asciiTheme="minorEastAsia" w:hAnsiTheme="minorEastAsia" w:cs="Times New Roman"/>
          <w:sz w:val="24"/>
          <w:szCs w:val="24"/>
        </w:rPr>
        <w:t>基金</w:t>
      </w:r>
      <w:r w:rsidR="005F386D" w:rsidRPr="00591E1A">
        <w:rPr>
          <w:rFonts w:asciiTheme="minorEastAsia" w:hAnsiTheme="minorEastAsia" w:cs="Times New Roman"/>
          <w:sz w:val="24"/>
          <w:szCs w:val="24"/>
        </w:rPr>
        <w:t>（限前端收费模式）</w:t>
      </w:r>
      <w:r w:rsidRPr="00591E1A">
        <w:rPr>
          <w:rFonts w:asciiTheme="minorEastAsia" w:hAnsiTheme="minorEastAsia" w:cs="Times New Roman"/>
          <w:sz w:val="24"/>
          <w:szCs w:val="24"/>
        </w:rPr>
        <w:t>参</w:t>
      </w:r>
      <w:r w:rsidR="00141E94" w:rsidRPr="00591E1A">
        <w:rPr>
          <w:rFonts w:asciiTheme="minorEastAsia" w:hAnsiTheme="minorEastAsia" w:cs="Times New Roman" w:hint="eastAsia"/>
          <w:sz w:val="24"/>
          <w:szCs w:val="24"/>
        </w:rPr>
        <w:t>与</w:t>
      </w:r>
      <w:r w:rsidR="00256578" w:rsidRPr="00591E1A">
        <w:rPr>
          <w:rFonts w:asciiTheme="minorEastAsia" w:hAnsiTheme="minorEastAsia" w:cs="Times New Roman" w:hint="eastAsia"/>
          <w:sz w:val="24"/>
          <w:szCs w:val="24"/>
        </w:rPr>
        <w:t>民生银行</w:t>
      </w:r>
      <w:r w:rsidR="00141E94" w:rsidRPr="00591E1A">
        <w:rPr>
          <w:rFonts w:asciiTheme="minorEastAsia" w:hAnsiTheme="minorEastAsia" w:cs="Times New Roman" w:hint="eastAsia"/>
          <w:sz w:val="24"/>
          <w:szCs w:val="24"/>
        </w:rPr>
        <w:t>开展的</w:t>
      </w:r>
      <w:r w:rsidR="00230868" w:rsidRPr="00591E1A">
        <w:rPr>
          <w:rFonts w:asciiTheme="minorEastAsia" w:hAnsiTheme="minorEastAsia" w:cs="Times New Roman"/>
          <w:sz w:val="24"/>
          <w:szCs w:val="24"/>
        </w:rPr>
        <w:t>基金申购手续费率优惠</w:t>
      </w:r>
      <w:r w:rsidRPr="00591E1A">
        <w:rPr>
          <w:rFonts w:asciiTheme="minorEastAsia" w:hAnsiTheme="minorEastAsia" w:cs="Times New Roman"/>
          <w:sz w:val="24"/>
          <w:szCs w:val="24"/>
        </w:rPr>
        <w:t>活动。具体事项公告如下：</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一、适用</w:t>
      </w:r>
      <w:r w:rsidR="00141E94" w:rsidRPr="00591E1A">
        <w:rPr>
          <w:rFonts w:asciiTheme="minorEastAsia" w:hAnsiTheme="minorEastAsia" w:cs="Times New Roman" w:hint="eastAsia"/>
          <w:sz w:val="24"/>
          <w:szCs w:val="24"/>
        </w:rPr>
        <w:t>基金</w:t>
      </w:r>
    </w:p>
    <w:tbl>
      <w:tblPr>
        <w:tblStyle w:val="a9"/>
        <w:tblW w:w="8364" w:type="dxa"/>
        <w:tblInd w:w="108" w:type="dxa"/>
        <w:tblLook w:val="04A0"/>
      </w:tblPr>
      <w:tblGrid>
        <w:gridCol w:w="709"/>
        <w:gridCol w:w="1305"/>
        <w:gridCol w:w="6350"/>
      </w:tblGrid>
      <w:tr w:rsidR="00A35831" w:rsidRPr="00591E1A" w:rsidTr="00C211D1">
        <w:trPr>
          <w:trHeight w:val="485"/>
        </w:trPr>
        <w:tc>
          <w:tcPr>
            <w:tcW w:w="709" w:type="dxa"/>
            <w:vAlign w:val="center"/>
          </w:tcPr>
          <w:p w:rsidR="00A35831" w:rsidRPr="00591E1A" w:rsidRDefault="00A35831" w:rsidP="00593C5E">
            <w:pPr>
              <w:jc w:val="center"/>
              <w:rPr>
                <w:rFonts w:asciiTheme="minorEastAsia" w:hAnsiTheme="minorEastAsia" w:cs="Times New Roman"/>
                <w:b/>
                <w:color w:val="000000"/>
                <w:kern w:val="0"/>
                <w:sz w:val="24"/>
                <w:szCs w:val="24"/>
              </w:rPr>
            </w:pPr>
            <w:r w:rsidRPr="00591E1A">
              <w:rPr>
                <w:rFonts w:asciiTheme="minorEastAsia" w:hAnsiTheme="minorEastAsia" w:cs="Times New Roman"/>
                <w:b/>
                <w:color w:val="000000"/>
                <w:kern w:val="0"/>
                <w:sz w:val="24"/>
                <w:szCs w:val="24"/>
              </w:rPr>
              <w:t>编号</w:t>
            </w:r>
          </w:p>
        </w:tc>
        <w:tc>
          <w:tcPr>
            <w:tcW w:w="1305" w:type="dxa"/>
            <w:vAlign w:val="center"/>
          </w:tcPr>
          <w:p w:rsidR="00A35831" w:rsidRPr="00591E1A" w:rsidRDefault="00A35831" w:rsidP="00593C5E">
            <w:pPr>
              <w:jc w:val="center"/>
              <w:rPr>
                <w:rFonts w:asciiTheme="minorEastAsia" w:hAnsiTheme="minorEastAsia" w:cs="Times New Roman"/>
                <w:b/>
                <w:sz w:val="24"/>
                <w:szCs w:val="24"/>
              </w:rPr>
            </w:pPr>
            <w:r w:rsidRPr="00591E1A">
              <w:rPr>
                <w:rFonts w:asciiTheme="minorEastAsia" w:hAnsiTheme="minorEastAsia" w:cs="Times New Roman"/>
                <w:b/>
                <w:color w:val="000000"/>
                <w:kern w:val="0"/>
                <w:sz w:val="24"/>
                <w:szCs w:val="24"/>
              </w:rPr>
              <w:t>基金代码</w:t>
            </w:r>
          </w:p>
        </w:tc>
        <w:tc>
          <w:tcPr>
            <w:tcW w:w="6350" w:type="dxa"/>
            <w:vAlign w:val="center"/>
          </w:tcPr>
          <w:p w:rsidR="00A35831" w:rsidRPr="00591E1A" w:rsidRDefault="00A35831" w:rsidP="0044662C">
            <w:pPr>
              <w:jc w:val="center"/>
              <w:rPr>
                <w:rFonts w:asciiTheme="minorEastAsia" w:hAnsiTheme="minorEastAsia" w:cs="Times New Roman"/>
                <w:b/>
                <w:sz w:val="24"/>
                <w:szCs w:val="24"/>
              </w:rPr>
            </w:pPr>
            <w:r w:rsidRPr="00591E1A">
              <w:rPr>
                <w:rFonts w:asciiTheme="minorEastAsia" w:hAnsiTheme="minorEastAsia" w:cs="Times New Roman"/>
                <w:b/>
                <w:color w:val="000000"/>
                <w:kern w:val="0"/>
                <w:sz w:val="24"/>
                <w:szCs w:val="24"/>
              </w:rPr>
              <w:t>基金名称</w:t>
            </w:r>
          </w:p>
        </w:tc>
      </w:tr>
      <w:tr w:rsidR="00A35831" w:rsidRPr="00591E1A" w:rsidTr="00C211D1">
        <w:trPr>
          <w:trHeight w:val="421"/>
        </w:trPr>
        <w:tc>
          <w:tcPr>
            <w:tcW w:w="709" w:type="dxa"/>
            <w:vAlign w:val="center"/>
          </w:tcPr>
          <w:p w:rsidR="00A35831" w:rsidRPr="00591E1A" w:rsidRDefault="00A35831" w:rsidP="0044662C">
            <w:pPr>
              <w:jc w:val="center"/>
              <w:rPr>
                <w:rFonts w:asciiTheme="minorEastAsia" w:hAnsiTheme="minorEastAsia" w:cs="Times New Roman"/>
                <w:color w:val="000000"/>
                <w:kern w:val="0"/>
                <w:sz w:val="24"/>
                <w:szCs w:val="24"/>
              </w:rPr>
            </w:pPr>
            <w:r w:rsidRPr="00591E1A">
              <w:rPr>
                <w:rFonts w:asciiTheme="minorEastAsia" w:hAnsiTheme="minorEastAsia" w:cs="Times New Roman"/>
                <w:color w:val="000000"/>
                <w:kern w:val="0"/>
                <w:sz w:val="24"/>
                <w:szCs w:val="24"/>
              </w:rPr>
              <w:t>1</w:t>
            </w:r>
          </w:p>
        </w:tc>
        <w:tc>
          <w:tcPr>
            <w:tcW w:w="1305" w:type="dxa"/>
            <w:vAlign w:val="center"/>
          </w:tcPr>
          <w:p w:rsidR="00A35831" w:rsidRPr="00591E1A" w:rsidRDefault="00A35831" w:rsidP="00593C5E">
            <w:pPr>
              <w:jc w:val="center"/>
              <w:rPr>
                <w:rFonts w:asciiTheme="minorEastAsia" w:hAnsiTheme="minorEastAsia" w:cs="Times New Roman"/>
                <w:sz w:val="24"/>
                <w:szCs w:val="24"/>
              </w:rPr>
            </w:pPr>
            <w:r w:rsidRPr="00591E1A">
              <w:rPr>
                <w:rFonts w:asciiTheme="minorEastAsia" w:hAnsiTheme="minorEastAsia" w:cs="Times New Roman" w:hint="eastAsia"/>
                <w:sz w:val="24"/>
                <w:szCs w:val="24"/>
              </w:rPr>
              <w:t>0</w:t>
            </w:r>
            <w:r w:rsidRPr="00591E1A">
              <w:rPr>
                <w:rFonts w:asciiTheme="minorEastAsia" w:hAnsiTheme="minorEastAsia" w:cs="Times New Roman"/>
                <w:sz w:val="24"/>
                <w:szCs w:val="24"/>
              </w:rPr>
              <w:t>06991</w:t>
            </w:r>
          </w:p>
        </w:tc>
        <w:tc>
          <w:tcPr>
            <w:tcW w:w="6350" w:type="dxa"/>
            <w:vAlign w:val="center"/>
          </w:tcPr>
          <w:p w:rsidR="00A35831" w:rsidRPr="00591E1A" w:rsidRDefault="00A35831">
            <w:pPr>
              <w:rPr>
                <w:rFonts w:asciiTheme="minorEastAsia" w:hAnsiTheme="minorEastAsia" w:cs="Times New Roman"/>
                <w:sz w:val="24"/>
                <w:szCs w:val="24"/>
              </w:rPr>
            </w:pPr>
            <w:r w:rsidRPr="00591E1A">
              <w:rPr>
                <w:rFonts w:asciiTheme="minorEastAsia" w:hAnsiTheme="minorEastAsia" w:cs="Times New Roman" w:hint="eastAsia"/>
                <w:sz w:val="24"/>
                <w:szCs w:val="24"/>
              </w:rPr>
              <w:t>民生加银康宁稳健养老目标一年持有期混合型基金中基金（FOF）</w:t>
            </w:r>
            <w:bookmarkStart w:id="0" w:name="_GoBack"/>
            <w:bookmarkEnd w:id="0"/>
          </w:p>
        </w:tc>
      </w:tr>
      <w:tr w:rsidR="00A35831" w:rsidRPr="00591E1A" w:rsidTr="00C211D1">
        <w:trPr>
          <w:trHeight w:val="398"/>
        </w:trPr>
        <w:tc>
          <w:tcPr>
            <w:tcW w:w="709" w:type="dxa"/>
            <w:vAlign w:val="center"/>
          </w:tcPr>
          <w:p w:rsidR="00A35831" w:rsidRPr="00591E1A" w:rsidRDefault="00A35831" w:rsidP="0044662C">
            <w:pPr>
              <w:autoSpaceDE w:val="0"/>
              <w:autoSpaceDN w:val="0"/>
              <w:adjustRightInd w:val="0"/>
              <w:spacing w:line="267" w:lineRule="exact"/>
              <w:jc w:val="center"/>
              <w:rPr>
                <w:rFonts w:asciiTheme="minorEastAsia" w:hAnsiTheme="minorEastAsia" w:cs="Times New Roman"/>
                <w:color w:val="000000"/>
                <w:kern w:val="0"/>
                <w:sz w:val="24"/>
                <w:szCs w:val="24"/>
              </w:rPr>
            </w:pPr>
            <w:r w:rsidRPr="00591E1A">
              <w:rPr>
                <w:rFonts w:asciiTheme="minorEastAsia" w:hAnsiTheme="minorEastAsia" w:cs="Times New Roman" w:hint="eastAsia"/>
                <w:color w:val="000000"/>
                <w:kern w:val="0"/>
                <w:sz w:val="24"/>
                <w:szCs w:val="24"/>
              </w:rPr>
              <w:t>2</w:t>
            </w:r>
          </w:p>
        </w:tc>
        <w:tc>
          <w:tcPr>
            <w:tcW w:w="1305" w:type="dxa"/>
            <w:vAlign w:val="center"/>
          </w:tcPr>
          <w:p w:rsidR="00A35831" w:rsidRPr="00591E1A" w:rsidRDefault="00A35831" w:rsidP="00593C5E">
            <w:pPr>
              <w:autoSpaceDE w:val="0"/>
              <w:autoSpaceDN w:val="0"/>
              <w:adjustRightInd w:val="0"/>
              <w:spacing w:line="267" w:lineRule="exact"/>
              <w:jc w:val="center"/>
              <w:rPr>
                <w:rFonts w:asciiTheme="minorEastAsia" w:hAnsiTheme="minorEastAsia" w:cs="Times New Roman"/>
                <w:color w:val="000000"/>
                <w:kern w:val="0"/>
                <w:sz w:val="24"/>
                <w:szCs w:val="24"/>
              </w:rPr>
            </w:pPr>
            <w:r w:rsidRPr="00591E1A">
              <w:rPr>
                <w:rFonts w:asciiTheme="minorEastAsia" w:hAnsiTheme="minorEastAsia" w:cs="Times New Roman" w:hint="eastAsia"/>
                <w:color w:val="000000"/>
                <w:kern w:val="0"/>
                <w:sz w:val="24"/>
                <w:szCs w:val="24"/>
              </w:rPr>
              <w:t>0</w:t>
            </w:r>
            <w:r w:rsidRPr="00591E1A">
              <w:rPr>
                <w:rFonts w:asciiTheme="minorEastAsia" w:hAnsiTheme="minorEastAsia" w:cs="Times New Roman"/>
                <w:color w:val="000000"/>
                <w:kern w:val="0"/>
                <w:sz w:val="24"/>
                <w:szCs w:val="24"/>
              </w:rPr>
              <w:t>00136</w:t>
            </w:r>
          </w:p>
        </w:tc>
        <w:tc>
          <w:tcPr>
            <w:tcW w:w="6350" w:type="dxa"/>
            <w:vAlign w:val="center"/>
          </w:tcPr>
          <w:p w:rsidR="00A35831" w:rsidRPr="00591E1A" w:rsidRDefault="00A35831" w:rsidP="00593C5E">
            <w:pPr>
              <w:rPr>
                <w:rFonts w:asciiTheme="minorEastAsia" w:hAnsiTheme="minorEastAsia" w:cs="Times New Roman"/>
                <w:color w:val="000000"/>
                <w:kern w:val="0"/>
                <w:sz w:val="24"/>
                <w:szCs w:val="24"/>
              </w:rPr>
            </w:pPr>
            <w:r w:rsidRPr="00591E1A">
              <w:rPr>
                <w:rFonts w:asciiTheme="minorEastAsia" w:hAnsiTheme="minorEastAsia" w:cs="Times New Roman" w:hint="eastAsia"/>
                <w:color w:val="000000"/>
                <w:kern w:val="0"/>
                <w:sz w:val="24"/>
                <w:szCs w:val="24"/>
              </w:rPr>
              <w:t>民生加银策略精选灵活配置混合型证券投资基金</w:t>
            </w:r>
          </w:p>
        </w:tc>
      </w:tr>
    </w:tbl>
    <w:p w:rsidR="00141E94" w:rsidRPr="00591E1A" w:rsidRDefault="00141E94" w:rsidP="0043636D">
      <w:pPr>
        <w:spacing w:line="360" w:lineRule="auto"/>
        <w:ind w:firstLineChars="200" w:firstLine="480"/>
        <w:rPr>
          <w:rFonts w:asciiTheme="minorEastAsia" w:hAnsiTheme="minorEastAsia" w:cs="Times New Roman"/>
          <w:sz w:val="24"/>
          <w:szCs w:val="24"/>
        </w:rPr>
      </w:pPr>
    </w:p>
    <w:p w:rsidR="00A35831" w:rsidRPr="00591E1A" w:rsidRDefault="00141E94"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hint="eastAsia"/>
          <w:sz w:val="24"/>
          <w:szCs w:val="24"/>
        </w:rPr>
        <w:t>自2020年2月28日起至2020年3月5日，</w:t>
      </w:r>
      <w:r w:rsidR="0081420F" w:rsidRPr="00591E1A">
        <w:rPr>
          <w:rFonts w:asciiTheme="minorEastAsia" w:hAnsiTheme="minorEastAsia" w:cs="Times New Roman"/>
          <w:sz w:val="24"/>
          <w:szCs w:val="24"/>
        </w:rPr>
        <w:t>投资者通过</w:t>
      </w:r>
      <w:r w:rsidR="00256578" w:rsidRPr="00591E1A">
        <w:rPr>
          <w:rFonts w:asciiTheme="minorEastAsia" w:hAnsiTheme="minorEastAsia" w:cs="Times New Roman" w:hint="eastAsia"/>
          <w:sz w:val="24"/>
          <w:szCs w:val="24"/>
        </w:rPr>
        <w:t>民生银行</w:t>
      </w:r>
      <w:r w:rsidRPr="00591E1A">
        <w:rPr>
          <w:rFonts w:asciiTheme="minorEastAsia" w:hAnsiTheme="minorEastAsia" w:cs="Times New Roman" w:hint="eastAsia"/>
          <w:sz w:val="24"/>
          <w:szCs w:val="24"/>
        </w:rPr>
        <w:t>柜台、手机银行、网上银行、自助终端</w:t>
      </w:r>
      <w:r w:rsidR="00256578" w:rsidRPr="00591E1A">
        <w:rPr>
          <w:rFonts w:asciiTheme="minorEastAsia" w:hAnsiTheme="minorEastAsia" w:cs="Times New Roman" w:hint="eastAsia"/>
          <w:sz w:val="24"/>
          <w:szCs w:val="24"/>
        </w:rPr>
        <w:t>渠道</w:t>
      </w:r>
      <w:r w:rsidR="0081423E" w:rsidRPr="00591E1A">
        <w:rPr>
          <w:rFonts w:asciiTheme="minorEastAsia" w:hAnsiTheme="minorEastAsia" w:cs="Times New Roman"/>
          <w:sz w:val="24"/>
          <w:szCs w:val="24"/>
        </w:rPr>
        <w:t>申购</w:t>
      </w:r>
      <w:r w:rsidR="0081420F" w:rsidRPr="00591E1A">
        <w:rPr>
          <w:rFonts w:asciiTheme="minorEastAsia" w:hAnsiTheme="minorEastAsia" w:cs="Times New Roman"/>
          <w:sz w:val="24"/>
          <w:szCs w:val="24"/>
        </w:rPr>
        <w:t>本公司的</w:t>
      </w:r>
      <w:r w:rsidRPr="00591E1A">
        <w:rPr>
          <w:rFonts w:asciiTheme="minorEastAsia" w:hAnsiTheme="minorEastAsia" w:cs="Times New Roman" w:hint="eastAsia"/>
          <w:sz w:val="24"/>
          <w:szCs w:val="24"/>
        </w:rPr>
        <w:t>上述</w:t>
      </w:r>
      <w:r w:rsidR="0081420F" w:rsidRPr="00591E1A">
        <w:rPr>
          <w:rFonts w:asciiTheme="minorEastAsia" w:hAnsiTheme="minorEastAsia" w:cs="Times New Roman"/>
          <w:sz w:val="24"/>
          <w:szCs w:val="24"/>
        </w:rPr>
        <w:t>基金（限前端收费模式）</w:t>
      </w:r>
      <w:r w:rsidR="0044662C" w:rsidRPr="00591E1A">
        <w:rPr>
          <w:rFonts w:asciiTheme="minorEastAsia" w:hAnsiTheme="minorEastAsia" w:cs="Times New Roman" w:hint="eastAsia"/>
          <w:sz w:val="24"/>
          <w:szCs w:val="24"/>
        </w:rPr>
        <w:t>，</w:t>
      </w:r>
      <w:r w:rsidRPr="00591E1A">
        <w:rPr>
          <w:rFonts w:asciiTheme="minorEastAsia" w:hAnsiTheme="minorEastAsia" w:cs="Times New Roman" w:hint="eastAsia"/>
          <w:sz w:val="24"/>
          <w:szCs w:val="24"/>
        </w:rPr>
        <w:t>享受</w:t>
      </w:r>
      <w:r w:rsidR="00256578" w:rsidRPr="00591E1A">
        <w:rPr>
          <w:rFonts w:asciiTheme="minorEastAsia" w:hAnsiTheme="minorEastAsia" w:cs="Times New Roman" w:hint="eastAsia"/>
          <w:sz w:val="24"/>
          <w:szCs w:val="24"/>
        </w:rPr>
        <w:t>申购费率一折优惠，基金招募说明书约定单笔固定费率的，按原费率收取。</w:t>
      </w:r>
      <w:r w:rsidR="0081420F" w:rsidRPr="00591E1A">
        <w:rPr>
          <w:rFonts w:asciiTheme="minorEastAsia" w:hAnsiTheme="minorEastAsia" w:cs="Times New Roman"/>
          <w:sz w:val="24"/>
          <w:szCs w:val="24"/>
        </w:rPr>
        <w:t>各基金原费率参见各基金相关法律文件及最新业务公告。</w:t>
      </w:r>
    </w:p>
    <w:p w:rsidR="0081420F" w:rsidRPr="00591E1A" w:rsidRDefault="00A35831"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hint="eastAsia"/>
          <w:sz w:val="24"/>
          <w:szCs w:val="24"/>
        </w:rPr>
        <w:t>本次费率优惠活动如有展期、终止或调整，费率优惠时间、适用基金范围或规则如有变更，均以民生银行的安排和规定为准，本公司不再另行公告。</w:t>
      </w:r>
    </w:p>
    <w:p w:rsidR="0044662C" w:rsidRPr="00591E1A" w:rsidRDefault="0044662C" w:rsidP="0043636D">
      <w:pPr>
        <w:spacing w:line="360" w:lineRule="auto"/>
        <w:ind w:firstLineChars="200" w:firstLine="480"/>
        <w:rPr>
          <w:rFonts w:asciiTheme="minorEastAsia" w:hAnsiTheme="minorEastAsia" w:cs="Times New Roman"/>
          <w:sz w:val="24"/>
          <w:szCs w:val="24"/>
        </w:rPr>
      </w:pP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二、特别提示</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1、本优惠活动适用于处于正常申购期的基金的前端申购手续费，</w:t>
      </w:r>
      <w:r w:rsidRPr="00591E1A">
        <w:rPr>
          <w:rFonts w:asciiTheme="minorEastAsia" w:hAnsiTheme="minorEastAsia" w:cs="Times New Roman" w:hint="eastAsia"/>
          <w:sz w:val="24"/>
          <w:szCs w:val="24"/>
        </w:rPr>
        <w:t>不包括基金转换业务的基金手续费。</w:t>
      </w:r>
      <w:r w:rsidRPr="00591E1A">
        <w:rPr>
          <w:rFonts w:asciiTheme="minorEastAsia" w:hAnsiTheme="minorEastAsia" w:cs="Times New Roman"/>
          <w:sz w:val="24"/>
          <w:szCs w:val="24"/>
        </w:rPr>
        <w:t>费率优惠活动的解释权</w:t>
      </w:r>
      <w:r w:rsidR="0081423E" w:rsidRPr="00591E1A">
        <w:rPr>
          <w:rFonts w:asciiTheme="minorEastAsia" w:hAnsiTheme="minorEastAsia" w:cs="Times New Roman"/>
          <w:sz w:val="24"/>
          <w:szCs w:val="24"/>
        </w:rPr>
        <w:t>归</w:t>
      </w:r>
      <w:r w:rsidR="00256578" w:rsidRPr="00591E1A">
        <w:rPr>
          <w:rFonts w:asciiTheme="minorEastAsia" w:hAnsiTheme="minorEastAsia" w:cs="Times New Roman" w:hint="eastAsia"/>
          <w:sz w:val="24"/>
          <w:szCs w:val="24"/>
        </w:rPr>
        <w:t>民生银行</w:t>
      </w:r>
      <w:r w:rsidRPr="00591E1A">
        <w:rPr>
          <w:rFonts w:asciiTheme="minorEastAsia" w:hAnsiTheme="minorEastAsia" w:cs="Times New Roman"/>
          <w:sz w:val="24"/>
          <w:szCs w:val="24"/>
        </w:rPr>
        <w:t>所有，优惠活动期间，业务办理的相关规则及流程以</w:t>
      </w:r>
      <w:r w:rsidR="00256578" w:rsidRPr="00591E1A">
        <w:rPr>
          <w:rFonts w:asciiTheme="minorEastAsia" w:hAnsiTheme="minorEastAsia" w:cs="Times New Roman" w:hint="eastAsia"/>
          <w:sz w:val="24"/>
          <w:szCs w:val="24"/>
        </w:rPr>
        <w:t>民生银行</w:t>
      </w:r>
      <w:r w:rsidRPr="00591E1A">
        <w:rPr>
          <w:rFonts w:asciiTheme="minorEastAsia" w:hAnsiTheme="minorEastAsia" w:cs="Times New Roman"/>
          <w:sz w:val="24"/>
          <w:szCs w:val="24"/>
        </w:rPr>
        <w:t>的安排和规定为准。</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2、投资者应认真阅读拟投资基金的《基金合同》、《招募说明书》等法律文件，了解所投资基金的风险收益特征，并根据自身情况购买与本人风险承受能力相匹配的产品。</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3、基金原申购费率标准请参见本公司网站发布的各基金最新的《招募说明书》及相关公告。</w:t>
      </w:r>
    </w:p>
    <w:p w:rsidR="00A35831" w:rsidRPr="00591E1A" w:rsidRDefault="00A35831" w:rsidP="0043636D">
      <w:pPr>
        <w:spacing w:line="360" w:lineRule="auto"/>
        <w:ind w:firstLineChars="200" w:firstLine="480"/>
        <w:rPr>
          <w:rFonts w:asciiTheme="minorEastAsia" w:hAnsiTheme="minorEastAsia" w:cs="Times New Roman"/>
          <w:sz w:val="24"/>
          <w:szCs w:val="24"/>
        </w:rPr>
      </w:pP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lastRenderedPageBreak/>
        <w:t>三、投资者可以通过以下途径查询相关详情</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1、</w:t>
      </w:r>
      <w:r w:rsidR="00E92E60" w:rsidRPr="00591E1A">
        <w:rPr>
          <w:rFonts w:asciiTheme="minorEastAsia" w:hAnsiTheme="minorEastAsia" w:cs="Times New Roman" w:hint="eastAsia"/>
          <w:sz w:val="24"/>
          <w:szCs w:val="24"/>
        </w:rPr>
        <w:t>中国民生银行股份公司</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网</w:t>
      </w:r>
      <w:r w:rsidR="00A35831" w:rsidRPr="00591E1A">
        <w:rPr>
          <w:rFonts w:asciiTheme="minorEastAsia" w:hAnsiTheme="minorEastAsia" w:cs="Times New Roman"/>
          <w:sz w:val="24"/>
          <w:szCs w:val="24"/>
        </w:rPr>
        <w:t>址</w:t>
      </w:r>
      <w:r w:rsidRPr="00591E1A">
        <w:rPr>
          <w:rFonts w:asciiTheme="minorEastAsia" w:hAnsiTheme="minorEastAsia" w:cs="Times New Roman"/>
          <w:sz w:val="24"/>
          <w:szCs w:val="24"/>
        </w:rPr>
        <w:t>：</w:t>
      </w:r>
      <w:r w:rsidR="00E92E60" w:rsidRPr="00591E1A">
        <w:rPr>
          <w:rFonts w:asciiTheme="minorEastAsia" w:hAnsiTheme="minorEastAsia" w:cs="Times New Roman"/>
          <w:sz w:val="24"/>
          <w:szCs w:val="24"/>
        </w:rPr>
        <w:t>www.cmbc.com.cn</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客户服务电话：</w:t>
      </w:r>
      <w:r w:rsidR="00E92E60" w:rsidRPr="00591E1A">
        <w:rPr>
          <w:rFonts w:asciiTheme="minorEastAsia" w:hAnsiTheme="minorEastAsia" w:cs="Times New Roman" w:hint="eastAsia"/>
          <w:sz w:val="24"/>
          <w:szCs w:val="24"/>
        </w:rPr>
        <w:t>9</w:t>
      </w:r>
      <w:r w:rsidR="00E92E60" w:rsidRPr="00591E1A">
        <w:rPr>
          <w:rFonts w:asciiTheme="minorEastAsia" w:hAnsiTheme="minorEastAsia" w:cs="Times New Roman"/>
          <w:sz w:val="24"/>
          <w:szCs w:val="24"/>
        </w:rPr>
        <w:t>5568</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2、民生加银基金管理有限公司</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网址：www.msjyfund.com.cn</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客户服务电话：400-8888-388（免长话费）</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投资者欲了解本公司旗下基金详细情况，请仔细阅读基金合同、招募说明书等相关文件也可以致电本公司客户服务电话或登录本公司网站www.msjyfund.com.cn查询。</w:t>
      </w:r>
    </w:p>
    <w:p w:rsidR="0044662C" w:rsidRPr="00591E1A" w:rsidRDefault="0044662C" w:rsidP="0043636D">
      <w:pPr>
        <w:spacing w:line="360" w:lineRule="auto"/>
        <w:ind w:firstLineChars="200" w:firstLine="480"/>
        <w:rPr>
          <w:rFonts w:asciiTheme="minorEastAsia" w:hAnsiTheme="minorEastAsia" w:cs="Times New Roman"/>
          <w:sz w:val="24"/>
          <w:szCs w:val="24"/>
        </w:rPr>
      </w:pPr>
    </w:p>
    <w:p w:rsidR="0081420F" w:rsidRPr="00591E1A" w:rsidRDefault="0081420F" w:rsidP="0043636D">
      <w:pPr>
        <w:spacing w:line="360" w:lineRule="auto"/>
        <w:ind w:firstLineChars="200" w:firstLine="482"/>
        <w:rPr>
          <w:rFonts w:asciiTheme="minorEastAsia" w:hAnsiTheme="minorEastAsia" w:cs="Times New Roman"/>
          <w:b/>
          <w:sz w:val="24"/>
          <w:szCs w:val="24"/>
        </w:rPr>
      </w:pPr>
      <w:r w:rsidRPr="00591E1A">
        <w:rPr>
          <w:rFonts w:asciiTheme="minorEastAsia" w:hAnsiTheme="minorEastAsia" w:cs="Times New Roman" w:hint="eastAsia"/>
          <w:b/>
          <w:sz w:val="24"/>
          <w:szCs w:val="24"/>
        </w:rPr>
        <w:t>风险提示：</w:t>
      </w:r>
      <w:r w:rsidR="00E92E60" w:rsidRPr="00591E1A">
        <w:rPr>
          <w:rFonts w:asciiTheme="minorEastAsia" w:hAnsiTheme="minorEastAsia" w:cs="Times New Roman" w:hint="eastAsia"/>
          <w:b/>
          <w:sz w:val="24"/>
          <w:szCs w:val="24"/>
        </w:rPr>
        <w:t>基金管理人承诺以诚实信用、勤勉尽责的原则管理和运用基金资产，但不保证基金一定盈利，也不保证最低收益。养老目标基金名称中包含“养老”字样，但并不代表收益保障或者其他任何形式的收益承诺。</w:t>
      </w:r>
      <w:r w:rsidR="00363522" w:rsidRPr="00591E1A">
        <w:rPr>
          <w:rFonts w:asciiTheme="minorEastAsia" w:hAnsiTheme="minorEastAsia" w:cs="Times New Roman" w:hint="eastAsia"/>
          <w:b/>
          <w:sz w:val="24"/>
          <w:szCs w:val="24"/>
        </w:rPr>
        <w:t>基金的过往业绩及其净值高低并不预示其未来业绩表现，基金管理人管理的其他基金的业绩也不构成对本基金业绩表现的保证。</w:t>
      </w:r>
      <w:r w:rsidR="00E92E60" w:rsidRPr="00591E1A">
        <w:rPr>
          <w:rFonts w:asciiTheme="minorEastAsia" w:hAnsiTheme="minorEastAsia" w:cs="Times New Roman" w:hint="eastAsia"/>
          <w:b/>
          <w:sz w:val="24"/>
          <w:szCs w:val="24"/>
        </w:rPr>
        <w:t>投资者投资于本公司基金时应认真阅读各基金的基金合同、招募说明书等资料。敬请投资者留意投资风险。</w:t>
      </w: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本公司保留对本公告的解释权和修改权。</w:t>
      </w:r>
    </w:p>
    <w:p w:rsidR="0081420F" w:rsidRPr="00591E1A" w:rsidRDefault="0081420F" w:rsidP="0043636D">
      <w:pPr>
        <w:spacing w:line="360" w:lineRule="auto"/>
        <w:ind w:firstLineChars="200" w:firstLine="480"/>
        <w:rPr>
          <w:rFonts w:asciiTheme="minorEastAsia" w:hAnsiTheme="minorEastAsia" w:cs="Times New Roman"/>
          <w:sz w:val="24"/>
          <w:szCs w:val="24"/>
        </w:rPr>
      </w:pPr>
    </w:p>
    <w:p w:rsidR="0081420F" w:rsidRPr="00591E1A" w:rsidRDefault="0081420F" w:rsidP="0043636D">
      <w:pPr>
        <w:spacing w:line="360" w:lineRule="auto"/>
        <w:ind w:firstLineChars="200" w:firstLine="480"/>
        <w:rPr>
          <w:rFonts w:asciiTheme="minorEastAsia" w:hAnsiTheme="minorEastAsia" w:cs="Times New Roman"/>
          <w:sz w:val="24"/>
          <w:szCs w:val="24"/>
        </w:rPr>
      </w:pPr>
      <w:r w:rsidRPr="00591E1A">
        <w:rPr>
          <w:rFonts w:asciiTheme="minorEastAsia" w:hAnsiTheme="minorEastAsia" w:cs="Times New Roman"/>
          <w:sz w:val="24"/>
          <w:szCs w:val="24"/>
        </w:rPr>
        <w:t>特此公告。</w:t>
      </w:r>
    </w:p>
    <w:p w:rsidR="0081420F" w:rsidRPr="00591E1A" w:rsidRDefault="0081420F" w:rsidP="0043636D">
      <w:pPr>
        <w:spacing w:line="360" w:lineRule="auto"/>
        <w:ind w:firstLineChars="200" w:firstLine="480"/>
        <w:jc w:val="right"/>
        <w:rPr>
          <w:rFonts w:asciiTheme="minorEastAsia" w:hAnsiTheme="minorEastAsia" w:cs="Times New Roman"/>
          <w:sz w:val="24"/>
          <w:szCs w:val="24"/>
        </w:rPr>
      </w:pPr>
      <w:r w:rsidRPr="00591E1A">
        <w:rPr>
          <w:rFonts w:asciiTheme="minorEastAsia" w:hAnsiTheme="minorEastAsia" w:cs="Times New Roman"/>
          <w:sz w:val="24"/>
          <w:szCs w:val="24"/>
        </w:rPr>
        <w:t xml:space="preserve">                             民生加银基金管理有限公司</w:t>
      </w:r>
    </w:p>
    <w:p w:rsidR="002E3ADB" w:rsidRPr="00591E1A" w:rsidRDefault="00E92E60" w:rsidP="00593C5E">
      <w:pPr>
        <w:spacing w:line="360" w:lineRule="auto"/>
        <w:ind w:firstLineChars="200" w:firstLine="480"/>
        <w:jc w:val="right"/>
        <w:rPr>
          <w:rFonts w:asciiTheme="minorEastAsia" w:hAnsiTheme="minorEastAsia" w:cs="Times New Roman"/>
          <w:sz w:val="24"/>
          <w:szCs w:val="24"/>
        </w:rPr>
      </w:pPr>
      <w:r w:rsidRPr="00591E1A">
        <w:rPr>
          <w:rFonts w:asciiTheme="minorEastAsia" w:hAnsiTheme="minorEastAsia" w:cs="Times New Roman"/>
          <w:sz w:val="24"/>
          <w:szCs w:val="24"/>
        </w:rPr>
        <w:t>2020</w:t>
      </w:r>
      <w:r w:rsidR="0081420F" w:rsidRPr="00591E1A">
        <w:rPr>
          <w:rFonts w:asciiTheme="minorEastAsia" w:hAnsiTheme="minorEastAsia" w:cs="Times New Roman"/>
          <w:sz w:val="24"/>
          <w:szCs w:val="24"/>
        </w:rPr>
        <w:t>年</w:t>
      </w:r>
      <w:r w:rsidRPr="00591E1A">
        <w:rPr>
          <w:rFonts w:asciiTheme="minorEastAsia" w:hAnsiTheme="minorEastAsia" w:cs="Times New Roman"/>
          <w:sz w:val="24"/>
          <w:szCs w:val="24"/>
        </w:rPr>
        <w:t>2</w:t>
      </w:r>
      <w:r w:rsidR="0081420F" w:rsidRPr="00591E1A">
        <w:rPr>
          <w:rFonts w:asciiTheme="minorEastAsia" w:hAnsiTheme="minorEastAsia" w:cs="Times New Roman"/>
          <w:sz w:val="24"/>
          <w:szCs w:val="24"/>
        </w:rPr>
        <w:t>月</w:t>
      </w:r>
      <w:r w:rsidRPr="00591E1A">
        <w:rPr>
          <w:rFonts w:asciiTheme="minorEastAsia" w:hAnsiTheme="minorEastAsia" w:cs="Times New Roman"/>
          <w:sz w:val="24"/>
          <w:szCs w:val="24"/>
        </w:rPr>
        <w:t>27</w:t>
      </w:r>
      <w:r w:rsidR="0081420F" w:rsidRPr="00591E1A">
        <w:rPr>
          <w:rFonts w:asciiTheme="minorEastAsia" w:hAnsiTheme="minorEastAsia" w:cs="Times New Roman"/>
          <w:sz w:val="24"/>
          <w:szCs w:val="24"/>
        </w:rPr>
        <w:t>日</w:t>
      </w:r>
    </w:p>
    <w:sectPr w:rsidR="002E3ADB" w:rsidRPr="00591E1A" w:rsidSect="003079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1F9" w:rsidRDefault="00CB11F9" w:rsidP="00230868">
      <w:r>
        <w:separator/>
      </w:r>
    </w:p>
  </w:endnote>
  <w:endnote w:type="continuationSeparator" w:id="1">
    <w:p w:rsidR="00CB11F9" w:rsidRDefault="00CB11F9" w:rsidP="00230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1F9" w:rsidRDefault="00CB11F9" w:rsidP="00230868">
      <w:r>
        <w:separator/>
      </w:r>
    </w:p>
  </w:footnote>
  <w:footnote w:type="continuationSeparator" w:id="1">
    <w:p w:rsidR="00CB11F9" w:rsidRDefault="00CB11F9" w:rsidP="002308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420F"/>
    <w:rsid w:val="00004AA1"/>
    <w:rsid w:val="00015C5C"/>
    <w:rsid w:val="000243F5"/>
    <w:rsid w:val="00064E2D"/>
    <w:rsid w:val="00141E94"/>
    <w:rsid w:val="00152AD8"/>
    <w:rsid w:val="00152E5C"/>
    <w:rsid w:val="001645B5"/>
    <w:rsid w:val="00164ECF"/>
    <w:rsid w:val="00171E74"/>
    <w:rsid w:val="00230868"/>
    <w:rsid w:val="00256578"/>
    <w:rsid w:val="002865C9"/>
    <w:rsid w:val="00291999"/>
    <w:rsid w:val="002E3ADB"/>
    <w:rsid w:val="002E67D3"/>
    <w:rsid w:val="0030791A"/>
    <w:rsid w:val="00307BCF"/>
    <w:rsid w:val="00334803"/>
    <w:rsid w:val="0034661D"/>
    <w:rsid w:val="00363522"/>
    <w:rsid w:val="00390928"/>
    <w:rsid w:val="003B1D0C"/>
    <w:rsid w:val="003D202F"/>
    <w:rsid w:val="003D3A9A"/>
    <w:rsid w:val="003D3D7D"/>
    <w:rsid w:val="0043636D"/>
    <w:rsid w:val="0044662C"/>
    <w:rsid w:val="004B414B"/>
    <w:rsid w:val="0056231A"/>
    <w:rsid w:val="005843FE"/>
    <w:rsid w:val="00591E1A"/>
    <w:rsid w:val="00593C5E"/>
    <w:rsid w:val="005F386D"/>
    <w:rsid w:val="006424C2"/>
    <w:rsid w:val="00662B39"/>
    <w:rsid w:val="00791AD2"/>
    <w:rsid w:val="007F788F"/>
    <w:rsid w:val="0081420F"/>
    <w:rsid w:val="0081423E"/>
    <w:rsid w:val="0083315A"/>
    <w:rsid w:val="00861E03"/>
    <w:rsid w:val="009061B5"/>
    <w:rsid w:val="00925CE4"/>
    <w:rsid w:val="0094102B"/>
    <w:rsid w:val="00A122D5"/>
    <w:rsid w:val="00A30343"/>
    <w:rsid w:val="00A35831"/>
    <w:rsid w:val="00A5346A"/>
    <w:rsid w:val="00BB434E"/>
    <w:rsid w:val="00BC5E23"/>
    <w:rsid w:val="00C211D1"/>
    <w:rsid w:val="00C747E8"/>
    <w:rsid w:val="00C918D9"/>
    <w:rsid w:val="00C94282"/>
    <w:rsid w:val="00CA0AFA"/>
    <w:rsid w:val="00CB11F9"/>
    <w:rsid w:val="00CB6293"/>
    <w:rsid w:val="00CC4337"/>
    <w:rsid w:val="00D52260"/>
    <w:rsid w:val="00E32C4F"/>
    <w:rsid w:val="00E4524F"/>
    <w:rsid w:val="00E54EDF"/>
    <w:rsid w:val="00E92E60"/>
    <w:rsid w:val="00F70273"/>
    <w:rsid w:val="00FD16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1423E"/>
    <w:rPr>
      <w:sz w:val="18"/>
      <w:szCs w:val="18"/>
    </w:rPr>
  </w:style>
  <w:style w:type="character" w:customStyle="1" w:styleId="Char">
    <w:name w:val="批注框文本 Char"/>
    <w:basedOn w:val="a0"/>
    <w:link w:val="a3"/>
    <w:uiPriority w:val="99"/>
    <w:semiHidden/>
    <w:rsid w:val="0081423E"/>
    <w:rPr>
      <w:sz w:val="18"/>
      <w:szCs w:val="18"/>
    </w:rPr>
  </w:style>
  <w:style w:type="paragraph" w:styleId="a4">
    <w:name w:val="header"/>
    <w:basedOn w:val="a"/>
    <w:link w:val="Char0"/>
    <w:uiPriority w:val="99"/>
    <w:unhideWhenUsed/>
    <w:rsid w:val="0023086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30868"/>
    <w:rPr>
      <w:sz w:val="18"/>
      <w:szCs w:val="18"/>
    </w:rPr>
  </w:style>
  <w:style w:type="paragraph" w:styleId="a5">
    <w:name w:val="footer"/>
    <w:basedOn w:val="a"/>
    <w:link w:val="Char1"/>
    <w:uiPriority w:val="99"/>
    <w:unhideWhenUsed/>
    <w:rsid w:val="00230868"/>
    <w:pPr>
      <w:tabs>
        <w:tab w:val="center" w:pos="4153"/>
        <w:tab w:val="right" w:pos="8306"/>
      </w:tabs>
      <w:snapToGrid w:val="0"/>
      <w:jc w:val="left"/>
    </w:pPr>
    <w:rPr>
      <w:sz w:val="18"/>
      <w:szCs w:val="18"/>
    </w:rPr>
  </w:style>
  <w:style w:type="character" w:customStyle="1" w:styleId="Char1">
    <w:name w:val="页脚 Char"/>
    <w:basedOn w:val="a0"/>
    <w:link w:val="a5"/>
    <w:uiPriority w:val="99"/>
    <w:rsid w:val="00230868"/>
    <w:rPr>
      <w:sz w:val="18"/>
      <w:szCs w:val="18"/>
    </w:rPr>
  </w:style>
  <w:style w:type="character" w:styleId="a6">
    <w:name w:val="annotation reference"/>
    <w:basedOn w:val="a0"/>
    <w:uiPriority w:val="99"/>
    <w:semiHidden/>
    <w:unhideWhenUsed/>
    <w:rsid w:val="005F386D"/>
    <w:rPr>
      <w:sz w:val="21"/>
      <w:szCs w:val="21"/>
    </w:rPr>
  </w:style>
  <w:style w:type="paragraph" w:styleId="a7">
    <w:name w:val="annotation text"/>
    <w:basedOn w:val="a"/>
    <w:link w:val="Char2"/>
    <w:uiPriority w:val="99"/>
    <w:semiHidden/>
    <w:unhideWhenUsed/>
    <w:rsid w:val="005F386D"/>
    <w:pPr>
      <w:jc w:val="left"/>
    </w:pPr>
  </w:style>
  <w:style w:type="character" w:customStyle="1" w:styleId="Char2">
    <w:name w:val="批注文字 Char"/>
    <w:basedOn w:val="a0"/>
    <w:link w:val="a7"/>
    <w:uiPriority w:val="99"/>
    <w:semiHidden/>
    <w:rsid w:val="005F386D"/>
  </w:style>
  <w:style w:type="paragraph" w:styleId="a8">
    <w:name w:val="annotation subject"/>
    <w:basedOn w:val="a7"/>
    <w:next w:val="a7"/>
    <w:link w:val="Char3"/>
    <w:uiPriority w:val="99"/>
    <w:semiHidden/>
    <w:unhideWhenUsed/>
    <w:rsid w:val="005F386D"/>
    <w:rPr>
      <w:b/>
      <w:bCs/>
    </w:rPr>
  </w:style>
  <w:style w:type="character" w:customStyle="1" w:styleId="Char3">
    <w:name w:val="批注主题 Char"/>
    <w:basedOn w:val="Char2"/>
    <w:link w:val="a8"/>
    <w:uiPriority w:val="99"/>
    <w:semiHidden/>
    <w:rsid w:val="005F386D"/>
    <w:rPr>
      <w:b/>
      <w:bCs/>
    </w:rPr>
  </w:style>
  <w:style w:type="table" w:styleId="a9">
    <w:name w:val="Table Grid"/>
    <w:basedOn w:val="a1"/>
    <w:uiPriority w:val="59"/>
    <w:rsid w:val="00004A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1000</Characters>
  <Application>Microsoft Office Word</Application>
  <DocSecurity>4</DocSecurity>
  <Lines>8</Lines>
  <Paragraphs>2</Paragraphs>
  <ScaleCrop>false</ScaleCrop>
  <Company>Microsoft</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王黎艳</dc:creator>
  <cp:lastModifiedBy>JonMMx 2000</cp:lastModifiedBy>
  <cp:revision>2</cp:revision>
  <dcterms:created xsi:type="dcterms:W3CDTF">2020-02-26T16:16:00Z</dcterms:created>
  <dcterms:modified xsi:type="dcterms:W3CDTF">2020-02-26T16:16:00Z</dcterms:modified>
</cp:coreProperties>
</file>