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6C" w:rsidRDefault="00DE5D6C" w:rsidP="00DE5D6C">
      <w:pPr>
        <w:spacing w:line="360" w:lineRule="auto"/>
        <w:jc w:val="center"/>
        <w:rPr>
          <w:rFonts w:ascii="宋体" w:hAnsi="宋体"/>
          <w:b/>
          <w:sz w:val="28"/>
          <w:szCs w:val="28"/>
        </w:rPr>
      </w:pPr>
      <w:r>
        <w:rPr>
          <w:rFonts w:ascii="宋体" w:hAnsi="宋体" w:hint="eastAsia"/>
          <w:b/>
          <w:sz w:val="28"/>
          <w:szCs w:val="28"/>
        </w:rPr>
        <w:t>融通关于旗下部分开放式基金新增玄元保险代理有限公司为销售机构开通定期定额投资、转换业务及参加其费率优惠的公告</w:t>
      </w:r>
    </w:p>
    <w:p w:rsidR="00DE5D6C" w:rsidRDefault="00DE5D6C" w:rsidP="00DE5D6C">
      <w:pPr>
        <w:spacing w:line="360" w:lineRule="auto"/>
        <w:jc w:val="center"/>
        <w:rPr>
          <w:rFonts w:ascii="宋体" w:hAnsi="宋体"/>
          <w:b/>
          <w:sz w:val="28"/>
          <w:szCs w:val="28"/>
        </w:rPr>
      </w:pPr>
    </w:p>
    <w:p w:rsidR="00DE5D6C" w:rsidRDefault="00DE5D6C" w:rsidP="00DE5D6C">
      <w:pPr>
        <w:spacing w:line="360" w:lineRule="auto"/>
        <w:ind w:firstLineChars="200" w:firstLine="420"/>
        <w:rPr>
          <w:rFonts w:ascii="宋体" w:hAnsi="宋体"/>
          <w:szCs w:val="21"/>
        </w:rPr>
      </w:pPr>
      <w:r>
        <w:rPr>
          <w:rFonts w:ascii="宋体" w:hAnsi="宋体" w:hint="eastAsia"/>
          <w:szCs w:val="21"/>
        </w:rPr>
        <w:t>为了更好地满足广大投资者的理财需求，根据融通基金管理有限公司（以下简称“融通基金”）与玄元保险代理有限公司（以下简称“玄元保险 ”）签署的销售协议，从2020年2月20日起，</w:t>
      </w:r>
      <w:r>
        <w:rPr>
          <w:rFonts w:hint="eastAsia"/>
          <w:szCs w:val="21"/>
        </w:rPr>
        <w:t>玄元保险</w:t>
      </w:r>
      <w:r>
        <w:rPr>
          <w:rFonts w:ascii="宋体" w:hAnsi="宋体" w:hint="eastAsia"/>
          <w:szCs w:val="21"/>
        </w:rPr>
        <w:t>新增销售融通基金旗下部分开放式基金，</w:t>
      </w:r>
      <w:r>
        <w:rPr>
          <w:rFonts w:hint="eastAsia"/>
          <w:szCs w:val="21"/>
        </w:rPr>
        <w:t>开通定期定额投资及转换业务，并</w:t>
      </w:r>
      <w:r>
        <w:rPr>
          <w:szCs w:val="21"/>
        </w:rPr>
        <w:t>自</w:t>
      </w:r>
      <w:r>
        <w:rPr>
          <w:rFonts w:hint="eastAsia"/>
          <w:szCs w:val="21"/>
        </w:rPr>
        <w:t>该日</w:t>
      </w:r>
      <w:r>
        <w:rPr>
          <w:rFonts w:cs="Arial" w:hint="eastAsia"/>
          <w:szCs w:val="21"/>
        </w:rPr>
        <w:t>起融通基金旗下部分开放式基金参加玄元保险的费率优惠活动</w:t>
      </w:r>
      <w:r>
        <w:rPr>
          <w:rFonts w:ascii="宋体" w:hAnsi="宋体" w:hint="eastAsia"/>
          <w:szCs w:val="21"/>
        </w:rPr>
        <w:t>。现将有关事项公告如下：</w:t>
      </w:r>
    </w:p>
    <w:p w:rsidR="00DE5D6C" w:rsidRDefault="00DE5D6C" w:rsidP="00DE5D6C">
      <w:pPr>
        <w:numPr>
          <w:ilvl w:val="0"/>
          <w:numId w:val="1"/>
        </w:numPr>
        <w:spacing w:line="360" w:lineRule="auto"/>
        <w:rPr>
          <w:rFonts w:ascii="宋体" w:hAnsi="宋体"/>
          <w:szCs w:val="21"/>
        </w:rPr>
      </w:pPr>
      <w:r>
        <w:rPr>
          <w:rFonts w:ascii="宋体" w:hAnsi="宋体" w:hint="eastAsia"/>
          <w:szCs w:val="21"/>
        </w:rPr>
        <w:t>销售基金名称及基金代码：</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3260"/>
      </w:tblGrid>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ind w:firstLineChars="200" w:firstLine="420"/>
              <w:jc w:val="left"/>
              <w:rPr>
                <w:rFonts w:ascii="宋体" w:hAnsi="宋体" w:cs="宋体"/>
                <w:kern w:val="0"/>
                <w:szCs w:val="21"/>
              </w:rPr>
            </w:pPr>
            <w:r>
              <w:rPr>
                <w:rFonts w:ascii="宋体" w:hAnsi="宋体" w:cs="宋体" w:hint="eastAsia"/>
                <w:kern w:val="0"/>
                <w:szCs w:val="21"/>
              </w:rPr>
              <w:t>基金名称</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ind w:firstLineChars="200" w:firstLine="420"/>
              <w:jc w:val="left"/>
              <w:rPr>
                <w:rFonts w:ascii="宋体" w:hAnsi="宋体" w:cs="宋体"/>
                <w:kern w:val="0"/>
                <w:szCs w:val="21"/>
              </w:rPr>
            </w:pPr>
            <w:r>
              <w:rPr>
                <w:rFonts w:ascii="宋体" w:hAnsi="宋体" w:cs="宋体" w:hint="eastAsia"/>
                <w:kern w:val="0"/>
                <w:szCs w:val="21"/>
              </w:rPr>
              <w:t>基金代码</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融通增强收益债券型证券投资基金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000142（A类）</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w:t>
            </w:r>
            <w:proofErr w:type="gramStart"/>
            <w:r>
              <w:rPr>
                <w:rFonts w:ascii="宋体" w:hAnsi="宋体" w:cs="宋体" w:hint="eastAsia"/>
                <w:kern w:val="0"/>
                <w:szCs w:val="21"/>
              </w:rPr>
              <w:t>通源短融债券</w:t>
            </w:r>
            <w:proofErr w:type="gramEnd"/>
            <w:r>
              <w:rPr>
                <w:rFonts w:ascii="宋体" w:hAnsi="宋体" w:cs="宋体" w:hint="eastAsia"/>
                <w:kern w:val="0"/>
                <w:szCs w:val="21"/>
              </w:rPr>
              <w:t>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000394（A类）</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融通月月添利定期开放债券型证券投资基金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000437（A类）、000438（B类）</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w:t>
            </w:r>
            <w:proofErr w:type="gramStart"/>
            <w:r>
              <w:rPr>
                <w:rFonts w:ascii="宋体" w:hAnsi="宋体" w:cs="宋体" w:hint="eastAsia"/>
                <w:kern w:val="0"/>
                <w:szCs w:val="21"/>
              </w:rPr>
              <w:t>通</w:t>
            </w:r>
            <w:proofErr w:type="gramEnd"/>
            <w:r>
              <w:rPr>
                <w:rFonts w:ascii="宋体" w:hAnsi="宋体" w:cs="宋体" w:hint="eastAsia"/>
                <w:kern w:val="0"/>
                <w:szCs w:val="21"/>
              </w:rPr>
              <w:t>瑞债券型证券投资基金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000466（A类）、000859（C类）</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融通转型三动力灵活配置混合型证券投资基金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000717（前端）</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融通健康产业灵活配置混合型证券投资基金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000727（前端）</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融通互联网传媒灵活配置混合型证券投资基金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001150（前端）</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融通新区域新经济灵活配置混合型证券投资基金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001152（前端）</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w:t>
            </w:r>
            <w:proofErr w:type="gramStart"/>
            <w:r>
              <w:rPr>
                <w:rFonts w:ascii="宋体" w:hAnsi="宋体" w:cs="宋体" w:hint="eastAsia"/>
                <w:kern w:val="0"/>
                <w:szCs w:val="21"/>
              </w:rPr>
              <w:t>通鑫</w:t>
            </w:r>
            <w:proofErr w:type="gramEnd"/>
            <w:r>
              <w:rPr>
                <w:rFonts w:ascii="宋体" w:hAnsi="宋体" w:cs="宋体" w:hint="eastAsia"/>
                <w:kern w:val="0"/>
                <w:szCs w:val="21"/>
              </w:rPr>
              <w:t>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001470</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融通新能源灵活配置混合型证券投资基金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001471（前端）</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融通跨界成长灵活配置混合型证券投资基金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001830（前端）</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融通中国风1号灵活配置混合型证券投资基金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001852（前端）</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融通成长30灵活配置混合型证券投资基金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002252（前端）</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w:t>
            </w:r>
            <w:proofErr w:type="gramStart"/>
            <w:r>
              <w:rPr>
                <w:rFonts w:ascii="宋体" w:hAnsi="宋体" w:cs="宋体" w:hint="eastAsia"/>
                <w:kern w:val="0"/>
                <w:szCs w:val="21"/>
              </w:rPr>
              <w:t>通</w:t>
            </w:r>
            <w:proofErr w:type="gramEnd"/>
            <w:r>
              <w:rPr>
                <w:rFonts w:ascii="宋体" w:hAnsi="宋体" w:cs="宋体" w:hint="eastAsia"/>
                <w:kern w:val="0"/>
                <w:szCs w:val="21"/>
              </w:rPr>
              <w:t>盈灵活配置混合型证券投资基金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002415</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融通新消费灵活配置混合型证券投资基金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002605（前端）</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w:t>
            </w:r>
            <w:proofErr w:type="gramStart"/>
            <w:r>
              <w:rPr>
                <w:rFonts w:ascii="宋体" w:hAnsi="宋体" w:cs="宋体" w:hint="eastAsia"/>
                <w:kern w:val="0"/>
                <w:szCs w:val="21"/>
              </w:rPr>
              <w:t>通</w:t>
            </w:r>
            <w:proofErr w:type="gramEnd"/>
            <w:r>
              <w:rPr>
                <w:rFonts w:ascii="宋体" w:hAnsi="宋体" w:cs="宋体" w:hint="eastAsia"/>
                <w:kern w:val="0"/>
                <w:szCs w:val="21"/>
              </w:rPr>
              <w:t>慧混合型证券投资基金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002612（A类）</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widowControl/>
              <w:jc w:val="left"/>
              <w:rPr>
                <w:rFonts w:ascii="宋体" w:hAnsi="宋体" w:cs="宋体"/>
                <w:kern w:val="0"/>
                <w:szCs w:val="21"/>
              </w:rPr>
            </w:pPr>
            <w:r>
              <w:rPr>
                <w:rFonts w:ascii="宋体" w:hAnsi="宋体" w:cs="宋体" w:hint="eastAsia"/>
                <w:kern w:val="0"/>
                <w:szCs w:val="21"/>
              </w:rPr>
              <w:t>融通现金宝货币市场基金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widowControl/>
              <w:rPr>
                <w:rFonts w:ascii="宋体" w:hAnsi="宋体" w:cs="宋体"/>
                <w:kern w:val="0"/>
                <w:szCs w:val="21"/>
              </w:rPr>
            </w:pPr>
            <w:r>
              <w:rPr>
                <w:rFonts w:ascii="宋体" w:hAnsi="宋体" w:cs="宋体" w:hint="eastAsia"/>
                <w:kern w:val="0"/>
                <w:szCs w:val="21"/>
              </w:rPr>
              <w:t>002788（A类）、004398（B类）</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融通新趋势灵活配置混合型证券投资基金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002955（前端）</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w:t>
            </w:r>
            <w:proofErr w:type="gramStart"/>
            <w:r>
              <w:rPr>
                <w:rFonts w:ascii="宋体" w:hAnsi="宋体" w:cs="宋体" w:hint="eastAsia"/>
                <w:kern w:val="0"/>
                <w:szCs w:val="21"/>
              </w:rPr>
              <w:t>通乾研究</w:t>
            </w:r>
            <w:proofErr w:type="gramEnd"/>
            <w:r>
              <w:rPr>
                <w:rFonts w:ascii="宋体" w:hAnsi="宋体" w:cs="宋体" w:hint="eastAsia"/>
                <w:kern w:val="0"/>
                <w:szCs w:val="21"/>
              </w:rPr>
              <w:t>精选灵活配置混合型证券投资基金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002989</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lastRenderedPageBreak/>
              <w:t>融通沪港深智慧生活灵活配置混合型证券投资基金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003279</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w:t>
            </w:r>
            <w:proofErr w:type="gramStart"/>
            <w:r>
              <w:rPr>
                <w:rFonts w:ascii="宋体" w:hAnsi="宋体" w:cs="宋体" w:hint="eastAsia"/>
                <w:kern w:val="0"/>
                <w:szCs w:val="21"/>
              </w:rPr>
              <w:t>通</w:t>
            </w:r>
            <w:proofErr w:type="gramEnd"/>
            <w:r>
              <w:rPr>
                <w:rFonts w:ascii="宋体" w:hAnsi="宋体" w:cs="宋体" w:hint="eastAsia"/>
                <w:kern w:val="0"/>
                <w:szCs w:val="21"/>
              </w:rPr>
              <w:t>润债券型证券投资基金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003650</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融通收益增强债券型证券投资基金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004025（A类）、004026（C类）</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融通逆向策略灵活配置混合型证券投资基金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005067</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融通中国概念债券型证券投资基金（QDII）</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005243</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融通红利机会主题精选灵活配置混合型证券投资基金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005618（A类）、005619（C类）</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融通新能源汽车主题精选灵活配置混合型证券投资基金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005668</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融通研究优选混合型证券投资基金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006084</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融通超短债债券型证券投资基金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007006（A类）、007007（C类）</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融通消费升级混合型证券投资基金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007261</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融通量化多策略灵活配置混合型证券投资基金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007527（A类）、007528（C类）</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融通新蓝筹证券投资基金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161601（前端）</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融通债券投资基金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161603（A类）、161693（C类）</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proofErr w:type="gramStart"/>
            <w:r>
              <w:rPr>
                <w:rFonts w:ascii="宋体" w:hAnsi="宋体" w:cs="宋体" w:hint="eastAsia"/>
                <w:kern w:val="0"/>
                <w:szCs w:val="21"/>
              </w:rPr>
              <w:t>融通深</w:t>
            </w:r>
            <w:proofErr w:type="gramEnd"/>
            <w:r>
              <w:rPr>
                <w:rFonts w:ascii="宋体" w:hAnsi="宋体" w:cs="宋体" w:hint="eastAsia"/>
                <w:kern w:val="0"/>
                <w:szCs w:val="21"/>
              </w:rPr>
              <w:t>证100指数证券投资基金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161604（A类）</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融通蓝</w:t>
            </w:r>
            <w:proofErr w:type="gramStart"/>
            <w:r>
              <w:rPr>
                <w:rFonts w:ascii="宋体" w:hAnsi="宋体" w:cs="宋体" w:hint="eastAsia"/>
                <w:kern w:val="0"/>
                <w:szCs w:val="21"/>
              </w:rPr>
              <w:t>筹成长</w:t>
            </w:r>
            <w:proofErr w:type="gramEnd"/>
            <w:r>
              <w:rPr>
                <w:rFonts w:ascii="宋体" w:hAnsi="宋体" w:cs="宋体" w:hint="eastAsia"/>
                <w:kern w:val="0"/>
                <w:szCs w:val="21"/>
              </w:rPr>
              <w:t>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161605（前端）</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融通行业景气证券投资基金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161606（前端）</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融通巨潮100指数证券投资基金(LOF)</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161607（A类)</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widowControl/>
              <w:rPr>
                <w:rFonts w:ascii="宋体" w:hAnsi="宋体" w:cs="宋体"/>
                <w:kern w:val="0"/>
                <w:szCs w:val="21"/>
              </w:rPr>
            </w:pPr>
            <w:r>
              <w:rPr>
                <w:rFonts w:ascii="宋体" w:hAnsi="宋体" w:cs="宋体" w:hint="eastAsia"/>
                <w:kern w:val="0"/>
                <w:szCs w:val="21"/>
              </w:rPr>
              <w:t>融通</w:t>
            </w:r>
            <w:proofErr w:type="gramStart"/>
            <w:r>
              <w:rPr>
                <w:rFonts w:ascii="宋体" w:hAnsi="宋体" w:cs="宋体" w:hint="eastAsia"/>
                <w:kern w:val="0"/>
                <w:szCs w:val="21"/>
              </w:rPr>
              <w:t>易支付</w:t>
            </w:r>
            <w:proofErr w:type="gramEnd"/>
            <w:r>
              <w:rPr>
                <w:rFonts w:ascii="宋体" w:hAnsi="宋体" w:cs="宋体" w:hint="eastAsia"/>
                <w:kern w:val="0"/>
                <w:szCs w:val="21"/>
              </w:rPr>
              <w:t>货币市场证券投资基金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widowControl/>
              <w:rPr>
                <w:rFonts w:ascii="宋体" w:hAnsi="宋体" w:cs="宋体"/>
                <w:kern w:val="0"/>
                <w:szCs w:val="21"/>
              </w:rPr>
            </w:pPr>
            <w:r>
              <w:rPr>
                <w:rFonts w:ascii="宋体" w:hAnsi="宋体" w:cs="宋体" w:hint="eastAsia"/>
                <w:kern w:val="0"/>
                <w:szCs w:val="21"/>
              </w:rPr>
              <w:t>161608（A类）、161615（B类）</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融通动力先锋混合型证券投资基金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161609（前端）</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融通领先成长混合型证券投资基金（LOF）</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161610（前端）</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融通内需驱动混合型证券投资基金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161611（前端）</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proofErr w:type="gramStart"/>
            <w:r>
              <w:rPr>
                <w:rFonts w:ascii="宋体" w:hAnsi="宋体" w:cs="宋体" w:hint="eastAsia"/>
                <w:kern w:val="0"/>
                <w:szCs w:val="21"/>
              </w:rPr>
              <w:t>融通深</w:t>
            </w:r>
            <w:proofErr w:type="gramEnd"/>
            <w:r>
              <w:rPr>
                <w:rFonts w:ascii="宋体" w:hAnsi="宋体" w:cs="宋体" w:hint="eastAsia"/>
                <w:kern w:val="0"/>
                <w:szCs w:val="21"/>
              </w:rPr>
              <w:t>证成份指数证券投资基金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161612（A类）</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融通创业</w:t>
            </w:r>
            <w:proofErr w:type="gramStart"/>
            <w:r>
              <w:rPr>
                <w:rFonts w:ascii="宋体" w:hAnsi="宋体" w:cs="宋体" w:hint="eastAsia"/>
                <w:kern w:val="0"/>
                <w:szCs w:val="21"/>
              </w:rPr>
              <w:t>板指数</w:t>
            </w:r>
            <w:proofErr w:type="gramEnd"/>
            <w:r>
              <w:rPr>
                <w:rFonts w:ascii="宋体" w:hAnsi="宋体" w:cs="宋体" w:hint="eastAsia"/>
                <w:kern w:val="0"/>
                <w:szCs w:val="21"/>
              </w:rPr>
              <w:t>增强型证券投资基金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161613（A类）</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融通四季添利债券型证券投资基金（LOF）</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161614</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融通医疗保健行业混合型证券投资基金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161616（前端）</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融通岁岁添利定期开放债券型证券投资基金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161618（A类）、161619（B类）</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融通核心价值混合型证券投资基金（QDII）</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161620</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widowControl/>
              <w:rPr>
                <w:rFonts w:ascii="宋体" w:hAnsi="宋体" w:cs="宋体"/>
                <w:kern w:val="0"/>
                <w:szCs w:val="21"/>
              </w:rPr>
            </w:pPr>
            <w:r>
              <w:rPr>
                <w:rFonts w:ascii="宋体" w:hAnsi="宋体" w:cs="宋体" w:hint="eastAsia"/>
                <w:kern w:val="0"/>
                <w:szCs w:val="21"/>
              </w:rPr>
              <w:t>融通汇财宝货币市场基金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widowControl/>
              <w:rPr>
                <w:rFonts w:ascii="宋体" w:hAnsi="宋体" w:cs="宋体"/>
                <w:kern w:val="0"/>
                <w:szCs w:val="21"/>
              </w:rPr>
            </w:pPr>
            <w:r>
              <w:rPr>
                <w:rFonts w:ascii="宋体" w:hAnsi="宋体" w:cs="宋体" w:hint="eastAsia"/>
                <w:kern w:val="0"/>
                <w:szCs w:val="21"/>
              </w:rPr>
              <w:t>161622（A类）、161623（B类）、004399（E类）</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融通可转债债券型证券投资基金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161624（A类）、161625（C类）</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lastRenderedPageBreak/>
              <w:t>融通</w:t>
            </w:r>
            <w:proofErr w:type="gramStart"/>
            <w:r>
              <w:rPr>
                <w:rFonts w:ascii="宋体" w:hAnsi="宋体" w:cs="宋体" w:hint="eastAsia"/>
                <w:kern w:val="0"/>
                <w:szCs w:val="21"/>
              </w:rPr>
              <w:t>通</w:t>
            </w:r>
            <w:proofErr w:type="gramEnd"/>
            <w:r>
              <w:rPr>
                <w:rFonts w:ascii="宋体" w:hAnsi="宋体" w:cs="宋体" w:hint="eastAsia"/>
                <w:kern w:val="0"/>
                <w:szCs w:val="21"/>
              </w:rPr>
              <w:t>福债券型证券投资基金（LOF）</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161626（A类）、161627（C类）</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融通中证军工指数分级证券投资基金投资基金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161628</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w:t>
            </w:r>
            <w:proofErr w:type="gramStart"/>
            <w:r>
              <w:rPr>
                <w:rFonts w:ascii="宋体" w:hAnsi="宋体" w:cs="宋体" w:hint="eastAsia"/>
                <w:kern w:val="0"/>
                <w:szCs w:val="21"/>
              </w:rPr>
              <w:t>中证全指</w:t>
            </w:r>
            <w:proofErr w:type="gramEnd"/>
            <w:r>
              <w:rPr>
                <w:rFonts w:ascii="宋体" w:hAnsi="宋体" w:cs="宋体" w:hint="eastAsia"/>
                <w:kern w:val="0"/>
                <w:szCs w:val="21"/>
              </w:rPr>
              <w:t>证券公司指数分级证券投资基金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161629</w:t>
            </w:r>
          </w:p>
        </w:tc>
      </w:tr>
      <w:tr w:rsidR="00DE5D6C" w:rsidTr="00BD11CF">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融通中证人工智能主题指数证券投资基金（LOF)</w:t>
            </w:r>
          </w:p>
        </w:tc>
        <w:tc>
          <w:tcPr>
            <w:tcW w:w="3260" w:type="dxa"/>
            <w:tcBorders>
              <w:top w:val="single" w:sz="4" w:space="0" w:color="auto"/>
              <w:left w:val="single" w:sz="4" w:space="0" w:color="auto"/>
              <w:bottom w:val="single" w:sz="4" w:space="0" w:color="auto"/>
              <w:right w:val="single" w:sz="4" w:space="0" w:color="auto"/>
            </w:tcBorders>
            <w:noWrap/>
            <w:vAlign w:val="center"/>
          </w:tcPr>
          <w:p w:rsidR="00DE5D6C" w:rsidRDefault="00DE5D6C" w:rsidP="00BD11CF">
            <w:pPr>
              <w:spacing w:line="360" w:lineRule="auto"/>
              <w:jc w:val="left"/>
              <w:rPr>
                <w:rFonts w:ascii="宋体" w:hAnsi="宋体" w:cs="宋体"/>
                <w:kern w:val="0"/>
                <w:szCs w:val="21"/>
              </w:rPr>
            </w:pPr>
            <w:r>
              <w:rPr>
                <w:rFonts w:ascii="宋体" w:hAnsi="宋体" w:cs="宋体" w:hint="eastAsia"/>
                <w:kern w:val="0"/>
                <w:szCs w:val="21"/>
              </w:rPr>
              <w:t>161631</w:t>
            </w:r>
          </w:p>
        </w:tc>
      </w:tr>
    </w:tbl>
    <w:p w:rsidR="00DE5D6C" w:rsidRDefault="00DE5D6C" w:rsidP="00DE5D6C">
      <w:pPr>
        <w:spacing w:line="360" w:lineRule="auto"/>
        <w:ind w:firstLineChars="200" w:firstLine="420"/>
        <w:rPr>
          <w:rFonts w:ascii="宋体" w:hAnsi="宋体"/>
          <w:szCs w:val="21"/>
        </w:rPr>
      </w:pPr>
      <w:r>
        <w:rPr>
          <w:rFonts w:ascii="宋体" w:hAnsi="宋体" w:hint="eastAsia"/>
          <w:szCs w:val="21"/>
        </w:rPr>
        <w:t>注：1、</w:t>
      </w:r>
      <w:r>
        <w:rPr>
          <w:rFonts w:ascii="宋体" w:hAnsi="宋体" w:cs="宋体" w:hint="eastAsia"/>
          <w:kern w:val="0"/>
          <w:szCs w:val="21"/>
        </w:rPr>
        <w:t>融通增强收益债券型证券投资基金、融通月月添利定期开放债券型证券投资基金、融通</w:t>
      </w:r>
      <w:proofErr w:type="gramStart"/>
      <w:r>
        <w:rPr>
          <w:rFonts w:ascii="宋体" w:hAnsi="宋体" w:cs="宋体" w:hint="eastAsia"/>
          <w:kern w:val="0"/>
          <w:szCs w:val="21"/>
        </w:rPr>
        <w:t>通鑫</w:t>
      </w:r>
      <w:proofErr w:type="gramEnd"/>
      <w:r>
        <w:rPr>
          <w:rFonts w:ascii="宋体" w:hAnsi="宋体" w:cs="宋体" w:hint="eastAsia"/>
          <w:kern w:val="0"/>
          <w:szCs w:val="21"/>
        </w:rPr>
        <w:t>灵活配置混合型证券投资基金</w:t>
      </w:r>
      <w:r>
        <w:rPr>
          <w:rFonts w:ascii="宋体" w:hAnsi="宋体" w:hint="eastAsia"/>
          <w:szCs w:val="21"/>
        </w:rPr>
        <w:t>、</w:t>
      </w:r>
      <w:r>
        <w:rPr>
          <w:rFonts w:ascii="宋体" w:hAnsi="宋体" w:cs="宋体" w:hint="eastAsia"/>
          <w:kern w:val="0"/>
          <w:szCs w:val="21"/>
        </w:rPr>
        <w:t>融通</w:t>
      </w:r>
      <w:proofErr w:type="gramStart"/>
      <w:r>
        <w:rPr>
          <w:rFonts w:ascii="宋体" w:hAnsi="宋体" w:cs="宋体" w:hint="eastAsia"/>
          <w:kern w:val="0"/>
          <w:szCs w:val="21"/>
        </w:rPr>
        <w:t>易支付</w:t>
      </w:r>
      <w:proofErr w:type="gramEnd"/>
      <w:r>
        <w:rPr>
          <w:rFonts w:ascii="宋体" w:hAnsi="宋体" w:cs="宋体" w:hint="eastAsia"/>
          <w:kern w:val="0"/>
          <w:szCs w:val="21"/>
        </w:rPr>
        <w:t>货币市场证券投资基金B类、融通汇财宝货币市场基金A/B类、融通</w:t>
      </w:r>
      <w:proofErr w:type="gramStart"/>
      <w:r>
        <w:rPr>
          <w:rFonts w:ascii="宋体" w:hAnsi="宋体" w:cs="宋体" w:hint="eastAsia"/>
          <w:kern w:val="0"/>
          <w:szCs w:val="21"/>
        </w:rPr>
        <w:t>通</w:t>
      </w:r>
      <w:proofErr w:type="gramEnd"/>
      <w:r>
        <w:rPr>
          <w:rFonts w:ascii="宋体" w:hAnsi="宋体" w:cs="宋体" w:hint="eastAsia"/>
          <w:kern w:val="0"/>
          <w:szCs w:val="21"/>
        </w:rPr>
        <w:t>盈灵活配置混合型证券投资基金、</w:t>
      </w:r>
      <w:r>
        <w:rPr>
          <w:rFonts w:ascii="宋体" w:hAnsi="宋体" w:hint="eastAsia"/>
          <w:szCs w:val="21"/>
        </w:rPr>
        <w:t>融通岁岁添利定期开放债券型证券投资基金、</w:t>
      </w:r>
      <w:r>
        <w:rPr>
          <w:rFonts w:ascii="宋体" w:hAnsi="宋体" w:cs="宋体" w:hint="eastAsia"/>
          <w:kern w:val="0"/>
          <w:szCs w:val="21"/>
        </w:rPr>
        <w:t>融通</w:t>
      </w:r>
      <w:proofErr w:type="gramStart"/>
      <w:r>
        <w:rPr>
          <w:rFonts w:ascii="宋体" w:hAnsi="宋体" w:cs="宋体" w:hint="eastAsia"/>
          <w:kern w:val="0"/>
          <w:szCs w:val="21"/>
        </w:rPr>
        <w:t>通</w:t>
      </w:r>
      <w:proofErr w:type="gramEnd"/>
      <w:r>
        <w:rPr>
          <w:rFonts w:ascii="宋体" w:hAnsi="宋体" w:cs="宋体" w:hint="eastAsia"/>
          <w:kern w:val="0"/>
          <w:szCs w:val="21"/>
        </w:rPr>
        <w:t>福债券型证券投资基金（LOF）暂不</w:t>
      </w:r>
      <w:r>
        <w:rPr>
          <w:rFonts w:ascii="宋体" w:hAnsi="宋体" w:hint="eastAsia"/>
          <w:szCs w:val="21"/>
        </w:rPr>
        <w:t>开通定期定额投资业务。</w:t>
      </w:r>
    </w:p>
    <w:p w:rsidR="00DE5D6C" w:rsidRDefault="00DE5D6C" w:rsidP="00DE5D6C">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、融通中国概念债券型证券投资基金（QDII）、</w:t>
      </w:r>
      <w:r>
        <w:rPr>
          <w:rFonts w:ascii="宋体" w:hAnsi="宋体" w:cs="宋体" w:hint="eastAsia"/>
          <w:kern w:val="0"/>
          <w:szCs w:val="21"/>
        </w:rPr>
        <w:t>融通核心价值混合型证券投资基金（QDII）、融通</w:t>
      </w:r>
      <w:proofErr w:type="gramStart"/>
      <w:r>
        <w:rPr>
          <w:rFonts w:ascii="宋体" w:hAnsi="宋体" w:cs="宋体" w:hint="eastAsia"/>
          <w:kern w:val="0"/>
          <w:szCs w:val="21"/>
        </w:rPr>
        <w:t>通</w:t>
      </w:r>
      <w:proofErr w:type="gramEnd"/>
      <w:r>
        <w:rPr>
          <w:rFonts w:ascii="宋体" w:hAnsi="宋体" w:cs="宋体" w:hint="eastAsia"/>
          <w:kern w:val="0"/>
          <w:szCs w:val="21"/>
        </w:rPr>
        <w:t>福债券型证券投资基金（LOF）</w:t>
      </w:r>
      <w:r>
        <w:rPr>
          <w:rFonts w:ascii="宋体" w:hAnsi="宋体" w:hint="eastAsia"/>
          <w:szCs w:val="21"/>
        </w:rPr>
        <w:t>暂不开通转换业务。</w:t>
      </w:r>
    </w:p>
    <w:p w:rsidR="00DE5D6C" w:rsidRDefault="00DE5D6C" w:rsidP="00DE5D6C">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、融通岁岁添利定期开放债券型证券投资基金、</w:t>
      </w:r>
      <w:r>
        <w:rPr>
          <w:rFonts w:ascii="宋体" w:hAnsi="宋体" w:cs="宋体" w:hint="eastAsia"/>
          <w:kern w:val="0"/>
          <w:szCs w:val="21"/>
        </w:rPr>
        <w:t>融通月月添利定期开放债券型证券投资基金</w:t>
      </w:r>
      <w:r>
        <w:rPr>
          <w:rFonts w:ascii="宋体" w:hAnsi="宋体" w:hint="eastAsia"/>
          <w:szCs w:val="21"/>
        </w:rPr>
        <w:t>目前处于封闭期，开放时间请留意后续相关公告。</w:t>
      </w:r>
    </w:p>
    <w:p w:rsidR="00DE5D6C" w:rsidRDefault="00DE5D6C" w:rsidP="00DE5D6C">
      <w:pPr>
        <w:snapToGrid w:val="0"/>
        <w:spacing w:line="360" w:lineRule="auto"/>
        <w:ind w:firstLine="560"/>
        <w:rPr>
          <w:rFonts w:ascii="宋体" w:hAnsi="宋体"/>
          <w:szCs w:val="21"/>
        </w:rPr>
      </w:pPr>
    </w:p>
    <w:p w:rsidR="00DE5D6C" w:rsidRDefault="00DE5D6C" w:rsidP="00DE5D6C">
      <w:pPr>
        <w:spacing w:line="360" w:lineRule="auto"/>
        <w:ind w:firstLineChars="200" w:firstLine="420"/>
        <w:rPr>
          <w:rFonts w:ascii="宋体" w:hAnsi="宋体"/>
          <w:szCs w:val="21"/>
        </w:rPr>
      </w:pPr>
      <w:r>
        <w:rPr>
          <w:rFonts w:ascii="宋体" w:hAnsi="宋体" w:hint="eastAsia"/>
          <w:szCs w:val="21"/>
        </w:rPr>
        <w:t>二、费率优惠内容：</w:t>
      </w:r>
    </w:p>
    <w:p w:rsidR="00DE5D6C" w:rsidRDefault="00DE5D6C" w:rsidP="00DE5D6C">
      <w:pPr>
        <w:spacing w:line="360" w:lineRule="auto"/>
        <w:ind w:firstLine="480"/>
        <w:rPr>
          <w:rFonts w:ascii="宋体" w:hAnsi="宋体"/>
          <w:szCs w:val="21"/>
        </w:rPr>
      </w:pPr>
      <w:r>
        <w:rPr>
          <w:rFonts w:ascii="宋体" w:hAnsi="宋体" w:hint="eastAsia"/>
          <w:szCs w:val="21"/>
        </w:rPr>
        <w:t>1、申购费率优惠：</w:t>
      </w:r>
    </w:p>
    <w:p w:rsidR="00DE5D6C" w:rsidRDefault="00DE5D6C" w:rsidP="00DE5D6C">
      <w:pPr>
        <w:spacing w:line="360" w:lineRule="auto"/>
        <w:ind w:firstLine="480"/>
        <w:rPr>
          <w:rFonts w:ascii="宋体" w:hAnsi="宋体"/>
          <w:szCs w:val="21"/>
        </w:rPr>
      </w:pPr>
      <w:r>
        <w:rPr>
          <w:rFonts w:ascii="宋体" w:hAnsi="宋体" w:hint="eastAsia"/>
          <w:szCs w:val="21"/>
        </w:rPr>
        <w:t>自本公告日起，投资者通过玄元保险申购或定期定额申购上述基金，其申购费率享有最低至1折的优惠，各基金具体折扣费率以玄元保险活动公告为准。若申购费率是固定费用的，则按固定费用执行，不再享有费率折扣。</w:t>
      </w:r>
    </w:p>
    <w:p w:rsidR="00DE5D6C" w:rsidRDefault="00DE5D6C" w:rsidP="00DE5D6C">
      <w:pPr>
        <w:spacing w:line="360" w:lineRule="auto"/>
        <w:ind w:firstLine="480"/>
        <w:rPr>
          <w:rFonts w:ascii="宋体" w:hAnsi="宋体"/>
          <w:szCs w:val="21"/>
        </w:rPr>
      </w:pPr>
      <w:r>
        <w:rPr>
          <w:rFonts w:ascii="宋体" w:hAnsi="宋体" w:hint="eastAsia"/>
          <w:szCs w:val="21"/>
        </w:rPr>
        <w:t>申购费率优惠活动仅适用于处于正常申购期的基金产品的前端收费模式的申购手续费，不包括各基金的后端收费模式的申购手续费和处于基金募集期的基金认购费</w:t>
      </w:r>
      <w:r>
        <w:rPr>
          <w:rFonts w:ascii="宋体" w:hAnsi="宋体" w:cs="Arial" w:hint="eastAsia"/>
          <w:szCs w:val="21"/>
        </w:rPr>
        <w:t>及</w:t>
      </w:r>
      <w:r>
        <w:rPr>
          <w:rFonts w:ascii="宋体" w:hAnsi="宋体" w:cs="Arial"/>
          <w:szCs w:val="21"/>
        </w:rPr>
        <w:t>基金转换业务</w:t>
      </w:r>
      <w:r>
        <w:rPr>
          <w:rFonts w:ascii="宋体" w:hAnsi="宋体" w:hint="eastAsia"/>
          <w:szCs w:val="21"/>
        </w:rPr>
        <w:t>等其他业务的基金手续费。</w:t>
      </w:r>
    </w:p>
    <w:p w:rsidR="00DE5D6C" w:rsidRDefault="00DE5D6C" w:rsidP="00DE5D6C">
      <w:pPr>
        <w:spacing w:line="360" w:lineRule="auto"/>
        <w:ind w:firstLineChars="200" w:firstLine="420"/>
        <w:rPr>
          <w:rFonts w:ascii="宋体" w:hAnsi="宋体"/>
          <w:szCs w:val="21"/>
        </w:rPr>
      </w:pPr>
      <w:r>
        <w:rPr>
          <w:rFonts w:ascii="宋体" w:hAnsi="宋体" w:hint="eastAsia"/>
          <w:szCs w:val="21"/>
        </w:rPr>
        <w:t>2、关于本次优惠活动的结束时间，经本公司与玄元保险协商一致后，将另行公告。相关业务规则如有变动，请以玄元保险的最新规定为准。</w:t>
      </w:r>
    </w:p>
    <w:p w:rsidR="00DE5D6C" w:rsidRDefault="00DE5D6C" w:rsidP="00DE5D6C">
      <w:pPr>
        <w:spacing w:line="360" w:lineRule="auto"/>
        <w:ind w:firstLineChars="200" w:firstLine="420"/>
        <w:rPr>
          <w:rFonts w:ascii="宋体" w:hAnsi="宋体"/>
          <w:szCs w:val="21"/>
        </w:rPr>
      </w:pPr>
      <w:r>
        <w:rPr>
          <w:rFonts w:ascii="宋体" w:hAnsi="宋体" w:hint="eastAsia"/>
          <w:szCs w:val="21"/>
        </w:rPr>
        <w:t>3、上述适用基金的</w:t>
      </w:r>
      <w:proofErr w:type="gramStart"/>
      <w:r>
        <w:rPr>
          <w:rFonts w:ascii="宋体" w:hAnsi="宋体" w:hint="eastAsia"/>
          <w:szCs w:val="21"/>
        </w:rPr>
        <w:t>原相关</w:t>
      </w:r>
      <w:proofErr w:type="gramEnd"/>
      <w:r>
        <w:rPr>
          <w:rFonts w:ascii="宋体" w:hAnsi="宋体" w:hint="eastAsia"/>
          <w:szCs w:val="21"/>
        </w:rPr>
        <w:t>费率参见各基金的相关法律文件及本公司发布的最新相关公告。</w:t>
      </w:r>
    </w:p>
    <w:p w:rsidR="00DE5D6C" w:rsidRDefault="00DE5D6C" w:rsidP="00DE5D6C">
      <w:pPr>
        <w:snapToGrid w:val="0"/>
        <w:spacing w:line="360" w:lineRule="auto"/>
        <w:ind w:firstLine="560"/>
      </w:pPr>
    </w:p>
    <w:p w:rsidR="00DE5D6C" w:rsidRDefault="00DE5D6C" w:rsidP="00DE5D6C">
      <w:pPr>
        <w:pStyle w:val="a3"/>
        <w:spacing w:before="0" w:beforeAutospacing="0" w:after="0" w:afterAutospacing="0" w:line="360" w:lineRule="auto"/>
        <w:ind w:firstLine="420"/>
        <w:jc w:val="both"/>
        <w:rPr>
          <w:rFonts w:ascii="Times New Roman" w:hAnsi="Times New Roman" w:cs="Times New Roman"/>
          <w:sz w:val="21"/>
          <w:szCs w:val="21"/>
        </w:rPr>
      </w:pPr>
      <w:r>
        <w:rPr>
          <w:rFonts w:ascii="Times New Roman" w:hAnsi="Times New Roman" w:cs="Times New Roman" w:hint="eastAsia"/>
          <w:sz w:val="21"/>
          <w:szCs w:val="21"/>
        </w:rPr>
        <w:t>三、其他提示：</w:t>
      </w:r>
    </w:p>
    <w:p w:rsidR="00DE5D6C" w:rsidRDefault="00DE5D6C" w:rsidP="00DE5D6C">
      <w:pPr>
        <w:spacing w:line="360" w:lineRule="auto"/>
        <w:ind w:firstLineChars="200" w:firstLine="420"/>
        <w:rPr>
          <w:rFonts w:ascii="宋体" w:hAnsi="宋体"/>
          <w:szCs w:val="21"/>
        </w:rPr>
      </w:pPr>
      <w:r>
        <w:rPr>
          <w:rFonts w:ascii="宋体" w:hAnsi="宋体" w:hint="eastAsia"/>
          <w:szCs w:val="21"/>
        </w:rPr>
        <w:t>1、投资者通过玄元保险办理上述基金的定期定额投资业务，具体程序和业务规则详见玄元保险的相关规定，费率情况详见基金相关的临时公告及更新的招募说明书。如基金定期定额投资业务规则有变动，请以玄元保险最新规定为准。</w:t>
      </w:r>
    </w:p>
    <w:p w:rsidR="00DE5D6C" w:rsidRDefault="00DE5D6C" w:rsidP="00DE5D6C">
      <w:pPr>
        <w:spacing w:line="360" w:lineRule="auto"/>
        <w:ind w:firstLineChars="200" w:firstLine="420"/>
        <w:rPr>
          <w:rFonts w:ascii="宋体" w:hAnsi="宋体"/>
          <w:szCs w:val="21"/>
        </w:rPr>
      </w:pPr>
      <w:r>
        <w:rPr>
          <w:rFonts w:ascii="宋体" w:hAnsi="宋体" w:hint="eastAsia"/>
          <w:szCs w:val="21"/>
        </w:rPr>
        <w:lastRenderedPageBreak/>
        <w:t>2、投资者通过玄元保险办理本公司旗下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换业务规则、转换费率详见各基金相关的临时公告及更新的招募说明书。</w:t>
      </w:r>
    </w:p>
    <w:p w:rsidR="00DE5D6C" w:rsidRDefault="00DE5D6C" w:rsidP="00DE5D6C">
      <w:pPr>
        <w:spacing w:line="360" w:lineRule="auto"/>
        <w:ind w:firstLineChars="200" w:firstLine="420"/>
        <w:rPr>
          <w:rFonts w:ascii="宋体" w:hAnsi="宋体"/>
          <w:szCs w:val="21"/>
        </w:rPr>
      </w:pPr>
      <w:r>
        <w:rPr>
          <w:rFonts w:ascii="宋体" w:hAnsi="宋体" w:hint="eastAsia"/>
          <w:szCs w:val="21"/>
        </w:rPr>
        <w:t>3、本公司基金转换业务的解释权归本公司。相关业务规则如有变动，请以本公司最新发布的公告为准。</w:t>
      </w:r>
    </w:p>
    <w:p w:rsidR="00DE5D6C" w:rsidRDefault="00DE5D6C" w:rsidP="00DE5D6C">
      <w:pPr>
        <w:spacing w:line="360" w:lineRule="auto"/>
        <w:ind w:firstLineChars="200" w:firstLine="420"/>
        <w:rPr>
          <w:rFonts w:ascii="宋体" w:hAnsi="宋体"/>
          <w:szCs w:val="21"/>
        </w:rPr>
      </w:pPr>
      <w:r>
        <w:rPr>
          <w:rFonts w:ascii="宋体" w:hAnsi="宋体" w:hint="eastAsia"/>
          <w:szCs w:val="21"/>
        </w:rPr>
        <w:t>4、投资者欲了解上述各基金的详细情况，请仔细阅读各基金《基金合同》和《招募说明书》（及其更新）等法律文件。</w:t>
      </w:r>
    </w:p>
    <w:p w:rsidR="00DE5D6C" w:rsidRDefault="00DE5D6C" w:rsidP="00DE5D6C">
      <w:pPr>
        <w:spacing w:line="360" w:lineRule="auto"/>
        <w:ind w:firstLineChars="200" w:firstLine="420"/>
        <w:rPr>
          <w:rFonts w:ascii="宋体" w:hAnsi="宋体"/>
          <w:szCs w:val="21"/>
        </w:rPr>
      </w:pPr>
    </w:p>
    <w:p w:rsidR="00DE5D6C" w:rsidRDefault="00DE5D6C" w:rsidP="00DE5D6C">
      <w:pPr>
        <w:spacing w:line="360" w:lineRule="auto"/>
        <w:ind w:firstLineChars="200" w:firstLine="420"/>
        <w:rPr>
          <w:rFonts w:ascii="宋体" w:hAnsi="宋体"/>
          <w:szCs w:val="21"/>
        </w:rPr>
      </w:pPr>
      <w:r>
        <w:rPr>
          <w:rFonts w:ascii="宋体" w:hAnsi="宋体" w:hint="eastAsia"/>
          <w:szCs w:val="21"/>
        </w:rPr>
        <w:t>四、投资者可通过以下途径咨询有关详情：</w:t>
      </w:r>
    </w:p>
    <w:p w:rsidR="00DE5D6C" w:rsidRDefault="00DE5D6C" w:rsidP="00DE5D6C">
      <w:pPr>
        <w:pStyle w:val="a3"/>
        <w:spacing w:before="0" w:beforeAutospacing="0" w:after="0" w:afterAutospacing="0" w:line="360" w:lineRule="auto"/>
        <w:ind w:firstLineChars="200" w:firstLine="420"/>
        <w:rPr>
          <w:rStyle w:val="txtcontent11"/>
        </w:rPr>
      </w:pPr>
      <w:r>
        <w:rPr>
          <w:rStyle w:val="txtcontent11"/>
          <w:rFonts w:hint="eastAsia"/>
        </w:rPr>
        <w:t>1</w:t>
      </w:r>
      <w:r>
        <w:rPr>
          <w:rStyle w:val="txtcontent11"/>
          <w:rFonts w:hint="eastAsia"/>
        </w:rPr>
        <w:t>、玄元保险代理有限公司</w:t>
      </w:r>
    </w:p>
    <w:p w:rsidR="00DE5D6C" w:rsidRDefault="00DE5D6C" w:rsidP="00DE5D6C">
      <w:pPr>
        <w:pStyle w:val="a3"/>
        <w:spacing w:before="0" w:beforeAutospacing="0" w:after="0" w:afterAutospacing="0" w:line="360" w:lineRule="auto"/>
        <w:ind w:firstLineChars="200" w:firstLine="420"/>
        <w:rPr>
          <w:rStyle w:val="txtcontent11"/>
        </w:rPr>
      </w:pPr>
      <w:r>
        <w:rPr>
          <w:rStyle w:val="txtcontent11"/>
          <w:rFonts w:hint="eastAsia"/>
        </w:rPr>
        <w:t>客服热线：</w:t>
      </w:r>
      <w:r>
        <w:rPr>
          <w:rStyle w:val="txtcontent11"/>
          <w:rFonts w:cs="Times New Roman" w:hint="eastAsia"/>
          <w:kern w:val="2"/>
        </w:rPr>
        <w:t>400-080-8208</w:t>
      </w:r>
      <w:r>
        <w:rPr>
          <w:rStyle w:val="txtcontent11"/>
          <w:rFonts w:cs="Times New Roman" w:hint="eastAsia"/>
          <w:kern w:val="2"/>
        </w:rPr>
        <w:t>；</w:t>
      </w:r>
    </w:p>
    <w:p w:rsidR="00DE5D6C" w:rsidRDefault="00DE5D6C" w:rsidP="00DE5D6C">
      <w:pPr>
        <w:ind w:firstLineChars="200" w:firstLine="420"/>
        <w:rPr>
          <w:rStyle w:val="txtcontent11"/>
          <w:rFonts w:cs="宋体"/>
          <w:kern w:val="0"/>
        </w:rPr>
      </w:pPr>
      <w:r>
        <w:rPr>
          <w:rStyle w:val="txtcontent11"/>
          <w:rFonts w:cs="宋体" w:hint="eastAsia"/>
          <w:kern w:val="0"/>
        </w:rPr>
        <w:t>网站：</w:t>
      </w:r>
      <w:r>
        <w:rPr>
          <w:rStyle w:val="txtcontent11"/>
          <w:rFonts w:ascii="宋体" w:hAnsi="宋体" w:hint="eastAsia"/>
        </w:rPr>
        <w:t>www</w:t>
      </w:r>
      <w:r>
        <w:rPr>
          <w:rStyle w:val="txtcontent11"/>
          <w:rFonts w:ascii="宋体" w:hAnsi="宋体"/>
        </w:rPr>
        <w:t>.</w:t>
      </w:r>
      <w:r>
        <w:rPr>
          <w:rStyle w:val="txtcontent11"/>
          <w:rFonts w:ascii="宋体" w:hAnsi="宋体" w:hint="eastAsia"/>
        </w:rPr>
        <w:t>100bbx</w:t>
      </w:r>
      <w:r>
        <w:rPr>
          <w:rStyle w:val="txtcontent11"/>
          <w:rFonts w:ascii="宋体" w:hAnsi="宋体"/>
        </w:rPr>
        <w:t>.</w:t>
      </w:r>
      <w:r>
        <w:rPr>
          <w:rStyle w:val="txtcontent11"/>
          <w:rFonts w:ascii="宋体" w:hAnsi="宋体" w:hint="eastAsia"/>
        </w:rPr>
        <w:t>com。</w:t>
      </w:r>
    </w:p>
    <w:p w:rsidR="00DE5D6C" w:rsidRDefault="00DE5D6C" w:rsidP="00DE5D6C">
      <w:pPr>
        <w:adjustRightInd w:val="0"/>
        <w:snapToGrid w:val="0"/>
        <w:spacing w:line="360" w:lineRule="auto"/>
        <w:ind w:firstLineChars="200" w:firstLine="420"/>
        <w:rPr>
          <w:rStyle w:val="txtcontent11"/>
          <w:rFonts w:ascii="宋体" w:hAnsi="宋体"/>
        </w:rPr>
      </w:pPr>
      <w:r>
        <w:rPr>
          <w:rStyle w:val="txtcontent11"/>
          <w:rFonts w:ascii="宋体" w:hAnsi="宋体" w:hint="eastAsia"/>
        </w:rPr>
        <w:t>2、融通基金管理有限公司</w:t>
      </w:r>
    </w:p>
    <w:p w:rsidR="00DE5D6C" w:rsidRDefault="00DE5D6C" w:rsidP="00DE5D6C">
      <w:pPr>
        <w:adjustRightInd w:val="0"/>
        <w:snapToGrid w:val="0"/>
        <w:spacing w:line="360" w:lineRule="auto"/>
        <w:ind w:firstLineChars="200" w:firstLine="420"/>
        <w:rPr>
          <w:rStyle w:val="txtcontent11"/>
          <w:rFonts w:ascii="宋体" w:hAnsi="宋体"/>
        </w:rPr>
      </w:pPr>
      <w:r>
        <w:rPr>
          <w:rStyle w:val="txtcontent11"/>
          <w:rFonts w:ascii="宋体" w:hAnsi="宋体" w:hint="eastAsia"/>
        </w:rPr>
        <w:t>客服热线：400-883-8088（免长途话费）、0755-26948088；</w:t>
      </w:r>
    </w:p>
    <w:p w:rsidR="00DE5D6C" w:rsidRDefault="00DE5D6C" w:rsidP="00DE5D6C">
      <w:pPr>
        <w:adjustRightInd w:val="0"/>
        <w:snapToGrid w:val="0"/>
        <w:spacing w:line="360" w:lineRule="auto"/>
        <w:ind w:firstLineChars="200" w:firstLine="420"/>
        <w:rPr>
          <w:rStyle w:val="txtcontent11"/>
          <w:rFonts w:ascii="宋体" w:hAnsi="宋体"/>
        </w:rPr>
      </w:pPr>
      <w:r>
        <w:rPr>
          <w:rStyle w:val="txtcontent11"/>
          <w:rFonts w:ascii="宋体" w:hAnsi="宋体" w:hint="eastAsia"/>
        </w:rPr>
        <w:t>网站：</w:t>
      </w:r>
      <w:hyperlink r:id="rId5" w:history="1">
        <w:r>
          <w:rPr>
            <w:rStyle w:val="txtcontent11"/>
            <w:rFonts w:ascii="宋体" w:hAnsi="宋体" w:hint="eastAsia"/>
          </w:rPr>
          <w:t>www.rtfund.com</w:t>
        </w:r>
      </w:hyperlink>
      <w:r>
        <w:rPr>
          <w:rStyle w:val="txtcontent11"/>
          <w:rFonts w:ascii="宋体" w:hAnsi="宋体" w:hint="eastAsia"/>
        </w:rPr>
        <w:t>。</w:t>
      </w:r>
    </w:p>
    <w:p w:rsidR="00DE5D6C" w:rsidRDefault="00DE5D6C" w:rsidP="00DE5D6C">
      <w:pPr>
        <w:spacing w:line="360" w:lineRule="auto"/>
        <w:ind w:firstLineChars="200" w:firstLine="420"/>
        <w:rPr>
          <w:rFonts w:ascii="宋体" w:hAnsi="宋体"/>
          <w:szCs w:val="21"/>
        </w:rPr>
      </w:pPr>
    </w:p>
    <w:p w:rsidR="00DE5D6C" w:rsidRDefault="00DE5D6C" w:rsidP="00DE5D6C">
      <w:pPr>
        <w:spacing w:line="360" w:lineRule="auto"/>
        <w:ind w:firstLineChars="200" w:firstLine="420"/>
        <w:rPr>
          <w:rFonts w:ascii="宋体" w:hAnsi="宋体"/>
          <w:szCs w:val="21"/>
        </w:rPr>
      </w:pPr>
      <w:r>
        <w:rPr>
          <w:rFonts w:ascii="宋体" w:hAnsi="宋体" w:hint="eastAsia"/>
          <w:szCs w:val="21"/>
        </w:rPr>
        <w:t>五、风险提示：</w:t>
      </w:r>
    </w:p>
    <w:p w:rsidR="00DE5D6C" w:rsidRDefault="00DE5D6C" w:rsidP="00DE5D6C">
      <w:pPr>
        <w:spacing w:line="360" w:lineRule="auto"/>
        <w:ind w:firstLineChars="200" w:firstLine="420"/>
        <w:rPr>
          <w:rStyle w:val="txtcontent11"/>
          <w:rFonts w:ascii="宋体" w:hAnsi="宋体"/>
        </w:rPr>
      </w:pPr>
      <w:r>
        <w:rPr>
          <w:rStyle w:val="txtcontent11"/>
          <w:rFonts w:ascii="宋体" w:hAnsi="宋体" w:hint="eastAsia"/>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DE5D6C" w:rsidRDefault="00DE5D6C" w:rsidP="00DE5D6C">
      <w:pPr>
        <w:snapToGrid w:val="0"/>
        <w:spacing w:line="360" w:lineRule="auto"/>
        <w:ind w:firstLineChars="2400" w:firstLine="5040"/>
        <w:jc w:val="right"/>
        <w:rPr>
          <w:rFonts w:ascii="宋体" w:hAnsi="宋体"/>
          <w:szCs w:val="21"/>
        </w:rPr>
      </w:pPr>
      <w:r>
        <w:rPr>
          <w:rFonts w:ascii="宋体" w:hAnsi="宋体"/>
          <w:szCs w:val="21"/>
        </w:rPr>
        <w:t xml:space="preserve"> </w:t>
      </w:r>
      <w:r>
        <w:rPr>
          <w:rFonts w:ascii="宋体" w:hAnsi="宋体" w:hint="eastAsia"/>
          <w:szCs w:val="21"/>
        </w:rPr>
        <w:t>融通基金管理有限公司</w:t>
      </w:r>
    </w:p>
    <w:p w:rsidR="00DE5D6C" w:rsidRDefault="00DE5D6C" w:rsidP="00DE5D6C">
      <w:pPr>
        <w:spacing w:line="360" w:lineRule="auto"/>
        <w:jc w:val="right"/>
        <w:rPr>
          <w:rFonts w:ascii="宋体" w:hAnsi="宋体"/>
          <w:szCs w:val="21"/>
        </w:rPr>
      </w:pPr>
      <w:r>
        <w:rPr>
          <w:rFonts w:ascii="宋体" w:hAnsi="宋体" w:hint="eastAsia"/>
          <w:szCs w:val="21"/>
        </w:rPr>
        <w:t>二〇二〇年二月二十日</w:t>
      </w:r>
    </w:p>
    <w:p w:rsidR="00DE5D6C" w:rsidRDefault="00DE5D6C" w:rsidP="00DE5D6C"/>
    <w:p w:rsidR="009632DE" w:rsidRDefault="009632DE"/>
    <w:sectPr w:rsidR="009632DE" w:rsidSect="00814D32">
      <w:pgSz w:w="11906" w:h="16838"/>
      <w:pgMar w:top="1440" w:right="1800" w:bottom="1246"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94F1E"/>
    <w:multiLevelType w:val="multilevel"/>
    <w:tmpl w:val="63394F1E"/>
    <w:lvl w:ilvl="0">
      <w:start w:val="1"/>
      <w:numFmt w:val="japaneseCounting"/>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5D6C"/>
    <w:rsid w:val="009632DE"/>
    <w:rsid w:val="00DE5D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D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content11">
    <w:name w:val="txtcontent11"/>
    <w:rsid w:val="00DE5D6C"/>
    <w:rPr>
      <w:rFonts w:ascii="ˎ̥" w:hAnsi="ˎ̥" w:hint="default"/>
      <w:b w:val="0"/>
      <w:bCs w:val="0"/>
      <w:color w:val="000000"/>
      <w:sz w:val="21"/>
      <w:szCs w:val="21"/>
    </w:rPr>
  </w:style>
  <w:style w:type="paragraph" w:styleId="a3">
    <w:name w:val="Normal (Web)"/>
    <w:basedOn w:val="a"/>
    <w:uiPriority w:val="99"/>
    <w:unhideWhenUsed/>
    <w:rsid w:val="00DE5D6C"/>
    <w:pPr>
      <w:widowControl/>
      <w:spacing w:before="100" w:beforeAutospacing="1" w:after="100" w:afterAutospacing="1"/>
      <w:jc w:val="left"/>
    </w:pPr>
    <w:rPr>
      <w:rFonts w:ascii="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tf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495</Words>
  <Characters>2824</Characters>
  <Application>Microsoft Office Word</Application>
  <DocSecurity>0</DocSecurity>
  <Lines>23</Lines>
  <Paragraphs>6</Paragraphs>
  <ScaleCrop>false</ScaleCrop>
  <Company>Microsoft</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wujj2</dc:creator>
  <cp:lastModifiedBy>wujj2</cp:lastModifiedBy>
  <cp:revision>1</cp:revision>
  <dcterms:created xsi:type="dcterms:W3CDTF">2020-02-19T22:56:00Z</dcterms:created>
  <dcterms:modified xsi:type="dcterms:W3CDTF">2020-02-19T22:57:00Z</dcterms:modified>
</cp:coreProperties>
</file>