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03" w:rsidRDefault="00E53C03" w:rsidP="005E5EDC">
      <w:pPr>
        <w:spacing w:line="360" w:lineRule="auto"/>
        <w:jc w:val="center"/>
        <w:rPr>
          <w:rFonts w:ascii="ˎ̥" w:eastAsia="宋体" w:hAnsi="ˎ̥" w:cs="Times New Roman" w:hint="eastAsia"/>
          <w:b/>
          <w:bCs/>
          <w:color w:val="000000"/>
          <w:sz w:val="24"/>
          <w:szCs w:val="24"/>
        </w:rPr>
      </w:pPr>
      <w:r w:rsidRPr="00E53C03">
        <w:rPr>
          <w:rFonts w:ascii="ˎ̥" w:eastAsia="宋体" w:hAnsi="ˎ̥" w:cs="Times New Roman" w:hint="eastAsia"/>
          <w:b/>
          <w:bCs/>
          <w:color w:val="000000"/>
          <w:sz w:val="24"/>
          <w:szCs w:val="24"/>
        </w:rPr>
        <w:t>南方基金关于旗下部分基金参加邮储银行个人网上银行和手机银行</w:t>
      </w:r>
    </w:p>
    <w:p w:rsidR="005E5EDC" w:rsidRPr="000619F0" w:rsidRDefault="00E53C03" w:rsidP="005E5EDC">
      <w:pPr>
        <w:spacing w:line="360" w:lineRule="auto"/>
        <w:jc w:val="center"/>
        <w:rPr>
          <w:rFonts w:ascii="ˎ̥" w:eastAsia="宋体" w:hAnsi="ˎ̥" w:cs="Times New Roman" w:hint="eastAsia"/>
          <w:b/>
          <w:bCs/>
          <w:color w:val="000000"/>
          <w:sz w:val="24"/>
          <w:szCs w:val="24"/>
        </w:rPr>
      </w:pPr>
      <w:r w:rsidRPr="00E53C03">
        <w:rPr>
          <w:rFonts w:ascii="ˎ̥" w:eastAsia="宋体" w:hAnsi="ˎ̥" w:cs="Times New Roman" w:hint="eastAsia"/>
          <w:b/>
          <w:bCs/>
          <w:color w:val="000000"/>
          <w:sz w:val="24"/>
          <w:szCs w:val="24"/>
        </w:rPr>
        <w:t>基金申购费率优惠活动的公告</w:t>
      </w:r>
    </w:p>
    <w:p w:rsidR="005E5EDC" w:rsidRPr="000619F0" w:rsidRDefault="005E5EDC">
      <w:pPr>
        <w:rPr>
          <w:b/>
          <w:bCs/>
          <w:color w:val="13378B"/>
          <w:szCs w:val="21"/>
        </w:rPr>
      </w:pPr>
    </w:p>
    <w:p w:rsidR="005E5EDC" w:rsidRPr="000619F0" w:rsidRDefault="005E5EDC" w:rsidP="005E5EDC">
      <w:pPr>
        <w:pStyle w:val="a7"/>
        <w:spacing w:before="0" w:beforeAutospacing="0" w:after="0" w:afterAutospacing="0" w:line="360" w:lineRule="auto"/>
        <w:ind w:firstLineChars="200" w:firstLine="420"/>
        <w:rPr>
          <w:rFonts w:ascii="Verdana" w:hAnsi="Verdana"/>
          <w:color w:val="000000"/>
          <w:sz w:val="21"/>
          <w:szCs w:val="21"/>
        </w:rPr>
      </w:pPr>
      <w:r w:rsidRPr="000619F0">
        <w:rPr>
          <w:rFonts w:ascii="Verdana" w:hAnsi="Verdana" w:hint="eastAsia"/>
          <w:color w:val="000000"/>
          <w:sz w:val="21"/>
          <w:szCs w:val="21"/>
        </w:rPr>
        <w:t>为答谢广大客户长期以来对</w:t>
      </w:r>
      <w:hyperlink r:id="rId7" w:tgtFrame="_blank" w:history="1">
        <w:r w:rsidRPr="000619F0">
          <w:rPr>
            <w:rFonts w:ascii="Verdana" w:hAnsi="Verdana" w:hint="eastAsia"/>
            <w:color w:val="000000"/>
            <w:sz w:val="21"/>
            <w:szCs w:val="21"/>
          </w:rPr>
          <w:t>南方基金</w:t>
        </w:r>
      </w:hyperlink>
      <w:r w:rsidRPr="000619F0">
        <w:rPr>
          <w:rFonts w:ascii="Verdana" w:hAnsi="Verdana" w:hint="eastAsia"/>
          <w:color w:val="000000"/>
          <w:sz w:val="21"/>
          <w:szCs w:val="21"/>
        </w:rPr>
        <w:t>管理</w:t>
      </w:r>
      <w:r w:rsidR="00992FAE" w:rsidRPr="000619F0">
        <w:rPr>
          <w:rFonts w:ascii="Verdana" w:hAnsi="Verdana" w:hint="eastAsia"/>
          <w:color w:val="000000"/>
          <w:sz w:val="21"/>
          <w:szCs w:val="21"/>
        </w:rPr>
        <w:t>股份</w:t>
      </w:r>
      <w:r w:rsidRPr="000619F0">
        <w:rPr>
          <w:rFonts w:ascii="Verdana" w:hAnsi="Verdana" w:hint="eastAsia"/>
          <w:color w:val="000000"/>
          <w:sz w:val="21"/>
          <w:szCs w:val="21"/>
        </w:rPr>
        <w:t>有限公司（以下简称“本公司”）的支持与厚爱，经本公司与</w:t>
      </w:r>
      <w:r w:rsidR="009F6510" w:rsidRPr="009F6510">
        <w:rPr>
          <w:rFonts w:ascii="Verdana" w:hAnsi="Verdana" w:hint="eastAsia"/>
          <w:color w:val="000000"/>
          <w:sz w:val="21"/>
          <w:szCs w:val="21"/>
        </w:rPr>
        <w:t>中国邮政储蓄银行股份有限公司</w:t>
      </w:r>
      <w:r w:rsidRPr="000619F0">
        <w:rPr>
          <w:rFonts w:ascii="Verdana" w:hAnsi="Verdana" w:hint="eastAsia"/>
          <w:color w:val="000000"/>
          <w:sz w:val="21"/>
          <w:szCs w:val="21"/>
        </w:rPr>
        <w:t>（以下简称“</w:t>
      </w:r>
      <w:r w:rsidR="009F6510">
        <w:rPr>
          <w:rFonts w:ascii="Verdana" w:hAnsi="Verdana" w:hint="eastAsia"/>
          <w:color w:val="000000"/>
          <w:sz w:val="21"/>
          <w:szCs w:val="21"/>
        </w:rPr>
        <w:t>邮储</w:t>
      </w:r>
      <w:r w:rsidRPr="000619F0">
        <w:rPr>
          <w:rFonts w:ascii="Verdana" w:hAnsi="Verdana" w:hint="eastAsia"/>
          <w:color w:val="000000"/>
          <w:sz w:val="21"/>
          <w:szCs w:val="21"/>
        </w:rPr>
        <w:t>银行”）协商一致，本公司现决定</w:t>
      </w:r>
      <w:r w:rsidR="009F6510">
        <w:rPr>
          <w:rFonts w:ascii="Verdana" w:hAnsi="Verdana" w:hint="eastAsia"/>
          <w:color w:val="000000"/>
          <w:sz w:val="21"/>
          <w:szCs w:val="21"/>
        </w:rPr>
        <w:t>从</w:t>
      </w:r>
      <w:r w:rsidR="005E2C7F">
        <w:rPr>
          <w:rFonts w:ascii="Verdana" w:hAnsi="Verdana" w:hint="eastAsia"/>
          <w:color w:val="000000"/>
          <w:sz w:val="21"/>
          <w:szCs w:val="21"/>
        </w:rPr>
        <w:t>20</w:t>
      </w:r>
      <w:r w:rsidR="005E2C7F">
        <w:rPr>
          <w:rFonts w:ascii="Verdana" w:hAnsi="Verdana"/>
          <w:color w:val="000000"/>
          <w:sz w:val="21"/>
          <w:szCs w:val="21"/>
        </w:rPr>
        <w:t>21</w:t>
      </w:r>
      <w:r w:rsidR="009F6510">
        <w:rPr>
          <w:rFonts w:ascii="Verdana" w:hAnsi="Verdana" w:hint="eastAsia"/>
          <w:color w:val="000000"/>
          <w:sz w:val="21"/>
          <w:szCs w:val="21"/>
        </w:rPr>
        <w:t>年</w:t>
      </w:r>
      <w:r w:rsidR="009F6510">
        <w:rPr>
          <w:rFonts w:ascii="Verdana" w:hAnsi="Verdana" w:hint="eastAsia"/>
          <w:color w:val="000000"/>
          <w:sz w:val="21"/>
          <w:szCs w:val="21"/>
        </w:rPr>
        <w:t>1</w:t>
      </w:r>
      <w:r w:rsidR="009F6510">
        <w:rPr>
          <w:rFonts w:ascii="Verdana" w:hAnsi="Verdana" w:hint="eastAsia"/>
          <w:color w:val="000000"/>
          <w:sz w:val="21"/>
          <w:szCs w:val="21"/>
        </w:rPr>
        <w:t>月</w:t>
      </w:r>
      <w:r w:rsidR="00E53C03">
        <w:rPr>
          <w:rFonts w:ascii="Verdana" w:hAnsi="Verdana"/>
          <w:color w:val="000000"/>
          <w:sz w:val="21"/>
          <w:szCs w:val="21"/>
        </w:rPr>
        <w:t>1</w:t>
      </w:r>
      <w:r w:rsidR="009F6510">
        <w:rPr>
          <w:rFonts w:ascii="Verdana" w:hAnsi="Verdana" w:hint="eastAsia"/>
          <w:color w:val="000000"/>
          <w:sz w:val="21"/>
          <w:szCs w:val="21"/>
        </w:rPr>
        <w:t>日至</w:t>
      </w:r>
      <w:r w:rsidR="005E2C7F">
        <w:rPr>
          <w:rFonts w:ascii="Verdana" w:hAnsi="Verdana" w:hint="eastAsia"/>
          <w:color w:val="000000"/>
          <w:sz w:val="21"/>
          <w:szCs w:val="21"/>
        </w:rPr>
        <w:t>20</w:t>
      </w:r>
      <w:r w:rsidR="005E2C7F">
        <w:rPr>
          <w:rFonts w:ascii="Verdana" w:hAnsi="Verdana"/>
          <w:color w:val="000000"/>
          <w:sz w:val="21"/>
          <w:szCs w:val="21"/>
        </w:rPr>
        <w:t>21</w:t>
      </w:r>
      <w:r w:rsidR="009F6510">
        <w:rPr>
          <w:rFonts w:ascii="Verdana" w:hAnsi="Verdana" w:hint="eastAsia"/>
          <w:color w:val="000000"/>
          <w:sz w:val="21"/>
          <w:szCs w:val="21"/>
        </w:rPr>
        <w:t>年</w:t>
      </w:r>
      <w:r w:rsidR="00E53C03">
        <w:rPr>
          <w:rFonts w:ascii="Verdana" w:hAnsi="Verdana" w:hint="eastAsia"/>
          <w:color w:val="000000"/>
          <w:sz w:val="21"/>
          <w:szCs w:val="21"/>
        </w:rPr>
        <w:t>1</w:t>
      </w:r>
      <w:r w:rsidR="00E53C03">
        <w:rPr>
          <w:rFonts w:ascii="Verdana" w:hAnsi="Verdana"/>
          <w:color w:val="000000"/>
          <w:sz w:val="21"/>
          <w:szCs w:val="21"/>
        </w:rPr>
        <w:t>2</w:t>
      </w:r>
      <w:r w:rsidR="009F6510">
        <w:rPr>
          <w:rFonts w:ascii="Verdana" w:hAnsi="Verdana" w:hint="eastAsia"/>
          <w:color w:val="000000"/>
          <w:sz w:val="21"/>
          <w:szCs w:val="21"/>
        </w:rPr>
        <w:t>月</w:t>
      </w:r>
      <w:r w:rsidR="009F6510">
        <w:rPr>
          <w:rFonts w:ascii="Verdana" w:hAnsi="Verdana" w:hint="eastAsia"/>
          <w:color w:val="000000"/>
          <w:sz w:val="21"/>
          <w:szCs w:val="21"/>
        </w:rPr>
        <w:t>31</w:t>
      </w:r>
      <w:r w:rsidR="009F6510">
        <w:rPr>
          <w:rFonts w:ascii="Verdana" w:hAnsi="Verdana" w:hint="eastAsia"/>
          <w:color w:val="000000"/>
          <w:sz w:val="21"/>
          <w:szCs w:val="21"/>
        </w:rPr>
        <w:t>日</w:t>
      </w:r>
      <w:r w:rsidRPr="000619F0">
        <w:rPr>
          <w:rFonts w:ascii="Verdana" w:hAnsi="Verdana" w:hint="eastAsia"/>
          <w:color w:val="000000"/>
          <w:sz w:val="21"/>
          <w:szCs w:val="21"/>
        </w:rPr>
        <w:t>参与</w:t>
      </w:r>
      <w:r w:rsidR="009F6510">
        <w:rPr>
          <w:rFonts w:ascii="Verdana" w:hAnsi="Verdana" w:hint="eastAsia"/>
          <w:color w:val="000000"/>
          <w:sz w:val="21"/>
          <w:szCs w:val="21"/>
        </w:rPr>
        <w:t>邮储</w:t>
      </w:r>
      <w:r w:rsidRPr="000619F0">
        <w:rPr>
          <w:rFonts w:ascii="Verdana" w:hAnsi="Verdana" w:hint="eastAsia"/>
          <w:color w:val="000000"/>
          <w:sz w:val="21"/>
          <w:szCs w:val="21"/>
        </w:rPr>
        <w:t>银行推出</w:t>
      </w:r>
      <w:r w:rsidR="009F6510">
        <w:rPr>
          <w:rFonts w:ascii="Verdana" w:hAnsi="Verdana" w:hint="eastAsia"/>
          <w:color w:val="000000"/>
          <w:sz w:val="21"/>
          <w:szCs w:val="21"/>
        </w:rPr>
        <w:t>的</w:t>
      </w:r>
      <w:r w:rsidR="00E53C03">
        <w:rPr>
          <w:rFonts w:ascii="Verdana" w:hAnsi="Verdana" w:hint="eastAsia"/>
          <w:color w:val="000000"/>
          <w:sz w:val="21"/>
          <w:szCs w:val="21"/>
        </w:rPr>
        <w:t>个人网上银行和手机银行基金前端申购费率优惠活动</w:t>
      </w:r>
      <w:r w:rsidRPr="000619F0">
        <w:rPr>
          <w:rFonts w:ascii="Verdana" w:hAnsi="Verdana" w:hint="eastAsia"/>
          <w:color w:val="000000"/>
          <w:sz w:val="21"/>
          <w:szCs w:val="21"/>
        </w:rPr>
        <w:t>。现将有关事项公告如下：</w:t>
      </w:r>
      <w:r w:rsidRPr="000619F0">
        <w:rPr>
          <w:rFonts w:ascii="Verdana" w:hAnsi="Verdana" w:hint="eastAsia"/>
          <w:color w:val="000000"/>
          <w:sz w:val="21"/>
          <w:szCs w:val="21"/>
        </w:rPr>
        <w:t xml:space="preserve"> </w:t>
      </w:r>
    </w:p>
    <w:p w:rsidR="009F6510" w:rsidRDefault="00E7168A" w:rsidP="005C0ECC">
      <w:pPr>
        <w:pStyle w:val="aa"/>
        <w:numPr>
          <w:ilvl w:val="0"/>
          <w:numId w:val="1"/>
        </w:numPr>
        <w:spacing w:line="360" w:lineRule="auto"/>
        <w:ind w:firstLineChars="0"/>
        <w:outlineLvl w:val="0"/>
        <w:rPr>
          <w:rFonts w:ascii="宋体" w:eastAsia="宋体" w:hAnsi="宋体" w:cs="宋体"/>
          <w:b/>
          <w:kern w:val="0"/>
          <w:szCs w:val="21"/>
        </w:rPr>
      </w:pPr>
      <w:r w:rsidRPr="000619F0">
        <w:rPr>
          <w:rFonts w:ascii="宋体" w:eastAsia="宋体" w:hAnsi="宋体" w:cs="宋体" w:hint="eastAsia"/>
          <w:b/>
          <w:kern w:val="0"/>
          <w:szCs w:val="21"/>
        </w:rPr>
        <w:t>参与基金</w:t>
      </w:r>
    </w:p>
    <w:tbl>
      <w:tblPr>
        <w:tblStyle w:val="af"/>
        <w:tblW w:w="0" w:type="auto"/>
        <w:tblLook w:val="04A0"/>
      </w:tblPr>
      <w:tblGrid>
        <w:gridCol w:w="815"/>
        <w:gridCol w:w="1136"/>
        <w:gridCol w:w="6571"/>
      </w:tblGrid>
      <w:tr w:rsidR="004A0FBE" w:rsidRPr="004A0FBE" w:rsidTr="00F05552">
        <w:tc>
          <w:tcPr>
            <w:tcW w:w="815" w:type="dxa"/>
            <w:vAlign w:val="center"/>
          </w:tcPr>
          <w:p w:rsidR="009F6510" w:rsidRPr="001A53C0" w:rsidRDefault="009F6510">
            <w:pPr>
              <w:spacing w:line="360" w:lineRule="auto"/>
              <w:jc w:val="center"/>
              <w:outlineLvl w:val="0"/>
              <w:rPr>
                <w:rFonts w:ascii="宋体" w:eastAsia="宋体" w:hAnsi="宋体" w:cs="宋体"/>
                <w:b/>
                <w:kern w:val="0"/>
                <w:szCs w:val="21"/>
              </w:rPr>
            </w:pPr>
            <w:r w:rsidRPr="001A53C0">
              <w:rPr>
                <w:rFonts w:ascii="宋体" w:eastAsia="宋体" w:hAnsi="宋体" w:cs="Arial" w:hint="eastAsia"/>
                <w:color w:val="000000"/>
                <w:kern w:val="0"/>
                <w:szCs w:val="21"/>
              </w:rPr>
              <w:t>序号</w:t>
            </w:r>
          </w:p>
        </w:tc>
        <w:tc>
          <w:tcPr>
            <w:tcW w:w="1136" w:type="dxa"/>
            <w:vAlign w:val="center"/>
          </w:tcPr>
          <w:p w:rsidR="009F6510" w:rsidRPr="005E2C7F" w:rsidRDefault="009F6510">
            <w:pPr>
              <w:widowControl/>
              <w:jc w:val="center"/>
              <w:rPr>
                <w:rFonts w:ascii="宋体" w:eastAsia="宋体" w:hAnsi="宋体" w:cs="Arial"/>
                <w:color w:val="000000"/>
                <w:kern w:val="0"/>
                <w:szCs w:val="21"/>
              </w:rPr>
            </w:pPr>
            <w:r w:rsidRPr="005E2C7F">
              <w:rPr>
                <w:rFonts w:ascii="宋体" w:eastAsia="宋体" w:hAnsi="宋体" w:cs="Arial" w:hint="eastAsia"/>
                <w:color w:val="000000"/>
                <w:kern w:val="0"/>
                <w:szCs w:val="21"/>
              </w:rPr>
              <w:t>基金代码</w:t>
            </w:r>
          </w:p>
        </w:tc>
        <w:tc>
          <w:tcPr>
            <w:tcW w:w="6571" w:type="dxa"/>
            <w:vAlign w:val="center"/>
          </w:tcPr>
          <w:p w:rsidR="009F6510" w:rsidRPr="005E2C7F" w:rsidRDefault="009F6510">
            <w:pPr>
              <w:spacing w:line="360" w:lineRule="auto"/>
              <w:jc w:val="center"/>
              <w:outlineLvl w:val="0"/>
              <w:rPr>
                <w:rFonts w:ascii="宋体" w:eastAsia="宋体" w:hAnsi="宋体" w:cs="宋体"/>
                <w:b/>
                <w:kern w:val="0"/>
                <w:szCs w:val="21"/>
              </w:rPr>
            </w:pPr>
            <w:r w:rsidRPr="005E2C7F">
              <w:rPr>
                <w:rFonts w:ascii="宋体" w:eastAsia="宋体" w:hAnsi="宋体" w:cs="Arial" w:hint="eastAsia"/>
                <w:color w:val="000000"/>
                <w:kern w:val="0"/>
                <w:szCs w:val="21"/>
              </w:rPr>
              <w:t>基金名称</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宋体"/>
                <w:b/>
                <w:kern w:val="0"/>
                <w:szCs w:val="21"/>
              </w:rPr>
            </w:pPr>
            <w:r w:rsidRPr="001A53C0">
              <w:rPr>
                <w:rFonts w:ascii="宋体" w:eastAsia="宋体" w:hAnsi="宋体"/>
              </w:rPr>
              <w:t>1</w:t>
            </w:r>
          </w:p>
        </w:tc>
        <w:tc>
          <w:tcPr>
            <w:tcW w:w="1136" w:type="dxa"/>
            <w:vAlign w:val="center"/>
          </w:tcPr>
          <w:p w:rsidR="001A53C0" w:rsidRPr="005E2C7F" w:rsidRDefault="001A53C0" w:rsidP="001A53C0">
            <w:pPr>
              <w:spacing w:line="360" w:lineRule="auto"/>
              <w:jc w:val="center"/>
              <w:outlineLvl w:val="0"/>
              <w:rPr>
                <w:rFonts w:ascii="宋体" w:eastAsia="宋体" w:hAnsi="宋体" w:cs="宋体"/>
                <w:b/>
                <w:kern w:val="0"/>
                <w:szCs w:val="21"/>
              </w:rPr>
            </w:pPr>
            <w:r w:rsidRPr="00F05552">
              <w:rPr>
                <w:rFonts w:ascii="宋体" w:eastAsia="宋体" w:hAnsi="宋体"/>
                <w:szCs w:val="21"/>
              </w:rPr>
              <w:t>202001</w:t>
            </w:r>
          </w:p>
        </w:tc>
        <w:tc>
          <w:tcPr>
            <w:tcW w:w="6571" w:type="dxa"/>
            <w:vAlign w:val="center"/>
          </w:tcPr>
          <w:p w:rsidR="001A53C0" w:rsidRPr="005E2C7F" w:rsidRDefault="001A53C0" w:rsidP="001A53C0">
            <w:pPr>
              <w:spacing w:line="360" w:lineRule="auto"/>
              <w:jc w:val="center"/>
              <w:outlineLvl w:val="0"/>
              <w:rPr>
                <w:rFonts w:ascii="宋体" w:eastAsia="宋体" w:hAnsi="宋体" w:cs="宋体"/>
                <w:b/>
                <w:kern w:val="0"/>
                <w:szCs w:val="21"/>
              </w:rPr>
            </w:pPr>
            <w:r w:rsidRPr="00F05552">
              <w:rPr>
                <w:rFonts w:ascii="宋体" w:eastAsia="宋体" w:hAnsi="宋体" w:hint="eastAsia"/>
                <w:szCs w:val="21"/>
              </w:rPr>
              <w:t>南方稳健成长证券投资基金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宋体"/>
                <w:b/>
                <w:kern w:val="0"/>
                <w:szCs w:val="21"/>
              </w:rPr>
            </w:pPr>
            <w:r w:rsidRPr="001A53C0">
              <w:rPr>
                <w:rFonts w:ascii="宋体" w:eastAsia="宋体" w:hAnsi="宋体"/>
              </w:rPr>
              <w:t>2</w:t>
            </w:r>
          </w:p>
        </w:tc>
        <w:tc>
          <w:tcPr>
            <w:tcW w:w="1136" w:type="dxa"/>
            <w:vAlign w:val="center"/>
          </w:tcPr>
          <w:p w:rsidR="001A53C0" w:rsidRPr="005E2C7F" w:rsidRDefault="001A53C0" w:rsidP="001A53C0">
            <w:pPr>
              <w:spacing w:line="360" w:lineRule="auto"/>
              <w:jc w:val="center"/>
              <w:outlineLvl w:val="0"/>
              <w:rPr>
                <w:rFonts w:ascii="宋体" w:eastAsia="宋体" w:hAnsi="宋体" w:cs="宋体"/>
                <w:b/>
                <w:kern w:val="0"/>
                <w:szCs w:val="21"/>
              </w:rPr>
            </w:pPr>
            <w:r w:rsidRPr="00F05552">
              <w:rPr>
                <w:rFonts w:ascii="宋体" w:eastAsia="宋体" w:hAnsi="宋体"/>
                <w:szCs w:val="21"/>
              </w:rPr>
              <w:t>202101</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南方宝元债券型基金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3</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160105</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南方积极配置混合型证券投资基金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4</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160106</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南方高增长混合型证券投资基金（前端）</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5</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202103</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南方多利增强债券型证券投资基金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6</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202002</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南方稳健成长贰号证券投资基金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7</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202003</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南方绩优成长混合型证券投资基金</w:t>
            </w:r>
            <w:r w:rsidRPr="00F05552">
              <w:rPr>
                <w:rFonts w:ascii="宋体" w:eastAsia="宋体" w:hAnsi="宋体"/>
                <w:szCs w:val="21"/>
              </w:rPr>
              <w:t>A</w:t>
            </w:r>
            <w:r w:rsidRPr="00F05552">
              <w:rPr>
                <w:rFonts w:ascii="宋体" w:eastAsia="宋体" w:hAnsi="宋体" w:hint="eastAsia"/>
                <w:szCs w:val="21"/>
              </w:rPr>
              <w:t>类（前端）</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8</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202005</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南方成份精选混合型证券投资基金</w:t>
            </w:r>
            <w:r w:rsidRPr="00F05552">
              <w:rPr>
                <w:rFonts w:ascii="宋体" w:eastAsia="宋体" w:hAnsi="宋体"/>
                <w:szCs w:val="21"/>
              </w:rPr>
              <w:t>A</w:t>
            </w:r>
            <w:r w:rsidRPr="00F05552">
              <w:rPr>
                <w:rFonts w:ascii="宋体" w:eastAsia="宋体" w:hAnsi="宋体" w:hint="eastAsia"/>
                <w:szCs w:val="21"/>
              </w:rPr>
              <w:t>类（前端）</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9</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202801</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南方全球精选配置证券投资基金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10</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202007</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南方隆元产业主题混合型证券投资基金（前端）</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11</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202009</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南方盛元红利混合型证券投资基金（前端）</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12</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202011</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南方优选价值混合型证券投资基金</w:t>
            </w:r>
            <w:r w:rsidRPr="00F05552">
              <w:rPr>
                <w:rFonts w:ascii="宋体" w:eastAsia="宋体" w:hAnsi="宋体"/>
                <w:szCs w:val="21"/>
              </w:rPr>
              <w:t>A</w:t>
            </w:r>
            <w:r w:rsidRPr="00F05552">
              <w:rPr>
                <w:rFonts w:ascii="宋体" w:eastAsia="宋体" w:hAnsi="宋体" w:hint="eastAsia"/>
                <w:szCs w:val="21"/>
              </w:rPr>
              <w:t>类（前端）</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13</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202015</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南方沪深</w:t>
            </w:r>
            <w:r w:rsidRPr="00F05552">
              <w:rPr>
                <w:rFonts w:ascii="宋体" w:eastAsia="宋体" w:hAnsi="宋体"/>
                <w:szCs w:val="21"/>
              </w:rPr>
              <w:t>300</w:t>
            </w:r>
            <w:r w:rsidRPr="00F05552">
              <w:rPr>
                <w:rFonts w:ascii="宋体" w:eastAsia="宋体" w:hAnsi="宋体" w:hint="eastAsia"/>
                <w:szCs w:val="21"/>
              </w:rPr>
              <w:t>交易型开放式指数证券投资基金联接基金</w:t>
            </w:r>
            <w:r w:rsidRPr="00F05552">
              <w:rPr>
                <w:rFonts w:ascii="宋体" w:eastAsia="宋体" w:hAnsi="宋体"/>
                <w:szCs w:val="21"/>
              </w:rPr>
              <w:t>A</w:t>
            </w:r>
            <w:r w:rsidRPr="00F05552">
              <w:rPr>
                <w:rFonts w:ascii="宋体" w:eastAsia="宋体" w:hAnsi="宋体" w:hint="eastAsia"/>
                <w:szCs w:val="21"/>
              </w:rPr>
              <w:t>类（前端）</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14</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160119</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南方中证50</w:t>
            </w:r>
            <w:r w:rsidRPr="00F05552">
              <w:rPr>
                <w:rFonts w:ascii="宋体" w:eastAsia="宋体" w:hAnsi="宋体"/>
                <w:szCs w:val="21"/>
              </w:rPr>
              <w:t>0</w:t>
            </w:r>
            <w:r w:rsidRPr="00F05552">
              <w:rPr>
                <w:rFonts w:ascii="宋体" w:eastAsia="宋体" w:hAnsi="宋体" w:hint="eastAsia"/>
                <w:szCs w:val="21"/>
              </w:rPr>
              <w:t>交易型开放式指数证券投资基金联接基金（</w:t>
            </w:r>
            <w:r w:rsidRPr="00F05552">
              <w:rPr>
                <w:rFonts w:ascii="宋体" w:eastAsia="宋体" w:hAnsi="宋体"/>
                <w:szCs w:val="21"/>
              </w:rPr>
              <w:t>LOF</w:t>
            </w:r>
            <w:r w:rsidRPr="00F05552">
              <w:rPr>
                <w:rFonts w:ascii="宋体" w:eastAsia="宋体" w:hAnsi="宋体" w:hint="eastAsia"/>
                <w:szCs w:val="21"/>
              </w:rPr>
              <w:t>）</w:t>
            </w:r>
            <w:r w:rsidRPr="00F05552">
              <w:rPr>
                <w:rFonts w:ascii="宋体" w:eastAsia="宋体" w:hAnsi="宋体"/>
                <w:szCs w:val="21"/>
              </w:rPr>
              <w:t>A</w:t>
            </w:r>
            <w:r w:rsidRPr="00F05552">
              <w:rPr>
                <w:rFonts w:ascii="宋体" w:eastAsia="宋体" w:hAnsi="宋体" w:hint="eastAsia"/>
                <w:szCs w:val="21"/>
              </w:rPr>
              <w:t>类（前端）</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15</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202017</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南方深证成份交易型开放式指数证券投资基金联接基金</w:t>
            </w:r>
            <w:r w:rsidRPr="00F05552">
              <w:rPr>
                <w:rFonts w:ascii="宋体" w:eastAsia="宋体" w:hAnsi="宋体"/>
                <w:szCs w:val="21"/>
              </w:rPr>
              <w:t>A</w:t>
            </w:r>
            <w:r w:rsidRPr="00F05552">
              <w:rPr>
                <w:rFonts w:ascii="宋体" w:eastAsia="宋体" w:hAnsi="宋体" w:hint="eastAsia"/>
                <w:szCs w:val="21"/>
              </w:rPr>
              <w:t>类（前端）</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16</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202019</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南方策略优化混合型证券投资基金（前端）</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17</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202021</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中证南方小康产业交易型开放式指数证券投资基金联接基金</w:t>
            </w:r>
            <w:r w:rsidRPr="00F05552">
              <w:rPr>
                <w:rFonts w:ascii="宋体" w:eastAsia="宋体" w:hAnsi="宋体"/>
                <w:szCs w:val="21"/>
              </w:rPr>
              <w:t>A</w:t>
            </w:r>
            <w:r w:rsidRPr="00F05552">
              <w:rPr>
                <w:rFonts w:ascii="宋体" w:eastAsia="宋体" w:hAnsi="宋体" w:hint="eastAsia"/>
                <w:szCs w:val="21"/>
              </w:rPr>
              <w:t>类（前端）</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18</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202105</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南方广利回报债券型证券投资基金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lastRenderedPageBreak/>
              <w:t>19</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202023</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南方优选成长混合型证券投资基金</w:t>
            </w:r>
            <w:r w:rsidRPr="00F05552">
              <w:rPr>
                <w:rFonts w:ascii="宋体" w:eastAsia="宋体" w:hAnsi="宋体"/>
                <w:szCs w:val="21"/>
              </w:rPr>
              <w:t>A</w:t>
            </w:r>
            <w:r w:rsidRPr="00F05552">
              <w:rPr>
                <w:rFonts w:ascii="宋体" w:eastAsia="宋体" w:hAnsi="宋体" w:hint="eastAsia"/>
                <w:szCs w:val="21"/>
              </w:rPr>
              <w:t>类（前端）</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20</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202025</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南方上证</w:t>
            </w:r>
            <w:r w:rsidRPr="00F05552">
              <w:rPr>
                <w:rFonts w:ascii="宋体" w:eastAsia="宋体" w:hAnsi="宋体"/>
                <w:szCs w:val="21"/>
              </w:rPr>
              <w:t>380</w:t>
            </w:r>
            <w:r w:rsidRPr="00F05552">
              <w:rPr>
                <w:rFonts w:ascii="宋体" w:eastAsia="宋体" w:hAnsi="宋体" w:hint="eastAsia"/>
                <w:szCs w:val="21"/>
              </w:rPr>
              <w:t>交易型开放式指数证券投资基金联接基金</w:t>
            </w:r>
            <w:r w:rsidRPr="00F05552">
              <w:rPr>
                <w:rFonts w:ascii="宋体" w:eastAsia="宋体" w:hAnsi="宋体"/>
                <w:szCs w:val="21"/>
              </w:rPr>
              <w:t>A</w:t>
            </w:r>
            <w:r w:rsidRPr="00F05552">
              <w:rPr>
                <w:rFonts w:ascii="宋体" w:eastAsia="宋体" w:hAnsi="宋体" w:hint="eastAsia"/>
                <w:szCs w:val="21"/>
              </w:rPr>
              <w:t>类（前端）</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21</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160125</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南方香港优选股票型证券投资基金（前端）</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22</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160127</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南方新兴消费增长股票型证券投资基金（</w:t>
            </w:r>
            <w:r w:rsidRPr="00F05552">
              <w:rPr>
                <w:rFonts w:ascii="宋体" w:eastAsia="宋体" w:hAnsi="宋体"/>
                <w:szCs w:val="21"/>
              </w:rPr>
              <w:t>LOF</w:t>
            </w:r>
            <w:r w:rsidRPr="00F05552">
              <w:rPr>
                <w:rFonts w:ascii="宋体" w:eastAsia="宋体" w:hAnsi="宋体" w:hint="eastAsia"/>
                <w:szCs w:val="21"/>
              </w:rPr>
              <w:t>）</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23</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160128</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南方金利定期开放债券型证券投资基金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24</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202108</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南方润元纯债债券型证券投资基金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25</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202027</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南方高端装备灵活配置混合型证券投资基金</w:t>
            </w:r>
            <w:r w:rsidRPr="00F05552">
              <w:rPr>
                <w:rFonts w:ascii="宋体" w:eastAsia="宋体" w:hAnsi="宋体"/>
                <w:szCs w:val="21"/>
              </w:rPr>
              <w:t>A</w:t>
            </w:r>
            <w:r w:rsidRPr="00F05552">
              <w:rPr>
                <w:rFonts w:ascii="宋体" w:eastAsia="宋体" w:hAnsi="宋体" w:hint="eastAsia"/>
                <w:szCs w:val="21"/>
              </w:rPr>
              <w:t>类（前端）</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26</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000355</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南方丰元信用增强债券型证券投资基金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27</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000452</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南方医药保健灵活配置混合型证券投资基金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28</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000527</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南方新优享灵活配置混合型证券投资基金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29</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000563</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南方通利债券型证券投资基金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30</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000554</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中国梦灵活配置混合型证券投资基金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31</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160133</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南方天元新产业股票型证券投资基金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32</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000561</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南方启元债券型证券投资基金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33</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000844</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南方绝对收益策略定期开放混合型发起式证券投资基金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34</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000955</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南方产业活力股票型证券投资基金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35</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000997</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南方双元债券型证券投资基金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36</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001053</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南方创新经济灵活配置混合型证券投资基金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37</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001183</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南方利淘灵活配置混合型证券投资基金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38</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001113</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南方大数据</w:t>
            </w:r>
            <w:r w:rsidRPr="00F05552">
              <w:rPr>
                <w:rFonts w:ascii="宋体" w:eastAsia="宋体" w:hAnsi="宋体"/>
                <w:szCs w:val="21"/>
              </w:rPr>
              <w:t>100</w:t>
            </w:r>
            <w:r w:rsidRPr="00F05552">
              <w:rPr>
                <w:rFonts w:ascii="宋体" w:eastAsia="宋体" w:hAnsi="宋体" w:hint="eastAsia"/>
                <w:szCs w:val="21"/>
              </w:rPr>
              <w:t>指数证券投资基金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39</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001181</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南方改革机遇灵活配置混合型证券投资基金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40</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001334</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南方利鑫灵活配置混合型证券投资基金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41</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160136</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南方中证国有企业改革指数证券投资基金（</w:t>
            </w:r>
            <w:r w:rsidRPr="00F05552">
              <w:rPr>
                <w:rFonts w:ascii="宋体" w:eastAsia="宋体" w:hAnsi="宋体"/>
                <w:szCs w:val="21"/>
              </w:rPr>
              <w:t>LOF</w:t>
            </w:r>
            <w:r w:rsidRPr="00F05552">
              <w:rPr>
                <w:rFonts w:ascii="宋体" w:eastAsia="宋体" w:hAnsi="宋体" w:hint="eastAsia"/>
                <w:szCs w:val="21"/>
              </w:rPr>
              <w:t>）</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42</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001420</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南方大数据</w:t>
            </w:r>
            <w:r w:rsidRPr="00F05552">
              <w:rPr>
                <w:rFonts w:ascii="宋体" w:eastAsia="宋体" w:hAnsi="宋体"/>
                <w:szCs w:val="21"/>
              </w:rPr>
              <w:t>300</w:t>
            </w:r>
            <w:r w:rsidRPr="00F05552">
              <w:rPr>
                <w:rFonts w:ascii="宋体" w:eastAsia="宋体" w:hAnsi="宋体" w:hint="eastAsia"/>
                <w:szCs w:val="21"/>
              </w:rPr>
              <w:t>指数证券投资基金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43</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001421</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南方量化成长股票型证券投资基金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44</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160137</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南方中证互联网指数证券投资基金（</w:t>
            </w:r>
            <w:r w:rsidRPr="00F05552">
              <w:rPr>
                <w:rFonts w:ascii="宋体" w:eastAsia="宋体" w:hAnsi="宋体"/>
                <w:szCs w:val="21"/>
              </w:rPr>
              <w:t>LOF</w:t>
            </w:r>
            <w:r w:rsidRPr="00F05552">
              <w:rPr>
                <w:rFonts w:ascii="宋体" w:eastAsia="宋体" w:hAnsi="宋体" w:hint="eastAsia"/>
                <w:szCs w:val="21"/>
              </w:rPr>
              <w:t>）</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45</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001566</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南方利达灵活配置混合型证券投资基金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46</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001692</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南方国策动力股票型证券投资基金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47</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001691</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南方香港成长灵活配置混合型证券投资基金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lastRenderedPageBreak/>
              <w:t>48</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001570</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南方利安灵活配置混合型证券投资基金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49</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001979</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南方沪港深价值主题灵活配置混合型证券投资基金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50</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001536</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南方君选灵活配置混合型证券投资基金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51</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002400</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南方亚洲美元收益债券型证券投资基金</w:t>
            </w:r>
            <w:r w:rsidRPr="00F05552">
              <w:rPr>
                <w:rFonts w:ascii="宋体" w:eastAsia="宋体" w:hAnsi="宋体"/>
                <w:szCs w:val="21"/>
              </w:rPr>
              <w:t>A</w:t>
            </w:r>
            <w:r w:rsidRPr="00F05552">
              <w:rPr>
                <w:rFonts w:ascii="宋体" w:eastAsia="宋体" w:hAnsi="宋体" w:hint="eastAsia"/>
                <w:szCs w:val="21"/>
              </w:rPr>
              <w:t>类（人民币）</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52</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002160</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南方转型驱动灵活配置混合型证券投资基金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53</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002577</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南方新兴龙头灵活配置混合型证券投资基金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54</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002656</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南方创业板交易型开放式指数证券投资基金联接基金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55</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501018</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南方原油证券投资基金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56</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002850</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南方甑智混合型发起式证券投资基金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57</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002851</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南方品质优选灵活配置混合型证券投资基金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58</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001667</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南方转型增长灵活配置混合型证券投资基金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59</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160123</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南方中债</w:t>
            </w:r>
            <w:r w:rsidRPr="00F05552">
              <w:rPr>
                <w:rFonts w:ascii="宋体" w:eastAsia="宋体" w:hAnsi="宋体"/>
                <w:szCs w:val="21"/>
              </w:rPr>
              <w:t>10</w:t>
            </w:r>
            <w:r w:rsidRPr="00F05552">
              <w:rPr>
                <w:rFonts w:ascii="宋体" w:eastAsia="宋体" w:hAnsi="宋体" w:hint="eastAsia"/>
                <w:szCs w:val="21"/>
              </w:rPr>
              <w:t>年期国债指数证券投资基金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60</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003161</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南方安泰混合型证券投资基金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61</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003295</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南方安裕混合型证券投资基金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62</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003476</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南方安颐混合型证券投资基金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63</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004224</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南方军工改革灵活配置混合型证券投资基金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64</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004517</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南方安康混合型证券投资基金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65</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004648</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南方安睿混合型证券投资基金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66</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202212</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南方平衡配置混合型证券投资基金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67</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004705</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南方祥元债券型证券投资基金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68</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004432</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南方中证申万有色金属交易型开放式指数证券投资基金发起式联接基金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69</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004703</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南方兴盛先锋灵活配置混合型证券投资基金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70</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005215</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南方全天候策略混合型基金中基金</w:t>
            </w:r>
            <w:r w:rsidRPr="00F05552">
              <w:rPr>
                <w:rFonts w:ascii="宋体" w:eastAsia="宋体" w:hAnsi="宋体"/>
                <w:szCs w:val="21"/>
              </w:rPr>
              <w:t>(FOF)A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71</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002167</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南方顺康灵活配置混合型证券投资基金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72</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005123</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南方优享分红灵活配置混合型证券投资基金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73</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002220</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南方瑞利灵活配置混合型证券投资基金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74</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202211</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南方中证</w:t>
            </w:r>
            <w:r w:rsidRPr="00F05552">
              <w:rPr>
                <w:rFonts w:ascii="宋体" w:eastAsia="宋体" w:hAnsi="宋体"/>
                <w:szCs w:val="21"/>
              </w:rPr>
              <w:t>100</w:t>
            </w:r>
            <w:r w:rsidRPr="00F05552">
              <w:rPr>
                <w:rFonts w:ascii="宋体" w:eastAsia="宋体" w:hAnsi="宋体" w:hint="eastAsia"/>
                <w:szCs w:val="21"/>
              </w:rPr>
              <w:t>指数证券投资基金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75</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005403</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南方融尚再融资主题精选灵活配置混合型证券投资基金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76</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005397</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南方安养混合型证券投资基金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77</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005554</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南方恒生中国企业交易型开放式指数证券投资基金联接基金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78</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005742</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南方成安优选灵活配置混合型证券投资基金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79</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005810</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南方瑞祥一年定期开放灵活配置混合型证券投资基金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80</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005741</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南方君信灵活配置混合型证券投资基金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81</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000327</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南方潜力新蓝筹混合型证券投资基金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82</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005788</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MSCI</w:t>
            </w:r>
            <w:r w:rsidRPr="00F05552">
              <w:rPr>
                <w:rFonts w:ascii="宋体" w:eastAsia="宋体" w:hAnsi="宋体" w:hint="eastAsia"/>
                <w:szCs w:val="21"/>
              </w:rPr>
              <w:t>中国</w:t>
            </w:r>
            <w:r w:rsidRPr="00F05552">
              <w:rPr>
                <w:rFonts w:ascii="宋体" w:eastAsia="宋体" w:hAnsi="宋体"/>
                <w:szCs w:val="21"/>
              </w:rPr>
              <w:t>A</w:t>
            </w:r>
            <w:r w:rsidRPr="00F05552">
              <w:rPr>
                <w:rFonts w:ascii="宋体" w:eastAsia="宋体" w:hAnsi="宋体" w:hint="eastAsia"/>
                <w:szCs w:val="21"/>
              </w:rPr>
              <w:t>股国际通交易型开放式指数证券投资基金发起式联接基金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83</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501062</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南方瑞合三年定期开放混合型发起式证券投资基金（</w:t>
            </w:r>
            <w:r w:rsidRPr="00F05552">
              <w:rPr>
                <w:rFonts w:ascii="宋体" w:eastAsia="宋体" w:hAnsi="宋体"/>
                <w:szCs w:val="21"/>
              </w:rPr>
              <w:t>LOF</w:t>
            </w:r>
            <w:r w:rsidRPr="00F05552">
              <w:rPr>
                <w:rFonts w:ascii="宋体" w:eastAsia="宋体" w:hAnsi="宋体" w:hint="eastAsia"/>
                <w:szCs w:val="21"/>
              </w:rPr>
              <w:t>）</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84</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000326</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南方中小盘成长股票型证券投资基金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85</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006290</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南方养老目标日期</w:t>
            </w:r>
            <w:r w:rsidRPr="00F05552">
              <w:rPr>
                <w:rFonts w:ascii="宋体" w:eastAsia="宋体" w:hAnsi="宋体"/>
                <w:szCs w:val="21"/>
              </w:rPr>
              <w:t>2035</w:t>
            </w:r>
            <w:r w:rsidRPr="00F05552">
              <w:rPr>
                <w:rFonts w:ascii="宋体" w:eastAsia="宋体" w:hAnsi="宋体" w:hint="eastAsia"/>
                <w:szCs w:val="21"/>
              </w:rPr>
              <w:t>三年持有期混合型基金中基金（</w:t>
            </w:r>
            <w:r w:rsidRPr="00F05552">
              <w:rPr>
                <w:rFonts w:ascii="宋体" w:eastAsia="宋体" w:hAnsi="宋体"/>
                <w:szCs w:val="21"/>
              </w:rPr>
              <w:t>FOF</w:t>
            </w:r>
            <w:r w:rsidRPr="00F05552">
              <w:rPr>
                <w:rFonts w:ascii="宋体" w:eastAsia="宋体" w:hAnsi="宋体" w:hint="eastAsia"/>
                <w:szCs w:val="21"/>
              </w:rPr>
              <w:t>）</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86</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202213</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南方核心竞争混合型证券投资基金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87</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002293</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南方益和灵活配置混合型证券投资基金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88</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006921</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南方智诚混合型证券投资基金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89</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007340</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南方科技创新混合型证券投资基金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90</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007415</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南方致远混合型证券投资基金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91</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007490</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南方信息创新混合型证券投资基金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cs="Arial"/>
                <w:color w:val="000000"/>
                <w:kern w:val="0"/>
                <w:szCs w:val="21"/>
              </w:rPr>
            </w:pPr>
            <w:r w:rsidRPr="001A53C0">
              <w:rPr>
                <w:rFonts w:ascii="宋体" w:eastAsia="宋体" w:hAnsi="宋体"/>
              </w:rPr>
              <w:t>92</w:t>
            </w:r>
          </w:p>
        </w:tc>
        <w:tc>
          <w:tcPr>
            <w:tcW w:w="1136"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szCs w:val="21"/>
              </w:rPr>
              <w:t>007714</w:t>
            </w:r>
          </w:p>
        </w:tc>
        <w:tc>
          <w:tcPr>
            <w:tcW w:w="6571" w:type="dxa"/>
            <w:vAlign w:val="center"/>
          </w:tcPr>
          <w:p w:rsidR="001A53C0" w:rsidRPr="005E2C7F" w:rsidRDefault="001A53C0" w:rsidP="001A53C0">
            <w:pPr>
              <w:spacing w:line="360" w:lineRule="auto"/>
              <w:jc w:val="center"/>
              <w:outlineLvl w:val="0"/>
              <w:rPr>
                <w:rFonts w:ascii="宋体" w:eastAsia="宋体" w:hAnsi="宋体" w:cs="Arial"/>
                <w:color w:val="000000"/>
                <w:kern w:val="0"/>
                <w:szCs w:val="21"/>
              </w:rPr>
            </w:pPr>
            <w:r w:rsidRPr="00F05552">
              <w:rPr>
                <w:rFonts w:ascii="宋体" w:eastAsia="宋体" w:hAnsi="宋体" w:hint="eastAsia"/>
                <w:szCs w:val="21"/>
              </w:rPr>
              <w:t>南方贺元利率债债券型证券投资基金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szCs w:val="21"/>
              </w:rPr>
            </w:pPr>
            <w:r w:rsidRPr="001A53C0">
              <w:rPr>
                <w:rFonts w:ascii="宋体" w:eastAsia="宋体" w:hAnsi="宋体"/>
              </w:rPr>
              <w:t>93</w:t>
            </w:r>
          </w:p>
        </w:tc>
        <w:tc>
          <w:tcPr>
            <w:tcW w:w="1136"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szCs w:val="21"/>
              </w:rPr>
              <w:t>008209</w:t>
            </w:r>
          </w:p>
        </w:tc>
        <w:tc>
          <w:tcPr>
            <w:tcW w:w="6571"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hint="eastAsia"/>
                <w:szCs w:val="21"/>
              </w:rPr>
              <w:t>南方宝泰一年持有期混合型证券投资基金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szCs w:val="21"/>
              </w:rPr>
            </w:pPr>
            <w:r w:rsidRPr="001A53C0">
              <w:rPr>
                <w:rFonts w:ascii="宋体" w:eastAsia="宋体" w:hAnsi="宋体"/>
              </w:rPr>
              <w:t>94</w:t>
            </w:r>
          </w:p>
        </w:tc>
        <w:tc>
          <w:tcPr>
            <w:tcW w:w="1136"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szCs w:val="21"/>
              </w:rPr>
              <w:t>009351</w:t>
            </w:r>
          </w:p>
        </w:tc>
        <w:tc>
          <w:tcPr>
            <w:tcW w:w="6571"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hint="eastAsia"/>
                <w:szCs w:val="21"/>
              </w:rPr>
              <w:t>南方誉丰</w:t>
            </w:r>
            <w:r w:rsidRPr="00F05552">
              <w:rPr>
                <w:rFonts w:ascii="宋体" w:eastAsia="宋体" w:hAnsi="宋体"/>
                <w:szCs w:val="21"/>
              </w:rPr>
              <w:t>18</w:t>
            </w:r>
            <w:r w:rsidRPr="00F05552">
              <w:rPr>
                <w:rFonts w:ascii="宋体" w:eastAsia="宋体" w:hAnsi="宋体" w:hint="eastAsia"/>
                <w:szCs w:val="21"/>
              </w:rPr>
              <w:t>个月持有期混合型证券投资基金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szCs w:val="21"/>
              </w:rPr>
            </w:pPr>
            <w:r w:rsidRPr="001A53C0">
              <w:rPr>
                <w:rFonts w:ascii="宋体" w:eastAsia="宋体" w:hAnsi="宋体"/>
              </w:rPr>
              <w:t>95</w:t>
            </w:r>
          </w:p>
        </w:tc>
        <w:tc>
          <w:tcPr>
            <w:tcW w:w="1136"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szCs w:val="21"/>
              </w:rPr>
              <w:t>009318</w:t>
            </w:r>
          </w:p>
        </w:tc>
        <w:tc>
          <w:tcPr>
            <w:tcW w:w="6571"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hint="eastAsia"/>
                <w:szCs w:val="21"/>
              </w:rPr>
              <w:t>南方成长先锋混合型证券投资基金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szCs w:val="21"/>
              </w:rPr>
            </w:pPr>
            <w:r w:rsidRPr="001A53C0">
              <w:rPr>
                <w:rFonts w:ascii="宋体" w:eastAsia="宋体" w:hAnsi="宋体"/>
              </w:rPr>
              <w:t>96</w:t>
            </w:r>
          </w:p>
        </w:tc>
        <w:tc>
          <w:tcPr>
            <w:tcW w:w="1136"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szCs w:val="21"/>
              </w:rPr>
              <w:t>009534</w:t>
            </w:r>
          </w:p>
        </w:tc>
        <w:tc>
          <w:tcPr>
            <w:tcW w:w="6571"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hint="eastAsia"/>
                <w:szCs w:val="21"/>
              </w:rPr>
              <w:t>南方升元中短期利率债债券型证券投资基金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szCs w:val="21"/>
              </w:rPr>
            </w:pPr>
            <w:r w:rsidRPr="001A53C0">
              <w:rPr>
                <w:rFonts w:ascii="宋体" w:eastAsia="宋体" w:hAnsi="宋体"/>
              </w:rPr>
              <w:t>97</w:t>
            </w:r>
          </w:p>
        </w:tc>
        <w:tc>
          <w:tcPr>
            <w:tcW w:w="1136"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szCs w:val="21"/>
              </w:rPr>
              <w:t>009646</w:t>
            </w:r>
          </w:p>
        </w:tc>
        <w:tc>
          <w:tcPr>
            <w:tcW w:w="6571"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hint="eastAsia"/>
                <w:szCs w:val="21"/>
              </w:rPr>
              <w:t>南方核心成长混合型证券投资基金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szCs w:val="21"/>
              </w:rPr>
            </w:pPr>
            <w:r w:rsidRPr="001A53C0">
              <w:rPr>
                <w:rFonts w:ascii="宋体" w:eastAsia="宋体" w:hAnsi="宋体"/>
              </w:rPr>
              <w:t>98</w:t>
            </w:r>
          </w:p>
        </w:tc>
        <w:tc>
          <w:tcPr>
            <w:tcW w:w="1136"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szCs w:val="21"/>
              </w:rPr>
              <w:t>009573</w:t>
            </w:r>
          </w:p>
        </w:tc>
        <w:tc>
          <w:tcPr>
            <w:tcW w:w="6571"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hint="eastAsia"/>
                <w:szCs w:val="21"/>
              </w:rPr>
              <w:t>南方养老目标日期</w:t>
            </w:r>
            <w:r w:rsidRPr="00F05552">
              <w:rPr>
                <w:rFonts w:ascii="宋体" w:eastAsia="宋体" w:hAnsi="宋体"/>
                <w:szCs w:val="21"/>
              </w:rPr>
              <w:t>2045</w:t>
            </w:r>
            <w:r w:rsidRPr="00F05552">
              <w:rPr>
                <w:rFonts w:ascii="宋体" w:eastAsia="宋体" w:hAnsi="宋体" w:hint="eastAsia"/>
                <w:szCs w:val="21"/>
              </w:rPr>
              <w:t>三年持有期混合型发起式基金中基金</w:t>
            </w:r>
            <w:r w:rsidRPr="00F05552">
              <w:rPr>
                <w:rFonts w:ascii="宋体" w:eastAsia="宋体" w:hAnsi="宋体"/>
                <w:szCs w:val="21"/>
              </w:rPr>
              <w:t>(FOF)</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szCs w:val="21"/>
              </w:rPr>
            </w:pPr>
            <w:r w:rsidRPr="001A53C0">
              <w:rPr>
                <w:rFonts w:ascii="宋体" w:eastAsia="宋体" w:hAnsi="宋体"/>
              </w:rPr>
              <w:t>99</w:t>
            </w:r>
          </w:p>
        </w:tc>
        <w:tc>
          <w:tcPr>
            <w:tcW w:w="1136"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szCs w:val="21"/>
              </w:rPr>
              <w:t>506000</w:t>
            </w:r>
          </w:p>
        </w:tc>
        <w:tc>
          <w:tcPr>
            <w:tcW w:w="6571"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hint="eastAsia"/>
                <w:szCs w:val="21"/>
              </w:rPr>
              <w:t>南方科创板</w:t>
            </w:r>
            <w:r w:rsidRPr="00F05552">
              <w:rPr>
                <w:rFonts w:ascii="宋体" w:eastAsia="宋体" w:hAnsi="宋体"/>
                <w:szCs w:val="21"/>
              </w:rPr>
              <w:t>3</w:t>
            </w:r>
            <w:r w:rsidRPr="00F05552">
              <w:rPr>
                <w:rFonts w:ascii="宋体" w:eastAsia="宋体" w:hAnsi="宋体" w:hint="eastAsia"/>
                <w:szCs w:val="21"/>
              </w:rPr>
              <w:t>年定期开放混合型证券投资基金</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szCs w:val="21"/>
              </w:rPr>
            </w:pPr>
            <w:r w:rsidRPr="001A53C0">
              <w:rPr>
                <w:rFonts w:ascii="宋体" w:eastAsia="宋体" w:hAnsi="宋体"/>
              </w:rPr>
              <w:t>100</w:t>
            </w:r>
          </w:p>
        </w:tc>
        <w:tc>
          <w:tcPr>
            <w:tcW w:w="1136"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szCs w:val="21"/>
              </w:rPr>
              <w:t>009704</w:t>
            </w:r>
          </w:p>
        </w:tc>
        <w:tc>
          <w:tcPr>
            <w:tcW w:w="6571"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hint="eastAsia"/>
                <w:szCs w:val="21"/>
              </w:rPr>
              <w:t>南方景气驱动混合型证券投资基金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szCs w:val="21"/>
              </w:rPr>
            </w:pPr>
            <w:r w:rsidRPr="001A53C0">
              <w:rPr>
                <w:rFonts w:ascii="宋体" w:eastAsia="宋体" w:hAnsi="宋体"/>
              </w:rPr>
              <w:t>101</w:t>
            </w:r>
          </w:p>
        </w:tc>
        <w:tc>
          <w:tcPr>
            <w:tcW w:w="1136"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szCs w:val="21"/>
              </w:rPr>
              <w:t>008546</w:t>
            </w:r>
          </w:p>
        </w:tc>
        <w:tc>
          <w:tcPr>
            <w:tcW w:w="6571"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hint="eastAsia"/>
                <w:szCs w:val="21"/>
              </w:rPr>
              <w:t>南方产业优势两年持有期混合型证券投资基金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szCs w:val="21"/>
              </w:rPr>
            </w:pPr>
            <w:r w:rsidRPr="001A53C0">
              <w:rPr>
                <w:rFonts w:ascii="宋体" w:eastAsia="宋体" w:hAnsi="宋体"/>
              </w:rPr>
              <w:t>102</w:t>
            </w:r>
          </w:p>
        </w:tc>
        <w:tc>
          <w:tcPr>
            <w:tcW w:w="1136"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szCs w:val="21"/>
              </w:rPr>
              <w:t>009929</w:t>
            </w:r>
          </w:p>
        </w:tc>
        <w:tc>
          <w:tcPr>
            <w:tcW w:w="6571"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hint="eastAsia"/>
                <w:szCs w:val="21"/>
              </w:rPr>
              <w:t>南方创新驱动混合型证券投资基金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szCs w:val="21"/>
              </w:rPr>
            </w:pPr>
            <w:r w:rsidRPr="001A53C0">
              <w:rPr>
                <w:rFonts w:ascii="宋体" w:eastAsia="宋体" w:hAnsi="宋体"/>
              </w:rPr>
              <w:t>103</w:t>
            </w:r>
          </w:p>
        </w:tc>
        <w:tc>
          <w:tcPr>
            <w:tcW w:w="1136"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szCs w:val="21"/>
              </w:rPr>
              <w:t>010132</w:t>
            </w:r>
          </w:p>
        </w:tc>
        <w:tc>
          <w:tcPr>
            <w:tcW w:w="6571"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hint="eastAsia"/>
                <w:szCs w:val="21"/>
              </w:rPr>
              <w:t>南方创新成长混合型证券投资基金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szCs w:val="21"/>
              </w:rPr>
            </w:pPr>
            <w:r w:rsidRPr="001A53C0">
              <w:rPr>
                <w:rFonts w:ascii="宋体" w:eastAsia="宋体" w:hAnsi="宋体"/>
              </w:rPr>
              <w:t>104</w:t>
            </w:r>
          </w:p>
        </w:tc>
        <w:tc>
          <w:tcPr>
            <w:tcW w:w="1136"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szCs w:val="21"/>
              </w:rPr>
              <w:t>010062</w:t>
            </w:r>
          </w:p>
        </w:tc>
        <w:tc>
          <w:tcPr>
            <w:tcW w:w="6571"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hint="eastAsia"/>
                <w:szCs w:val="21"/>
              </w:rPr>
              <w:t>南方行业精选一年持有期混合型证券投资基金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szCs w:val="21"/>
              </w:rPr>
            </w:pPr>
            <w:r w:rsidRPr="001A53C0">
              <w:rPr>
                <w:rFonts w:ascii="宋体" w:eastAsia="宋体" w:hAnsi="宋体"/>
              </w:rPr>
              <w:t>105</w:t>
            </w:r>
          </w:p>
        </w:tc>
        <w:tc>
          <w:tcPr>
            <w:tcW w:w="1136"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szCs w:val="21"/>
              </w:rPr>
              <w:t>010006</w:t>
            </w:r>
          </w:p>
        </w:tc>
        <w:tc>
          <w:tcPr>
            <w:tcW w:w="6571"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hint="eastAsia"/>
                <w:szCs w:val="21"/>
              </w:rPr>
              <w:t>南方誉鼎一年持有期混合型证券投资基金</w:t>
            </w:r>
            <w:r w:rsidRPr="00F05552">
              <w:rPr>
                <w:rFonts w:ascii="宋体" w:eastAsia="宋体" w:hAnsi="宋体"/>
                <w:szCs w:val="21"/>
              </w:rPr>
              <w:t>A</w:t>
            </w:r>
            <w:r w:rsidRPr="00F05552">
              <w:rPr>
                <w:rFonts w:ascii="宋体" w:eastAsia="宋体" w:hAnsi="宋体" w:hint="eastAsia"/>
                <w:szCs w:val="21"/>
              </w:rPr>
              <w:t>类</w:t>
            </w:r>
          </w:p>
        </w:tc>
      </w:tr>
      <w:tr w:rsidR="001A53C0" w:rsidRPr="004A0FBE" w:rsidTr="001A53C0">
        <w:tc>
          <w:tcPr>
            <w:tcW w:w="815" w:type="dxa"/>
          </w:tcPr>
          <w:p w:rsidR="001A53C0" w:rsidRPr="001A53C0" w:rsidRDefault="001A53C0" w:rsidP="001A53C0">
            <w:pPr>
              <w:spacing w:line="360" w:lineRule="auto"/>
              <w:jc w:val="center"/>
              <w:outlineLvl w:val="0"/>
              <w:rPr>
                <w:rFonts w:ascii="宋体" w:eastAsia="宋体" w:hAnsi="宋体"/>
                <w:szCs w:val="21"/>
              </w:rPr>
            </w:pPr>
            <w:r w:rsidRPr="001A53C0">
              <w:rPr>
                <w:rFonts w:ascii="宋体" w:eastAsia="宋体" w:hAnsi="宋体"/>
              </w:rPr>
              <w:t>106</w:t>
            </w:r>
          </w:p>
        </w:tc>
        <w:tc>
          <w:tcPr>
            <w:tcW w:w="1136"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szCs w:val="21"/>
              </w:rPr>
              <w:t>010299</w:t>
            </w:r>
          </w:p>
        </w:tc>
        <w:tc>
          <w:tcPr>
            <w:tcW w:w="6571" w:type="dxa"/>
            <w:vAlign w:val="center"/>
          </w:tcPr>
          <w:p w:rsidR="001A53C0" w:rsidRPr="005E2C7F" w:rsidRDefault="001A53C0" w:rsidP="001A53C0">
            <w:pPr>
              <w:spacing w:line="360" w:lineRule="auto"/>
              <w:jc w:val="center"/>
              <w:outlineLvl w:val="0"/>
              <w:rPr>
                <w:rFonts w:ascii="宋体" w:eastAsia="宋体" w:hAnsi="宋体"/>
                <w:szCs w:val="21"/>
              </w:rPr>
            </w:pPr>
            <w:r w:rsidRPr="00F05552">
              <w:rPr>
                <w:rFonts w:ascii="宋体" w:eastAsia="宋体" w:hAnsi="宋体" w:hint="eastAsia"/>
                <w:szCs w:val="21"/>
              </w:rPr>
              <w:t>南方产业升级混合型证券投资基金</w:t>
            </w:r>
            <w:r w:rsidRPr="00F05552">
              <w:rPr>
                <w:rFonts w:ascii="宋体" w:eastAsia="宋体" w:hAnsi="宋体"/>
                <w:szCs w:val="21"/>
              </w:rPr>
              <w:t>A</w:t>
            </w:r>
            <w:r w:rsidRPr="00F05552">
              <w:rPr>
                <w:rFonts w:ascii="宋体" w:eastAsia="宋体" w:hAnsi="宋体" w:hint="eastAsia"/>
                <w:szCs w:val="21"/>
              </w:rPr>
              <w:t>类</w:t>
            </w:r>
          </w:p>
        </w:tc>
      </w:tr>
      <w:tr w:rsidR="00212776" w:rsidRPr="004A0FBE" w:rsidTr="001A53C0">
        <w:tc>
          <w:tcPr>
            <w:tcW w:w="815" w:type="dxa"/>
          </w:tcPr>
          <w:p w:rsidR="00212776" w:rsidRPr="001A53C0" w:rsidRDefault="00212776" w:rsidP="001A53C0">
            <w:pPr>
              <w:spacing w:line="360" w:lineRule="auto"/>
              <w:jc w:val="center"/>
              <w:outlineLvl w:val="0"/>
              <w:rPr>
                <w:rFonts w:ascii="宋体" w:eastAsia="宋体" w:hAnsi="宋体"/>
              </w:rPr>
            </w:pPr>
            <w:r>
              <w:rPr>
                <w:rFonts w:ascii="宋体" w:eastAsia="宋体" w:hAnsi="宋体" w:hint="eastAsia"/>
              </w:rPr>
              <w:t>107</w:t>
            </w:r>
          </w:p>
        </w:tc>
        <w:tc>
          <w:tcPr>
            <w:tcW w:w="1136" w:type="dxa"/>
            <w:vAlign w:val="center"/>
          </w:tcPr>
          <w:p w:rsidR="00212776" w:rsidRPr="00F05552" w:rsidRDefault="00212776" w:rsidP="001A53C0">
            <w:pPr>
              <w:spacing w:line="360" w:lineRule="auto"/>
              <w:jc w:val="center"/>
              <w:outlineLvl w:val="0"/>
              <w:rPr>
                <w:rFonts w:ascii="宋体" w:eastAsia="宋体" w:hAnsi="宋体"/>
                <w:szCs w:val="21"/>
              </w:rPr>
            </w:pPr>
            <w:r>
              <w:rPr>
                <w:rFonts w:ascii="宋体" w:eastAsia="宋体" w:hAnsi="宋体" w:hint="eastAsia"/>
                <w:szCs w:val="21"/>
              </w:rPr>
              <w:t>010879</w:t>
            </w:r>
          </w:p>
        </w:tc>
        <w:tc>
          <w:tcPr>
            <w:tcW w:w="6571" w:type="dxa"/>
            <w:vAlign w:val="center"/>
          </w:tcPr>
          <w:p w:rsidR="00212776" w:rsidRPr="00F05552" w:rsidRDefault="00212776" w:rsidP="001A53C0">
            <w:pPr>
              <w:spacing w:line="360" w:lineRule="auto"/>
              <w:jc w:val="center"/>
              <w:outlineLvl w:val="0"/>
              <w:rPr>
                <w:rFonts w:ascii="宋体" w:eastAsia="宋体" w:hAnsi="宋体"/>
                <w:szCs w:val="21"/>
              </w:rPr>
            </w:pPr>
            <w:r w:rsidRPr="00212776">
              <w:rPr>
                <w:rFonts w:ascii="宋体" w:eastAsia="宋体" w:hAnsi="宋体" w:hint="eastAsia"/>
                <w:szCs w:val="21"/>
              </w:rPr>
              <w:t>南方宝升混合型证券投资基金A类</w:t>
            </w:r>
          </w:p>
        </w:tc>
      </w:tr>
    </w:tbl>
    <w:p w:rsidR="009F6510" w:rsidRPr="00344C23" w:rsidRDefault="009F6510" w:rsidP="00344C23">
      <w:pPr>
        <w:spacing w:line="360" w:lineRule="auto"/>
        <w:outlineLvl w:val="0"/>
        <w:rPr>
          <w:rFonts w:ascii="宋体" w:eastAsia="宋体" w:hAnsi="宋体" w:cs="宋体"/>
          <w:b/>
          <w:kern w:val="0"/>
          <w:szCs w:val="21"/>
        </w:rPr>
      </w:pPr>
    </w:p>
    <w:p w:rsidR="00E7168A" w:rsidRPr="000619F0" w:rsidRDefault="005E5EDC" w:rsidP="00E7168A">
      <w:pPr>
        <w:spacing w:line="360" w:lineRule="auto"/>
        <w:outlineLvl w:val="0"/>
        <w:rPr>
          <w:sz w:val="18"/>
          <w:szCs w:val="21"/>
        </w:rPr>
      </w:pPr>
      <w:r w:rsidRPr="000619F0">
        <w:rPr>
          <w:rFonts w:ascii="宋体" w:eastAsia="宋体" w:hAnsi="宋体" w:cs="宋体" w:hint="eastAsia"/>
          <w:b/>
          <w:kern w:val="0"/>
          <w:szCs w:val="21"/>
        </w:rPr>
        <w:t>二、适用</w:t>
      </w:r>
      <w:r w:rsidR="004A0FBE">
        <w:rPr>
          <w:rFonts w:ascii="宋体" w:eastAsia="宋体" w:hAnsi="宋体" w:cs="宋体" w:hint="eastAsia"/>
          <w:b/>
          <w:kern w:val="0"/>
          <w:szCs w:val="21"/>
        </w:rPr>
        <w:t>客户范围</w:t>
      </w:r>
      <w:r w:rsidRPr="000619F0">
        <w:rPr>
          <w:rFonts w:ascii="宋体" w:eastAsia="宋体" w:hAnsi="宋体" w:cs="宋体"/>
          <w:b/>
          <w:kern w:val="0"/>
          <w:szCs w:val="21"/>
        </w:rPr>
        <w:t xml:space="preserve"> </w:t>
      </w:r>
    </w:p>
    <w:p w:rsidR="002D5210" w:rsidRDefault="004A0FBE" w:rsidP="00344C23">
      <w:pPr>
        <w:spacing w:line="360" w:lineRule="auto"/>
        <w:ind w:firstLine="360"/>
        <w:outlineLvl w:val="0"/>
        <w:rPr>
          <w:rFonts w:ascii="Verdana" w:hAnsi="Verdana"/>
          <w:color w:val="000000"/>
          <w:szCs w:val="21"/>
        </w:rPr>
      </w:pPr>
      <w:r w:rsidRPr="004A0FBE">
        <w:rPr>
          <w:rFonts w:ascii="Verdana" w:eastAsia="宋体" w:hAnsi="Verdana" w:cs="宋体" w:hint="eastAsia"/>
          <w:color w:val="000000"/>
          <w:kern w:val="0"/>
          <w:szCs w:val="21"/>
        </w:rPr>
        <w:t>活动期间通过邮储银行个人网上银行和手机银行申购开放式基金的个人投资者。</w:t>
      </w:r>
    </w:p>
    <w:p w:rsidR="004A0FBE" w:rsidRPr="000619F0" w:rsidRDefault="004A0FBE" w:rsidP="004A0FBE">
      <w:pPr>
        <w:spacing w:line="360" w:lineRule="auto"/>
        <w:outlineLvl w:val="0"/>
        <w:rPr>
          <w:sz w:val="18"/>
          <w:szCs w:val="21"/>
        </w:rPr>
      </w:pPr>
      <w:r>
        <w:rPr>
          <w:rFonts w:ascii="宋体" w:eastAsia="宋体" w:hAnsi="宋体" w:cs="宋体" w:hint="eastAsia"/>
          <w:b/>
          <w:kern w:val="0"/>
          <w:szCs w:val="21"/>
        </w:rPr>
        <w:t>三</w:t>
      </w:r>
      <w:r w:rsidRPr="000619F0">
        <w:rPr>
          <w:rFonts w:ascii="宋体" w:eastAsia="宋体" w:hAnsi="宋体" w:cs="宋体" w:hint="eastAsia"/>
          <w:b/>
          <w:kern w:val="0"/>
          <w:szCs w:val="21"/>
        </w:rPr>
        <w:t>、适用</w:t>
      </w:r>
      <w:r>
        <w:rPr>
          <w:rFonts w:ascii="宋体" w:eastAsia="宋体" w:hAnsi="宋体" w:cs="宋体" w:hint="eastAsia"/>
          <w:b/>
          <w:kern w:val="0"/>
          <w:szCs w:val="21"/>
        </w:rPr>
        <w:t>期限</w:t>
      </w:r>
      <w:r w:rsidRPr="000619F0">
        <w:rPr>
          <w:rFonts w:ascii="宋体" w:eastAsia="宋体" w:hAnsi="宋体" w:cs="宋体"/>
          <w:b/>
          <w:kern w:val="0"/>
          <w:szCs w:val="21"/>
        </w:rPr>
        <w:t xml:space="preserve"> </w:t>
      </w:r>
    </w:p>
    <w:p w:rsidR="004A0FBE" w:rsidRDefault="005E2C7F" w:rsidP="00FC42FD">
      <w:pPr>
        <w:spacing w:line="360" w:lineRule="auto"/>
        <w:ind w:firstLine="360"/>
        <w:outlineLvl w:val="0"/>
        <w:rPr>
          <w:rFonts w:ascii="Verdana" w:eastAsia="宋体" w:hAnsi="Verdana" w:cs="宋体"/>
          <w:color w:val="000000"/>
          <w:kern w:val="0"/>
          <w:szCs w:val="21"/>
        </w:rPr>
      </w:pPr>
      <w:r w:rsidRPr="004A0FBE">
        <w:rPr>
          <w:rFonts w:ascii="Verdana" w:eastAsia="宋体" w:hAnsi="Verdana" w:cs="宋体" w:hint="eastAsia"/>
          <w:color w:val="000000"/>
          <w:kern w:val="0"/>
          <w:szCs w:val="21"/>
        </w:rPr>
        <w:t>20</w:t>
      </w:r>
      <w:r>
        <w:rPr>
          <w:rFonts w:ascii="Verdana" w:eastAsia="宋体" w:hAnsi="Verdana" w:cs="宋体"/>
          <w:color w:val="000000"/>
          <w:kern w:val="0"/>
          <w:szCs w:val="21"/>
        </w:rPr>
        <w:t>21</w:t>
      </w:r>
      <w:r w:rsidR="004A0FBE" w:rsidRPr="004A0FBE">
        <w:rPr>
          <w:rFonts w:ascii="Verdana" w:eastAsia="宋体" w:hAnsi="Verdana" w:cs="宋体" w:hint="eastAsia"/>
          <w:color w:val="000000"/>
          <w:kern w:val="0"/>
          <w:szCs w:val="21"/>
        </w:rPr>
        <w:t>年</w:t>
      </w:r>
      <w:r w:rsidR="004A0FBE" w:rsidRPr="004A0FBE">
        <w:rPr>
          <w:rFonts w:ascii="Verdana" w:eastAsia="宋体" w:hAnsi="Verdana" w:cs="宋体" w:hint="eastAsia"/>
          <w:color w:val="000000"/>
          <w:kern w:val="0"/>
          <w:szCs w:val="21"/>
        </w:rPr>
        <w:t>1</w:t>
      </w:r>
      <w:r w:rsidR="004A0FBE" w:rsidRPr="004A0FBE">
        <w:rPr>
          <w:rFonts w:ascii="Verdana" w:eastAsia="宋体" w:hAnsi="Verdana" w:cs="宋体" w:hint="eastAsia"/>
          <w:color w:val="000000"/>
          <w:kern w:val="0"/>
          <w:szCs w:val="21"/>
        </w:rPr>
        <w:t>月</w:t>
      </w:r>
      <w:r w:rsidR="004A0FBE" w:rsidRPr="004A0FBE">
        <w:rPr>
          <w:rFonts w:ascii="Verdana" w:eastAsia="宋体" w:hAnsi="Verdana" w:cs="宋体" w:hint="eastAsia"/>
          <w:color w:val="000000"/>
          <w:kern w:val="0"/>
          <w:szCs w:val="21"/>
        </w:rPr>
        <w:t>1</w:t>
      </w:r>
      <w:r w:rsidR="004A0FBE" w:rsidRPr="004A0FBE">
        <w:rPr>
          <w:rFonts w:ascii="Verdana" w:eastAsia="宋体" w:hAnsi="Verdana" w:cs="宋体" w:hint="eastAsia"/>
          <w:color w:val="000000"/>
          <w:kern w:val="0"/>
          <w:szCs w:val="21"/>
        </w:rPr>
        <w:t>日至</w:t>
      </w:r>
      <w:r>
        <w:rPr>
          <w:rFonts w:ascii="Verdana" w:eastAsia="宋体" w:hAnsi="Verdana" w:cs="宋体" w:hint="eastAsia"/>
          <w:color w:val="000000"/>
          <w:kern w:val="0"/>
          <w:szCs w:val="21"/>
        </w:rPr>
        <w:t>20</w:t>
      </w:r>
      <w:r>
        <w:rPr>
          <w:rFonts w:ascii="Verdana" w:eastAsia="宋体" w:hAnsi="Verdana" w:cs="宋体"/>
          <w:color w:val="000000"/>
          <w:kern w:val="0"/>
          <w:szCs w:val="21"/>
        </w:rPr>
        <w:t>21</w:t>
      </w:r>
      <w:r w:rsidR="004A0FBE" w:rsidRPr="004A0FBE">
        <w:rPr>
          <w:rFonts w:ascii="Verdana" w:eastAsia="宋体" w:hAnsi="Verdana" w:cs="宋体" w:hint="eastAsia"/>
          <w:color w:val="000000"/>
          <w:kern w:val="0"/>
          <w:szCs w:val="21"/>
        </w:rPr>
        <w:t>年</w:t>
      </w:r>
      <w:r w:rsidR="004A0FBE" w:rsidRPr="004A0FBE">
        <w:rPr>
          <w:rFonts w:ascii="Verdana" w:eastAsia="宋体" w:hAnsi="Verdana" w:cs="宋体" w:hint="eastAsia"/>
          <w:color w:val="000000"/>
          <w:kern w:val="0"/>
          <w:szCs w:val="21"/>
        </w:rPr>
        <w:t>12</w:t>
      </w:r>
      <w:r w:rsidR="004A0FBE" w:rsidRPr="004A0FBE">
        <w:rPr>
          <w:rFonts w:ascii="Verdana" w:eastAsia="宋体" w:hAnsi="Verdana" w:cs="宋体" w:hint="eastAsia"/>
          <w:color w:val="000000"/>
          <w:kern w:val="0"/>
          <w:szCs w:val="21"/>
        </w:rPr>
        <w:t>月</w:t>
      </w:r>
      <w:r w:rsidR="004A0FBE" w:rsidRPr="004A0FBE">
        <w:rPr>
          <w:rFonts w:ascii="Verdana" w:eastAsia="宋体" w:hAnsi="Verdana" w:cs="宋体" w:hint="eastAsia"/>
          <w:color w:val="000000"/>
          <w:kern w:val="0"/>
          <w:szCs w:val="21"/>
        </w:rPr>
        <w:t>31</w:t>
      </w:r>
      <w:r w:rsidR="004A0FBE" w:rsidRPr="004A0FBE">
        <w:rPr>
          <w:rFonts w:ascii="Verdana" w:eastAsia="宋体" w:hAnsi="Verdana" w:cs="宋体" w:hint="eastAsia"/>
          <w:color w:val="000000"/>
          <w:kern w:val="0"/>
          <w:szCs w:val="21"/>
        </w:rPr>
        <w:t>日（法定基金交易日）。</w:t>
      </w:r>
    </w:p>
    <w:p w:rsidR="004A0FBE" w:rsidRPr="000619F0" w:rsidRDefault="004A0FBE" w:rsidP="004A0FBE">
      <w:pPr>
        <w:spacing w:line="360" w:lineRule="auto"/>
        <w:outlineLvl w:val="0"/>
        <w:rPr>
          <w:sz w:val="18"/>
          <w:szCs w:val="21"/>
        </w:rPr>
      </w:pPr>
      <w:r>
        <w:rPr>
          <w:rFonts w:ascii="宋体" w:eastAsia="宋体" w:hAnsi="宋体" w:cs="宋体" w:hint="eastAsia"/>
          <w:b/>
          <w:kern w:val="0"/>
          <w:szCs w:val="21"/>
        </w:rPr>
        <w:t>四</w:t>
      </w:r>
      <w:r w:rsidRPr="000619F0">
        <w:rPr>
          <w:rFonts w:ascii="宋体" w:eastAsia="宋体" w:hAnsi="宋体" w:cs="宋体" w:hint="eastAsia"/>
          <w:b/>
          <w:kern w:val="0"/>
          <w:szCs w:val="21"/>
        </w:rPr>
        <w:t>、</w:t>
      </w:r>
      <w:r>
        <w:rPr>
          <w:rFonts w:ascii="宋体" w:eastAsia="宋体" w:hAnsi="宋体" w:cs="宋体" w:hint="eastAsia"/>
          <w:b/>
          <w:kern w:val="0"/>
          <w:szCs w:val="21"/>
        </w:rPr>
        <w:t>费率优惠方案</w:t>
      </w:r>
      <w:r w:rsidRPr="000619F0">
        <w:rPr>
          <w:rFonts w:ascii="宋体" w:eastAsia="宋体" w:hAnsi="宋体" w:cs="宋体"/>
          <w:b/>
          <w:kern w:val="0"/>
          <w:szCs w:val="21"/>
        </w:rPr>
        <w:t xml:space="preserve"> </w:t>
      </w:r>
    </w:p>
    <w:p w:rsidR="004A0FBE" w:rsidRPr="00FC42FD" w:rsidRDefault="004A0FBE" w:rsidP="007910F8">
      <w:pPr>
        <w:spacing w:line="360" w:lineRule="auto"/>
        <w:ind w:firstLine="360"/>
        <w:outlineLvl w:val="0"/>
        <w:rPr>
          <w:rFonts w:ascii="Verdana" w:eastAsia="宋体" w:hAnsi="Verdana" w:cs="宋体"/>
          <w:color w:val="000000"/>
          <w:kern w:val="0"/>
          <w:szCs w:val="21"/>
        </w:rPr>
      </w:pPr>
      <w:r w:rsidRPr="004A0FBE">
        <w:rPr>
          <w:rFonts w:ascii="Verdana" w:eastAsia="宋体" w:hAnsi="Verdana" w:cs="宋体" w:hint="eastAsia"/>
          <w:color w:val="000000"/>
          <w:kern w:val="0"/>
          <w:szCs w:val="21"/>
        </w:rPr>
        <w:t>投资者通过邮储银行个人网上银行和手机银行申购（不含定期定额申购）上述开放式基金产品，其申购费率享有</w:t>
      </w:r>
      <w:r w:rsidR="007910F8">
        <w:rPr>
          <w:rFonts w:ascii="Verdana" w:eastAsia="宋体" w:hAnsi="Verdana" w:cs="宋体"/>
          <w:color w:val="000000"/>
          <w:kern w:val="0"/>
          <w:szCs w:val="21"/>
        </w:rPr>
        <w:t>8</w:t>
      </w:r>
      <w:r w:rsidRPr="004A0FBE">
        <w:rPr>
          <w:rFonts w:ascii="Verdana" w:eastAsia="宋体" w:hAnsi="Verdana" w:cs="宋体" w:hint="eastAsia"/>
          <w:color w:val="000000"/>
          <w:kern w:val="0"/>
          <w:szCs w:val="21"/>
        </w:rPr>
        <w:t>折优惠。若折扣后申购费率低于</w:t>
      </w:r>
      <w:r w:rsidRPr="004A0FBE">
        <w:rPr>
          <w:rFonts w:ascii="Verdana" w:eastAsia="宋体" w:hAnsi="Verdana" w:cs="宋体" w:hint="eastAsia"/>
          <w:color w:val="000000"/>
          <w:kern w:val="0"/>
          <w:szCs w:val="21"/>
        </w:rPr>
        <w:t>0.6%</w:t>
      </w:r>
      <w:r w:rsidRPr="004A0FBE">
        <w:rPr>
          <w:rFonts w:ascii="Verdana" w:eastAsia="宋体" w:hAnsi="Verdana" w:cs="宋体" w:hint="eastAsia"/>
          <w:color w:val="000000"/>
          <w:kern w:val="0"/>
          <w:szCs w:val="21"/>
        </w:rPr>
        <w:t>，则按</w:t>
      </w:r>
      <w:r w:rsidRPr="004A0FBE">
        <w:rPr>
          <w:rFonts w:ascii="Verdana" w:eastAsia="宋体" w:hAnsi="Verdana" w:cs="宋体" w:hint="eastAsia"/>
          <w:color w:val="000000"/>
          <w:kern w:val="0"/>
          <w:szCs w:val="21"/>
        </w:rPr>
        <w:t>0.6%</w:t>
      </w:r>
      <w:r w:rsidRPr="004A0FBE">
        <w:rPr>
          <w:rFonts w:ascii="Verdana" w:eastAsia="宋体" w:hAnsi="Verdana" w:cs="宋体" w:hint="eastAsia"/>
          <w:color w:val="000000"/>
          <w:kern w:val="0"/>
          <w:szCs w:val="21"/>
        </w:rPr>
        <w:t>执行；若折扣前的原申购费率等于或低于</w:t>
      </w:r>
      <w:r w:rsidRPr="004A0FBE">
        <w:rPr>
          <w:rFonts w:ascii="Verdana" w:eastAsia="宋体" w:hAnsi="Verdana" w:cs="宋体" w:hint="eastAsia"/>
          <w:color w:val="000000"/>
          <w:kern w:val="0"/>
          <w:szCs w:val="21"/>
        </w:rPr>
        <w:t>0.6%</w:t>
      </w:r>
      <w:r w:rsidRPr="004A0FBE">
        <w:rPr>
          <w:rFonts w:ascii="Verdana" w:eastAsia="宋体" w:hAnsi="Verdana" w:cs="宋体" w:hint="eastAsia"/>
          <w:color w:val="000000"/>
          <w:kern w:val="0"/>
          <w:szCs w:val="21"/>
        </w:rPr>
        <w:t>，则按原费率执行，不再享有费率折扣。</w:t>
      </w:r>
    </w:p>
    <w:p w:rsidR="005E5EDC" w:rsidRPr="000619F0" w:rsidRDefault="007910F8" w:rsidP="005E5EDC">
      <w:pPr>
        <w:spacing w:line="360" w:lineRule="auto"/>
        <w:outlineLvl w:val="0"/>
        <w:rPr>
          <w:rFonts w:ascii="宋体" w:eastAsia="宋体" w:hAnsi="宋体" w:cs="宋体"/>
          <w:b/>
          <w:kern w:val="0"/>
          <w:szCs w:val="21"/>
        </w:rPr>
      </w:pPr>
      <w:r>
        <w:rPr>
          <w:rFonts w:ascii="宋体" w:eastAsia="宋体" w:hAnsi="宋体" w:cs="宋体" w:hint="eastAsia"/>
          <w:b/>
          <w:kern w:val="0"/>
          <w:szCs w:val="21"/>
        </w:rPr>
        <w:t>五</w:t>
      </w:r>
      <w:r w:rsidR="005E5EDC" w:rsidRPr="000619F0">
        <w:rPr>
          <w:rFonts w:ascii="宋体" w:eastAsia="宋体" w:hAnsi="宋体" w:cs="宋体" w:hint="eastAsia"/>
          <w:b/>
          <w:kern w:val="0"/>
          <w:szCs w:val="21"/>
        </w:rPr>
        <w:t>、重要提示</w:t>
      </w:r>
    </w:p>
    <w:p w:rsidR="005E5EDC" w:rsidRPr="000619F0" w:rsidRDefault="005E5EDC" w:rsidP="005E5EDC">
      <w:pPr>
        <w:pStyle w:val="a7"/>
        <w:spacing w:before="0" w:beforeAutospacing="0" w:after="0" w:afterAutospacing="0" w:line="360" w:lineRule="auto"/>
        <w:ind w:firstLineChars="200" w:firstLine="420"/>
        <w:rPr>
          <w:rFonts w:ascii="Verdana" w:hAnsi="Verdana"/>
          <w:color w:val="000000"/>
          <w:sz w:val="21"/>
          <w:szCs w:val="21"/>
        </w:rPr>
      </w:pPr>
      <w:r w:rsidRPr="000619F0">
        <w:rPr>
          <w:rFonts w:ascii="Verdana" w:hAnsi="Verdana" w:hint="eastAsia"/>
          <w:color w:val="000000"/>
          <w:sz w:val="21"/>
          <w:szCs w:val="21"/>
        </w:rPr>
        <w:t>1</w:t>
      </w:r>
      <w:r w:rsidRPr="000619F0">
        <w:rPr>
          <w:rFonts w:ascii="Verdana" w:hAnsi="Verdana" w:hint="eastAsia"/>
          <w:color w:val="000000"/>
          <w:sz w:val="21"/>
          <w:szCs w:val="21"/>
        </w:rPr>
        <w:t>、</w:t>
      </w:r>
      <w:r w:rsidR="007910F8" w:rsidRPr="007910F8">
        <w:rPr>
          <w:rFonts w:ascii="Verdana" w:hAnsi="Verdana" w:hint="eastAsia"/>
          <w:color w:val="000000"/>
          <w:sz w:val="21"/>
          <w:szCs w:val="21"/>
        </w:rPr>
        <w:t>上述基金原费率请详见基金的《基金合同》和《招募说明书》等相关法律文件及本公司发布的最新业务公告。</w:t>
      </w:r>
    </w:p>
    <w:p w:rsidR="007910F8" w:rsidRDefault="005E5EDC" w:rsidP="005E5EDC">
      <w:pPr>
        <w:pStyle w:val="a7"/>
        <w:spacing w:before="0" w:beforeAutospacing="0" w:after="0" w:afterAutospacing="0" w:line="360" w:lineRule="auto"/>
        <w:ind w:firstLineChars="200" w:firstLine="420"/>
        <w:rPr>
          <w:rFonts w:ascii="Verdana" w:hAnsi="Verdana"/>
          <w:color w:val="000000"/>
          <w:sz w:val="21"/>
          <w:szCs w:val="21"/>
        </w:rPr>
      </w:pPr>
      <w:r w:rsidRPr="000619F0">
        <w:rPr>
          <w:rFonts w:ascii="Verdana" w:hAnsi="Verdana" w:hint="eastAsia"/>
          <w:color w:val="000000"/>
          <w:sz w:val="21"/>
          <w:szCs w:val="21"/>
        </w:rPr>
        <w:t>2</w:t>
      </w:r>
      <w:r w:rsidRPr="000619F0">
        <w:rPr>
          <w:rFonts w:ascii="Verdana" w:hAnsi="Verdana" w:hint="eastAsia"/>
          <w:color w:val="000000"/>
          <w:sz w:val="21"/>
          <w:szCs w:val="21"/>
        </w:rPr>
        <w:t>、</w:t>
      </w:r>
      <w:r w:rsidR="007910F8" w:rsidRPr="007910F8">
        <w:rPr>
          <w:rFonts w:ascii="Verdana" w:hAnsi="Verdana" w:hint="eastAsia"/>
          <w:color w:val="000000"/>
          <w:sz w:val="21"/>
          <w:szCs w:val="21"/>
        </w:rPr>
        <w:t>上述优惠活动仅适用于处于正常申购期且为前端收费模式的基金的申购手续费，不包括上述基金后端收费模式的申购手续费以及处于基金募集期的基金认购费，也不包括基金定期定额、转换业务等其他业务的基金手续费。</w:t>
      </w:r>
    </w:p>
    <w:p w:rsidR="00F47929" w:rsidRPr="007910F8" w:rsidRDefault="005E5EDC">
      <w:pPr>
        <w:pStyle w:val="a7"/>
        <w:spacing w:before="0" w:beforeAutospacing="0" w:after="0" w:afterAutospacing="0" w:line="360" w:lineRule="auto"/>
        <w:ind w:firstLineChars="200" w:firstLine="420"/>
        <w:rPr>
          <w:rFonts w:ascii="Verdana" w:hAnsi="Verdana"/>
          <w:color w:val="000000"/>
          <w:sz w:val="21"/>
          <w:szCs w:val="21"/>
        </w:rPr>
      </w:pPr>
      <w:r w:rsidRPr="000619F0">
        <w:rPr>
          <w:rFonts w:ascii="Verdana" w:hAnsi="Verdana" w:hint="eastAsia"/>
          <w:color w:val="000000"/>
          <w:sz w:val="21"/>
          <w:szCs w:val="21"/>
        </w:rPr>
        <w:t>3</w:t>
      </w:r>
      <w:r w:rsidRPr="000619F0">
        <w:rPr>
          <w:rFonts w:ascii="Verdana" w:hAnsi="Verdana" w:hint="eastAsia"/>
          <w:color w:val="000000"/>
          <w:sz w:val="21"/>
          <w:szCs w:val="21"/>
        </w:rPr>
        <w:t>、上述费率优惠活动如有展期、终止或调整，费率优惠规则如有变更，均以</w:t>
      </w:r>
      <w:r w:rsidR="005C0ECC">
        <w:rPr>
          <w:rFonts w:ascii="Verdana" w:hAnsi="Verdana" w:hint="eastAsia"/>
          <w:color w:val="000000"/>
          <w:sz w:val="21"/>
          <w:szCs w:val="21"/>
        </w:rPr>
        <w:t>邮储</w:t>
      </w:r>
      <w:r w:rsidRPr="000619F0">
        <w:rPr>
          <w:rFonts w:ascii="Verdana" w:hAnsi="Verdana" w:hint="eastAsia"/>
          <w:color w:val="000000"/>
          <w:sz w:val="21"/>
          <w:szCs w:val="21"/>
        </w:rPr>
        <w:t>银行的安排和规定为准。</w:t>
      </w:r>
    </w:p>
    <w:p w:rsidR="005E5EDC" w:rsidRPr="000619F0" w:rsidRDefault="007910F8" w:rsidP="005E5EDC">
      <w:pPr>
        <w:spacing w:line="360" w:lineRule="auto"/>
        <w:outlineLvl w:val="0"/>
        <w:rPr>
          <w:rFonts w:ascii="宋体" w:eastAsia="宋体" w:hAnsi="宋体" w:cs="宋体"/>
          <w:b/>
          <w:kern w:val="0"/>
          <w:szCs w:val="21"/>
        </w:rPr>
      </w:pPr>
      <w:r>
        <w:rPr>
          <w:rFonts w:ascii="宋体" w:eastAsia="宋体" w:hAnsi="宋体" w:cs="宋体" w:hint="eastAsia"/>
          <w:b/>
          <w:kern w:val="0"/>
          <w:szCs w:val="21"/>
        </w:rPr>
        <w:t>六</w:t>
      </w:r>
      <w:r w:rsidR="005E5EDC" w:rsidRPr="000619F0">
        <w:rPr>
          <w:rFonts w:ascii="宋体" w:eastAsia="宋体" w:hAnsi="宋体" w:cs="宋体" w:hint="eastAsia"/>
          <w:b/>
          <w:kern w:val="0"/>
          <w:szCs w:val="21"/>
        </w:rPr>
        <w:t>、投资人可通过以下途径了解或咨询相关情况：</w:t>
      </w:r>
    </w:p>
    <w:p w:rsidR="005E5EDC" w:rsidRPr="000619F0" w:rsidRDefault="005C0ECC">
      <w:pPr>
        <w:pStyle w:val="a7"/>
        <w:spacing w:before="0" w:beforeAutospacing="0" w:after="0" w:afterAutospacing="0" w:line="360" w:lineRule="auto"/>
        <w:ind w:firstLineChars="200" w:firstLine="420"/>
        <w:rPr>
          <w:rFonts w:ascii="Verdana" w:hAnsi="Verdana"/>
          <w:color w:val="000000"/>
          <w:sz w:val="21"/>
          <w:szCs w:val="21"/>
        </w:rPr>
      </w:pPr>
      <w:r>
        <w:rPr>
          <w:rFonts w:ascii="Verdana" w:hAnsi="Verdana" w:hint="eastAsia"/>
          <w:color w:val="000000"/>
          <w:sz w:val="21"/>
          <w:szCs w:val="21"/>
        </w:rPr>
        <w:t>邮储</w:t>
      </w:r>
      <w:r w:rsidR="005E5EDC" w:rsidRPr="000619F0">
        <w:rPr>
          <w:rFonts w:ascii="Verdana" w:hAnsi="Verdana" w:hint="eastAsia"/>
          <w:color w:val="000000"/>
          <w:sz w:val="21"/>
          <w:szCs w:val="21"/>
        </w:rPr>
        <w:t>银行电话银行：</w:t>
      </w:r>
      <w:r w:rsidRPr="000619F0">
        <w:rPr>
          <w:rFonts w:ascii="Verdana" w:hAnsi="Verdana" w:hint="eastAsia"/>
          <w:color w:val="000000"/>
          <w:sz w:val="21"/>
          <w:szCs w:val="21"/>
        </w:rPr>
        <w:t>9558</w:t>
      </w:r>
      <w:r>
        <w:rPr>
          <w:rFonts w:ascii="Verdana" w:hAnsi="Verdana"/>
          <w:color w:val="000000"/>
          <w:sz w:val="21"/>
          <w:szCs w:val="21"/>
        </w:rPr>
        <w:t>0</w:t>
      </w:r>
    </w:p>
    <w:p w:rsidR="005E2C7F" w:rsidRPr="000619F0" w:rsidRDefault="005C0ECC">
      <w:pPr>
        <w:pStyle w:val="a7"/>
        <w:spacing w:before="0" w:beforeAutospacing="0" w:after="0" w:afterAutospacing="0" w:line="360" w:lineRule="auto"/>
        <w:ind w:firstLineChars="200" w:firstLine="420"/>
        <w:rPr>
          <w:rFonts w:ascii="Verdana" w:hAnsi="Verdana"/>
          <w:color w:val="000000"/>
          <w:sz w:val="21"/>
          <w:szCs w:val="21"/>
        </w:rPr>
      </w:pPr>
      <w:r>
        <w:rPr>
          <w:rFonts w:ascii="Verdana" w:hAnsi="Verdana" w:hint="eastAsia"/>
          <w:color w:val="000000"/>
          <w:sz w:val="21"/>
          <w:szCs w:val="21"/>
        </w:rPr>
        <w:t>邮储</w:t>
      </w:r>
      <w:r w:rsidR="005E5EDC" w:rsidRPr="000619F0">
        <w:rPr>
          <w:rFonts w:ascii="Verdana" w:hAnsi="Verdana" w:hint="eastAsia"/>
          <w:color w:val="000000"/>
          <w:sz w:val="21"/>
          <w:szCs w:val="21"/>
        </w:rPr>
        <w:t>银行网址：</w:t>
      </w:r>
      <w:r w:rsidRPr="005C0ECC">
        <w:rPr>
          <w:rFonts w:ascii="Verdana" w:hAnsi="Verdana"/>
          <w:color w:val="000000"/>
          <w:sz w:val="21"/>
          <w:szCs w:val="21"/>
        </w:rPr>
        <w:t>www.psbc.com</w:t>
      </w:r>
      <w:r w:rsidRPr="005C0ECC" w:rsidDel="005C0ECC">
        <w:rPr>
          <w:rFonts w:ascii="Verdana" w:hAnsi="Verdana"/>
          <w:color w:val="000000"/>
          <w:sz w:val="21"/>
          <w:szCs w:val="21"/>
        </w:rPr>
        <w:t xml:space="preserve"> </w:t>
      </w:r>
    </w:p>
    <w:p w:rsidR="005E5EDC" w:rsidRPr="000619F0" w:rsidRDefault="00FB41BD" w:rsidP="00F05552">
      <w:pPr>
        <w:pStyle w:val="a7"/>
        <w:spacing w:before="0" w:beforeAutospacing="0" w:after="0" w:afterAutospacing="0" w:line="360" w:lineRule="auto"/>
        <w:ind w:firstLineChars="200" w:firstLine="480"/>
        <w:rPr>
          <w:rFonts w:ascii="Verdana" w:hAnsi="Verdana"/>
          <w:color w:val="000000"/>
          <w:sz w:val="21"/>
          <w:szCs w:val="21"/>
        </w:rPr>
      </w:pPr>
      <w:hyperlink r:id="rId8" w:tgtFrame="_blank" w:history="1">
        <w:r w:rsidR="005E5EDC" w:rsidRPr="000619F0">
          <w:rPr>
            <w:rFonts w:ascii="Verdana" w:hAnsi="Verdana" w:hint="eastAsia"/>
            <w:color w:val="000000"/>
            <w:sz w:val="21"/>
            <w:szCs w:val="21"/>
          </w:rPr>
          <w:t>南方基金</w:t>
        </w:r>
      </w:hyperlink>
      <w:r w:rsidR="005E5EDC" w:rsidRPr="000619F0">
        <w:rPr>
          <w:rFonts w:ascii="Verdana" w:hAnsi="Verdana" w:hint="eastAsia"/>
          <w:color w:val="000000"/>
          <w:sz w:val="21"/>
          <w:szCs w:val="21"/>
        </w:rPr>
        <w:t>客服电话：</w:t>
      </w:r>
      <w:r w:rsidR="005E5EDC" w:rsidRPr="000619F0">
        <w:rPr>
          <w:rFonts w:ascii="Verdana" w:hAnsi="Verdana" w:hint="eastAsia"/>
          <w:color w:val="000000"/>
          <w:sz w:val="21"/>
          <w:szCs w:val="21"/>
        </w:rPr>
        <w:t>400-889-8899</w:t>
      </w:r>
    </w:p>
    <w:p w:rsidR="00F47929" w:rsidRPr="00FC42FD" w:rsidRDefault="00FB41BD" w:rsidP="00F05552">
      <w:pPr>
        <w:pStyle w:val="a7"/>
        <w:spacing w:before="0" w:beforeAutospacing="0" w:after="0" w:afterAutospacing="0" w:line="360" w:lineRule="auto"/>
        <w:ind w:firstLineChars="200" w:firstLine="480"/>
        <w:rPr>
          <w:rFonts w:ascii="Verdana" w:hAnsi="Verdana"/>
          <w:color w:val="000000"/>
          <w:sz w:val="21"/>
          <w:szCs w:val="21"/>
        </w:rPr>
      </w:pPr>
      <w:hyperlink r:id="rId9" w:tgtFrame="_blank" w:history="1">
        <w:r w:rsidR="005E5EDC" w:rsidRPr="000619F0">
          <w:rPr>
            <w:rFonts w:ascii="Verdana" w:hAnsi="Verdana" w:hint="eastAsia"/>
            <w:color w:val="000000"/>
            <w:sz w:val="21"/>
            <w:szCs w:val="21"/>
          </w:rPr>
          <w:t>南方基金</w:t>
        </w:r>
      </w:hyperlink>
      <w:r w:rsidR="005E5EDC" w:rsidRPr="000619F0">
        <w:rPr>
          <w:rFonts w:ascii="Verdana" w:hAnsi="Verdana" w:hint="eastAsia"/>
          <w:color w:val="000000"/>
          <w:sz w:val="21"/>
          <w:szCs w:val="21"/>
        </w:rPr>
        <w:t>网</w:t>
      </w:r>
      <w:r w:rsidR="00FE5E71" w:rsidRPr="000619F0">
        <w:rPr>
          <w:rFonts w:ascii="Verdana" w:hAnsi="Verdana" w:hint="eastAsia"/>
          <w:color w:val="000000"/>
          <w:sz w:val="21"/>
          <w:szCs w:val="21"/>
        </w:rPr>
        <w:t>址</w:t>
      </w:r>
      <w:r w:rsidR="005E5EDC" w:rsidRPr="000619F0">
        <w:rPr>
          <w:rFonts w:ascii="Verdana" w:hAnsi="Verdana" w:hint="eastAsia"/>
          <w:color w:val="000000"/>
          <w:sz w:val="21"/>
          <w:szCs w:val="21"/>
        </w:rPr>
        <w:t>：</w:t>
      </w:r>
      <w:hyperlink r:id="rId10" w:history="1">
        <w:r w:rsidR="005E5EDC" w:rsidRPr="000619F0">
          <w:rPr>
            <w:rFonts w:ascii="Verdana" w:hAnsi="Verdana" w:hint="eastAsia"/>
            <w:color w:val="000000"/>
            <w:sz w:val="21"/>
            <w:szCs w:val="21"/>
          </w:rPr>
          <w:t>www.nffund.com</w:t>
        </w:r>
      </w:hyperlink>
    </w:p>
    <w:p w:rsidR="005E5EDC" w:rsidRPr="000619F0" w:rsidRDefault="00992FAE" w:rsidP="005E5EDC">
      <w:pPr>
        <w:spacing w:line="360" w:lineRule="auto"/>
        <w:outlineLvl w:val="0"/>
        <w:rPr>
          <w:rFonts w:ascii="宋体" w:eastAsia="宋体" w:hAnsi="宋体" w:cs="宋体"/>
          <w:b/>
          <w:kern w:val="0"/>
          <w:szCs w:val="21"/>
        </w:rPr>
      </w:pPr>
      <w:r w:rsidRPr="000619F0">
        <w:rPr>
          <w:rFonts w:ascii="宋体" w:eastAsia="宋体" w:hAnsi="宋体" w:cs="宋体" w:hint="eastAsia"/>
          <w:b/>
          <w:kern w:val="0"/>
          <w:szCs w:val="21"/>
        </w:rPr>
        <w:t>五</w:t>
      </w:r>
      <w:r w:rsidR="005E5EDC" w:rsidRPr="000619F0">
        <w:rPr>
          <w:rFonts w:ascii="宋体" w:eastAsia="宋体" w:hAnsi="宋体" w:cs="宋体" w:hint="eastAsia"/>
          <w:b/>
          <w:kern w:val="0"/>
          <w:szCs w:val="21"/>
        </w:rPr>
        <w:t>、风险提示</w:t>
      </w:r>
    </w:p>
    <w:p w:rsidR="005E5EDC" w:rsidRDefault="005E5EDC" w:rsidP="005E5EDC">
      <w:pPr>
        <w:pStyle w:val="a7"/>
        <w:spacing w:before="0" w:beforeAutospacing="0" w:after="0" w:afterAutospacing="0" w:line="360" w:lineRule="auto"/>
        <w:ind w:firstLineChars="200" w:firstLine="420"/>
        <w:rPr>
          <w:rFonts w:ascii="Verdana" w:hAnsi="Verdana"/>
          <w:color w:val="000000"/>
          <w:sz w:val="21"/>
          <w:szCs w:val="21"/>
        </w:rPr>
      </w:pPr>
      <w:r w:rsidRPr="000619F0">
        <w:rPr>
          <w:rFonts w:ascii="Verdana" w:hAnsi="Verdana" w:hint="eastAsia"/>
          <w:color w:val="000000"/>
          <w:sz w:val="21"/>
          <w:szCs w:val="21"/>
        </w:rPr>
        <w:t>投资人应当认真阅读《基金合同》、《招募说明书》等基金法律文件，了解基金的风险收益特征，并根据自身的投资目的、投资期限、投资经验、资产状况等判断基金是否和投资人的风险承受能力相适应。</w:t>
      </w:r>
    </w:p>
    <w:p w:rsidR="005C0ECC" w:rsidRDefault="005C0ECC" w:rsidP="00344C23">
      <w:pPr>
        <w:pStyle w:val="a7"/>
        <w:spacing w:before="0" w:beforeAutospacing="0" w:after="0" w:afterAutospacing="0" w:line="360" w:lineRule="auto"/>
        <w:ind w:firstLineChars="200" w:firstLine="420"/>
        <w:rPr>
          <w:rFonts w:ascii="Verdana" w:hAnsi="Verdana"/>
          <w:color w:val="000000"/>
          <w:sz w:val="21"/>
          <w:szCs w:val="21"/>
        </w:rPr>
      </w:pPr>
    </w:p>
    <w:p w:rsidR="005C0ECC" w:rsidRDefault="005C0ECC">
      <w:pPr>
        <w:pStyle w:val="a7"/>
        <w:spacing w:before="0" w:beforeAutospacing="0" w:after="0" w:afterAutospacing="0" w:line="360" w:lineRule="auto"/>
        <w:ind w:firstLineChars="200" w:firstLine="420"/>
        <w:rPr>
          <w:rFonts w:ascii="Verdana" w:hAnsi="Verdana"/>
          <w:color w:val="000000"/>
          <w:sz w:val="21"/>
          <w:szCs w:val="21"/>
        </w:rPr>
      </w:pPr>
    </w:p>
    <w:p w:rsidR="005C0ECC" w:rsidRPr="0069440B" w:rsidRDefault="005C0ECC" w:rsidP="005C0ECC">
      <w:pPr>
        <w:spacing w:line="360" w:lineRule="auto"/>
        <w:ind w:firstLineChars="200" w:firstLine="420"/>
        <w:rPr>
          <w:rFonts w:ascii="宋体" w:hAnsi="宋体"/>
          <w:szCs w:val="21"/>
        </w:rPr>
      </w:pPr>
      <w:r w:rsidRPr="0069440B">
        <w:rPr>
          <w:rFonts w:ascii="宋体" w:hAnsi="宋体" w:hint="eastAsia"/>
          <w:szCs w:val="21"/>
        </w:rPr>
        <w:t>特此公告</w:t>
      </w:r>
    </w:p>
    <w:p w:rsidR="005C0ECC" w:rsidRPr="005C0ECC" w:rsidRDefault="005C0ECC">
      <w:pPr>
        <w:pStyle w:val="a7"/>
        <w:spacing w:before="0" w:beforeAutospacing="0" w:after="0" w:afterAutospacing="0" w:line="360" w:lineRule="auto"/>
        <w:ind w:firstLineChars="200" w:firstLine="420"/>
        <w:rPr>
          <w:rFonts w:ascii="Verdana" w:hAnsi="Verdana"/>
          <w:color w:val="000000"/>
          <w:sz w:val="21"/>
          <w:szCs w:val="21"/>
        </w:rPr>
      </w:pPr>
    </w:p>
    <w:p w:rsidR="005C0ECC" w:rsidRPr="000815B7" w:rsidRDefault="005C0ECC" w:rsidP="005C0ECC">
      <w:pPr>
        <w:spacing w:line="360" w:lineRule="auto"/>
        <w:ind w:firstLine="420"/>
        <w:jc w:val="right"/>
        <w:rPr>
          <w:rFonts w:ascii="宋体" w:hAnsi="宋体"/>
          <w:color w:val="000000"/>
          <w:szCs w:val="21"/>
        </w:rPr>
      </w:pPr>
      <w:r>
        <w:rPr>
          <w:rFonts w:ascii="宋体" w:hAnsi="宋体" w:hint="eastAsia"/>
          <w:color w:val="000000"/>
          <w:szCs w:val="21"/>
        </w:rPr>
        <w:t>南方基金管理股份有限公司</w:t>
      </w:r>
    </w:p>
    <w:p w:rsidR="005C0ECC" w:rsidRPr="00344C23" w:rsidRDefault="005E2C7F" w:rsidP="005C0ECC">
      <w:pPr>
        <w:spacing w:line="360" w:lineRule="auto"/>
        <w:ind w:firstLine="420"/>
        <w:jc w:val="right"/>
        <w:rPr>
          <w:rFonts w:ascii="宋体" w:hAnsi="宋体"/>
          <w:color w:val="000000" w:themeColor="text1"/>
          <w:szCs w:val="21"/>
        </w:rPr>
      </w:pPr>
      <w:r w:rsidRPr="00344C23">
        <w:rPr>
          <w:rFonts w:ascii="宋体" w:hAnsi="宋体"/>
          <w:color w:val="000000" w:themeColor="text1"/>
          <w:szCs w:val="21"/>
        </w:rPr>
        <w:t>20</w:t>
      </w:r>
      <w:r>
        <w:rPr>
          <w:rFonts w:ascii="宋体" w:hAnsi="宋体"/>
          <w:color w:val="000000" w:themeColor="text1"/>
          <w:szCs w:val="21"/>
        </w:rPr>
        <w:t>20</w:t>
      </w:r>
      <w:r w:rsidR="007910F8" w:rsidRPr="00344C23">
        <w:rPr>
          <w:rFonts w:ascii="宋体" w:hAnsi="宋体"/>
          <w:color w:val="000000" w:themeColor="text1"/>
          <w:szCs w:val="21"/>
        </w:rPr>
        <w:t>年</w:t>
      </w:r>
      <w:r w:rsidR="00F05552">
        <w:rPr>
          <w:rFonts w:ascii="宋体" w:hAnsi="宋体"/>
          <w:color w:val="000000" w:themeColor="text1"/>
          <w:szCs w:val="21"/>
        </w:rPr>
        <w:t>12</w:t>
      </w:r>
      <w:r w:rsidR="005C0ECC" w:rsidRPr="00344C23">
        <w:rPr>
          <w:rFonts w:ascii="宋体" w:hAnsi="宋体"/>
          <w:color w:val="000000" w:themeColor="text1"/>
          <w:szCs w:val="21"/>
        </w:rPr>
        <w:t>月</w:t>
      </w:r>
      <w:r w:rsidR="00212776">
        <w:rPr>
          <w:rFonts w:ascii="宋体" w:hAnsi="宋体"/>
          <w:color w:val="000000" w:themeColor="text1"/>
          <w:szCs w:val="21"/>
        </w:rPr>
        <w:t>31</w:t>
      </w:r>
      <w:bookmarkStart w:id="0" w:name="_GoBack"/>
      <w:bookmarkEnd w:id="0"/>
      <w:r w:rsidR="005C0ECC" w:rsidRPr="00344C23">
        <w:rPr>
          <w:rFonts w:ascii="宋体" w:hAnsi="宋体"/>
          <w:color w:val="000000" w:themeColor="text1"/>
          <w:szCs w:val="21"/>
        </w:rPr>
        <w:t>日</w:t>
      </w:r>
    </w:p>
    <w:p w:rsidR="005E5EDC" w:rsidRDefault="005E5EDC"/>
    <w:sectPr w:rsidR="005E5EDC" w:rsidSect="005E56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209" w:rsidRDefault="00D94209" w:rsidP="005E5EDC">
      <w:r>
        <w:separator/>
      </w:r>
    </w:p>
  </w:endnote>
  <w:endnote w:type="continuationSeparator" w:id="0">
    <w:p w:rsidR="00D94209" w:rsidRDefault="00D94209" w:rsidP="005E5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209" w:rsidRDefault="00D94209" w:rsidP="005E5EDC">
      <w:r>
        <w:separator/>
      </w:r>
    </w:p>
  </w:footnote>
  <w:footnote w:type="continuationSeparator" w:id="0">
    <w:p w:rsidR="00D94209" w:rsidRDefault="00D94209" w:rsidP="005E5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5692C"/>
    <w:multiLevelType w:val="hybridMultilevel"/>
    <w:tmpl w:val="D286092C"/>
    <w:lvl w:ilvl="0" w:tplc="DF48872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5EDC"/>
    <w:rsid w:val="000619F0"/>
    <w:rsid w:val="000F6A7E"/>
    <w:rsid w:val="0010112D"/>
    <w:rsid w:val="0011137D"/>
    <w:rsid w:val="001237DE"/>
    <w:rsid w:val="00133A1B"/>
    <w:rsid w:val="0015749B"/>
    <w:rsid w:val="001A2832"/>
    <w:rsid w:val="001A53C0"/>
    <w:rsid w:val="001B5F7B"/>
    <w:rsid w:val="001F042C"/>
    <w:rsid w:val="00212776"/>
    <w:rsid w:val="00213B35"/>
    <w:rsid w:val="00213C48"/>
    <w:rsid w:val="00221D27"/>
    <w:rsid w:val="00266EB7"/>
    <w:rsid w:val="0028084B"/>
    <w:rsid w:val="002D5210"/>
    <w:rsid w:val="00313656"/>
    <w:rsid w:val="00344C23"/>
    <w:rsid w:val="003815DB"/>
    <w:rsid w:val="003A559C"/>
    <w:rsid w:val="003C4003"/>
    <w:rsid w:val="003F2249"/>
    <w:rsid w:val="004153FF"/>
    <w:rsid w:val="00425D68"/>
    <w:rsid w:val="004763E8"/>
    <w:rsid w:val="004A0FBE"/>
    <w:rsid w:val="00503590"/>
    <w:rsid w:val="0052515C"/>
    <w:rsid w:val="00590DE4"/>
    <w:rsid w:val="005C0ECC"/>
    <w:rsid w:val="005C27AA"/>
    <w:rsid w:val="005D1E95"/>
    <w:rsid w:val="005E2C7F"/>
    <w:rsid w:val="005E565C"/>
    <w:rsid w:val="005E5EDC"/>
    <w:rsid w:val="00616413"/>
    <w:rsid w:val="00672F0E"/>
    <w:rsid w:val="006A0B02"/>
    <w:rsid w:val="0072309A"/>
    <w:rsid w:val="00730D8B"/>
    <w:rsid w:val="007910F8"/>
    <w:rsid w:val="007936B2"/>
    <w:rsid w:val="007E6691"/>
    <w:rsid w:val="00841A46"/>
    <w:rsid w:val="008B22D1"/>
    <w:rsid w:val="008B6FA9"/>
    <w:rsid w:val="008E2E77"/>
    <w:rsid w:val="009122F4"/>
    <w:rsid w:val="00913D2F"/>
    <w:rsid w:val="009672DB"/>
    <w:rsid w:val="009766DB"/>
    <w:rsid w:val="00992FAE"/>
    <w:rsid w:val="00995DBA"/>
    <w:rsid w:val="009C5896"/>
    <w:rsid w:val="009F6510"/>
    <w:rsid w:val="00A65252"/>
    <w:rsid w:val="00A7000F"/>
    <w:rsid w:val="00A80401"/>
    <w:rsid w:val="00AE44EF"/>
    <w:rsid w:val="00B51261"/>
    <w:rsid w:val="00B60200"/>
    <w:rsid w:val="00B817A8"/>
    <w:rsid w:val="00B826C2"/>
    <w:rsid w:val="00BA2E31"/>
    <w:rsid w:val="00BD07E9"/>
    <w:rsid w:val="00C17415"/>
    <w:rsid w:val="00C5586B"/>
    <w:rsid w:val="00CF6101"/>
    <w:rsid w:val="00D7151E"/>
    <w:rsid w:val="00D728B4"/>
    <w:rsid w:val="00D934F9"/>
    <w:rsid w:val="00D94209"/>
    <w:rsid w:val="00DD6905"/>
    <w:rsid w:val="00DF2E78"/>
    <w:rsid w:val="00E05073"/>
    <w:rsid w:val="00E319BA"/>
    <w:rsid w:val="00E427F8"/>
    <w:rsid w:val="00E53C03"/>
    <w:rsid w:val="00E5753F"/>
    <w:rsid w:val="00E66D79"/>
    <w:rsid w:val="00E7168A"/>
    <w:rsid w:val="00E94348"/>
    <w:rsid w:val="00EC5463"/>
    <w:rsid w:val="00EE6FFA"/>
    <w:rsid w:val="00F05552"/>
    <w:rsid w:val="00F43CAE"/>
    <w:rsid w:val="00F47929"/>
    <w:rsid w:val="00F82182"/>
    <w:rsid w:val="00FB41BD"/>
    <w:rsid w:val="00FC42FD"/>
    <w:rsid w:val="00FE5E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6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5E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5EDC"/>
    <w:rPr>
      <w:sz w:val="18"/>
      <w:szCs w:val="18"/>
    </w:rPr>
  </w:style>
  <w:style w:type="paragraph" w:styleId="a4">
    <w:name w:val="footer"/>
    <w:basedOn w:val="a"/>
    <w:link w:val="Char0"/>
    <w:uiPriority w:val="99"/>
    <w:unhideWhenUsed/>
    <w:rsid w:val="005E5EDC"/>
    <w:pPr>
      <w:tabs>
        <w:tab w:val="center" w:pos="4153"/>
        <w:tab w:val="right" w:pos="8306"/>
      </w:tabs>
      <w:snapToGrid w:val="0"/>
      <w:jc w:val="left"/>
    </w:pPr>
    <w:rPr>
      <w:sz w:val="18"/>
      <w:szCs w:val="18"/>
    </w:rPr>
  </w:style>
  <w:style w:type="character" w:customStyle="1" w:styleId="Char0">
    <w:name w:val="页脚 Char"/>
    <w:basedOn w:val="a0"/>
    <w:link w:val="a4"/>
    <w:uiPriority w:val="99"/>
    <w:rsid w:val="005E5EDC"/>
    <w:rPr>
      <w:sz w:val="18"/>
      <w:szCs w:val="18"/>
    </w:rPr>
  </w:style>
  <w:style w:type="character" w:styleId="a5">
    <w:name w:val="Hyperlink"/>
    <w:basedOn w:val="a0"/>
    <w:uiPriority w:val="99"/>
    <w:unhideWhenUsed/>
    <w:rsid w:val="005E5EDC"/>
    <w:rPr>
      <w:color w:val="0000FF" w:themeColor="hyperlink"/>
      <w:u w:val="single"/>
    </w:rPr>
  </w:style>
  <w:style w:type="paragraph" w:styleId="a6">
    <w:name w:val="Document Map"/>
    <w:basedOn w:val="a"/>
    <w:link w:val="Char1"/>
    <w:uiPriority w:val="99"/>
    <w:semiHidden/>
    <w:unhideWhenUsed/>
    <w:rsid w:val="005E5EDC"/>
    <w:rPr>
      <w:rFonts w:ascii="宋体" w:eastAsia="宋体"/>
      <w:sz w:val="18"/>
      <w:szCs w:val="18"/>
    </w:rPr>
  </w:style>
  <w:style w:type="character" w:customStyle="1" w:styleId="Char1">
    <w:name w:val="文档结构图 Char"/>
    <w:basedOn w:val="a0"/>
    <w:link w:val="a6"/>
    <w:uiPriority w:val="99"/>
    <w:semiHidden/>
    <w:rsid w:val="005E5EDC"/>
    <w:rPr>
      <w:rFonts w:ascii="宋体" w:eastAsia="宋体"/>
      <w:sz w:val="18"/>
      <w:szCs w:val="18"/>
    </w:rPr>
  </w:style>
  <w:style w:type="paragraph" w:styleId="a7">
    <w:name w:val="Normal (Web)"/>
    <w:basedOn w:val="a"/>
    <w:uiPriority w:val="99"/>
    <w:unhideWhenUsed/>
    <w:rsid w:val="005E5EDC"/>
    <w:pPr>
      <w:widowControl/>
      <w:spacing w:before="100" w:beforeAutospacing="1" w:after="100" w:afterAutospacing="1"/>
      <w:jc w:val="left"/>
    </w:pPr>
    <w:rPr>
      <w:rFonts w:ascii="宋体" w:eastAsia="宋体" w:hAnsi="宋体" w:cs="宋体"/>
      <w:kern w:val="0"/>
      <w:sz w:val="24"/>
      <w:szCs w:val="24"/>
    </w:rPr>
  </w:style>
  <w:style w:type="character" w:customStyle="1" w:styleId="msodel0">
    <w:name w:val="msodel"/>
    <w:basedOn w:val="a0"/>
    <w:rsid w:val="005E5EDC"/>
  </w:style>
  <w:style w:type="paragraph" w:styleId="a8">
    <w:name w:val="Balloon Text"/>
    <w:basedOn w:val="a"/>
    <w:link w:val="Char2"/>
    <w:uiPriority w:val="99"/>
    <w:semiHidden/>
    <w:unhideWhenUsed/>
    <w:rsid w:val="005E5EDC"/>
    <w:rPr>
      <w:sz w:val="18"/>
      <w:szCs w:val="18"/>
    </w:rPr>
  </w:style>
  <w:style w:type="character" w:customStyle="1" w:styleId="Char2">
    <w:name w:val="批注框文本 Char"/>
    <w:basedOn w:val="a0"/>
    <w:link w:val="a8"/>
    <w:uiPriority w:val="99"/>
    <w:semiHidden/>
    <w:rsid w:val="005E5EDC"/>
    <w:rPr>
      <w:sz w:val="18"/>
      <w:szCs w:val="18"/>
    </w:rPr>
  </w:style>
  <w:style w:type="paragraph" w:styleId="a9">
    <w:name w:val="Title"/>
    <w:basedOn w:val="a"/>
    <w:next w:val="a"/>
    <w:link w:val="Char3"/>
    <w:qFormat/>
    <w:rsid w:val="005E5EDC"/>
    <w:pPr>
      <w:widowControl/>
      <w:spacing w:line="301" w:lineRule="atLeast"/>
      <w:jc w:val="center"/>
    </w:pPr>
    <w:rPr>
      <w:rFonts w:ascii="Times New Roman" w:eastAsia="宋体" w:hAnsi="Times New Roman" w:cs="Times New Roman"/>
      <w:b/>
      <w:color w:val="333333"/>
      <w:sz w:val="30"/>
      <w:szCs w:val="30"/>
    </w:rPr>
  </w:style>
  <w:style w:type="character" w:customStyle="1" w:styleId="Char3">
    <w:name w:val="标题 Char"/>
    <w:basedOn w:val="a0"/>
    <w:link w:val="a9"/>
    <w:rsid w:val="005E5EDC"/>
    <w:rPr>
      <w:rFonts w:ascii="Times New Roman" w:eastAsia="宋体" w:hAnsi="Times New Roman" w:cs="Times New Roman"/>
      <w:b/>
      <w:color w:val="333333"/>
      <w:sz w:val="30"/>
      <w:szCs w:val="30"/>
    </w:rPr>
  </w:style>
  <w:style w:type="paragraph" w:styleId="aa">
    <w:name w:val="List Paragraph"/>
    <w:basedOn w:val="a"/>
    <w:uiPriority w:val="34"/>
    <w:qFormat/>
    <w:rsid w:val="00503590"/>
    <w:pPr>
      <w:ind w:firstLineChars="200" w:firstLine="420"/>
    </w:pPr>
  </w:style>
  <w:style w:type="character" w:styleId="ab">
    <w:name w:val="annotation reference"/>
    <w:basedOn w:val="a0"/>
    <w:uiPriority w:val="99"/>
    <w:semiHidden/>
    <w:unhideWhenUsed/>
    <w:rsid w:val="001237DE"/>
    <w:rPr>
      <w:sz w:val="21"/>
      <w:szCs w:val="21"/>
    </w:rPr>
  </w:style>
  <w:style w:type="paragraph" w:styleId="ac">
    <w:name w:val="annotation text"/>
    <w:basedOn w:val="a"/>
    <w:link w:val="Char4"/>
    <w:uiPriority w:val="99"/>
    <w:semiHidden/>
    <w:unhideWhenUsed/>
    <w:rsid w:val="001237DE"/>
    <w:pPr>
      <w:jc w:val="left"/>
    </w:pPr>
  </w:style>
  <w:style w:type="character" w:customStyle="1" w:styleId="Char4">
    <w:name w:val="批注文字 Char"/>
    <w:basedOn w:val="a0"/>
    <w:link w:val="ac"/>
    <w:uiPriority w:val="99"/>
    <w:semiHidden/>
    <w:rsid w:val="001237DE"/>
  </w:style>
  <w:style w:type="paragraph" w:styleId="ad">
    <w:name w:val="annotation subject"/>
    <w:basedOn w:val="ac"/>
    <w:next w:val="ac"/>
    <w:link w:val="Char5"/>
    <w:uiPriority w:val="99"/>
    <w:semiHidden/>
    <w:unhideWhenUsed/>
    <w:rsid w:val="001237DE"/>
    <w:rPr>
      <w:b/>
      <w:bCs/>
    </w:rPr>
  </w:style>
  <w:style w:type="character" w:customStyle="1" w:styleId="Char5">
    <w:name w:val="批注主题 Char"/>
    <w:basedOn w:val="Char4"/>
    <w:link w:val="ad"/>
    <w:uiPriority w:val="99"/>
    <w:semiHidden/>
    <w:rsid w:val="001237DE"/>
    <w:rPr>
      <w:b/>
      <w:bCs/>
    </w:rPr>
  </w:style>
  <w:style w:type="paragraph" w:styleId="ae">
    <w:name w:val="Revision"/>
    <w:hidden/>
    <w:uiPriority w:val="99"/>
    <w:semiHidden/>
    <w:rsid w:val="001237DE"/>
  </w:style>
  <w:style w:type="table" w:styleId="af">
    <w:name w:val="Table Grid"/>
    <w:basedOn w:val="a1"/>
    <w:uiPriority w:val="59"/>
    <w:rsid w:val="009F6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118646">
      <w:bodyDiv w:val="1"/>
      <w:marLeft w:val="0"/>
      <w:marRight w:val="0"/>
      <w:marTop w:val="0"/>
      <w:marBottom w:val="0"/>
      <w:divBdr>
        <w:top w:val="none" w:sz="0" w:space="0" w:color="auto"/>
        <w:left w:val="none" w:sz="0" w:space="0" w:color="auto"/>
        <w:bottom w:val="none" w:sz="0" w:space="0" w:color="auto"/>
        <w:right w:val="none" w:sz="0" w:space="0" w:color="auto"/>
      </w:divBdr>
    </w:div>
    <w:div w:id="382411385">
      <w:bodyDiv w:val="1"/>
      <w:marLeft w:val="0"/>
      <w:marRight w:val="0"/>
      <w:marTop w:val="0"/>
      <w:marBottom w:val="0"/>
      <w:divBdr>
        <w:top w:val="none" w:sz="0" w:space="0" w:color="auto"/>
        <w:left w:val="none" w:sz="0" w:space="0" w:color="auto"/>
        <w:bottom w:val="none" w:sz="0" w:space="0" w:color="auto"/>
        <w:right w:val="none" w:sz="0" w:space="0" w:color="auto"/>
      </w:divBdr>
    </w:div>
    <w:div w:id="490491844">
      <w:bodyDiv w:val="1"/>
      <w:marLeft w:val="0"/>
      <w:marRight w:val="0"/>
      <w:marTop w:val="0"/>
      <w:marBottom w:val="0"/>
      <w:divBdr>
        <w:top w:val="none" w:sz="0" w:space="0" w:color="auto"/>
        <w:left w:val="none" w:sz="0" w:space="0" w:color="auto"/>
        <w:bottom w:val="none" w:sz="0" w:space="0" w:color="auto"/>
        <w:right w:val="none" w:sz="0" w:space="0" w:color="auto"/>
      </w:divBdr>
    </w:div>
    <w:div w:id="1060597288">
      <w:bodyDiv w:val="1"/>
      <w:marLeft w:val="0"/>
      <w:marRight w:val="0"/>
      <w:marTop w:val="0"/>
      <w:marBottom w:val="0"/>
      <w:divBdr>
        <w:top w:val="none" w:sz="0" w:space="0" w:color="auto"/>
        <w:left w:val="none" w:sz="0" w:space="0" w:color="auto"/>
        <w:bottom w:val="none" w:sz="0" w:space="0" w:color="auto"/>
        <w:right w:val="none" w:sz="0" w:space="0" w:color="auto"/>
      </w:divBdr>
    </w:div>
    <w:div w:id="1117093802">
      <w:bodyDiv w:val="1"/>
      <w:marLeft w:val="0"/>
      <w:marRight w:val="0"/>
      <w:marTop w:val="0"/>
      <w:marBottom w:val="0"/>
      <w:divBdr>
        <w:top w:val="none" w:sz="0" w:space="0" w:color="auto"/>
        <w:left w:val="none" w:sz="0" w:space="0" w:color="auto"/>
        <w:bottom w:val="none" w:sz="0" w:space="0" w:color="auto"/>
        <w:right w:val="none" w:sz="0" w:space="0" w:color="auto"/>
      </w:divBdr>
    </w:div>
    <w:div w:id="1158887900">
      <w:bodyDiv w:val="1"/>
      <w:marLeft w:val="0"/>
      <w:marRight w:val="0"/>
      <w:marTop w:val="0"/>
      <w:marBottom w:val="0"/>
      <w:divBdr>
        <w:top w:val="none" w:sz="0" w:space="0" w:color="auto"/>
        <w:left w:val="none" w:sz="0" w:space="0" w:color="auto"/>
        <w:bottom w:val="none" w:sz="0" w:space="0" w:color="auto"/>
        <w:right w:val="none" w:sz="0" w:space="0" w:color="auto"/>
      </w:divBdr>
    </w:div>
    <w:div w:id="1645310228">
      <w:bodyDiv w:val="1"/>
      <w:marLeft w:val="0"/>
      <w:marRight w:val="0"/>
      <w:marTop w:val="0"/>
      <w:marBottom w:val="0"/>
      <w:divBdr>
        <w:top w:val="none" w:sz="0" w:space="0" w:color="auto"/>
        <w:left w:val="none" w:sz="0" w:space="0" w:color="auto"/>
        <w:bottom w:val="none" w:sz="0" w:space="0" w:color="auto"/>
        <w:right w:val="none" w:sz="0" w:space="0" w:color="auto"/>
      </w:divBdr>
    </w:div>
    <w:div w:id="176012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3756</Characters>
  <Application>Microsoft Office Word</Application>
  <DocSecurity>4</DocSecurity>
  <Lines>31</Lines>
  <Paragraphs>8</Paragraphs>
  <ScaleCrop>false</ScaleCrop>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潘晓瑞</dc:creator>
  <cp:keywords/>
  <dc:description/>
  <cp:lastModifiedBy>ZHONGM</cp:lastModifiedBy>
  <cp:revision>2</cp:revision>
  <cp:lastPrinted>2019-12-30T07:10:00Z</cp:lastPrinted>
  <dcterms:created xsi:type="dcterms:W3CDTF">2020-12-30T16:07:00Z</dcterms:created>
  <dcterms:modified xsi:type="dcterms:W3CDTF">2020-12-30T16:07:00Z</dcterms:modified>
</cp:coreProperties>
</file>