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BE" w:rsidRDefault="005E48B3" w:rsidP="005E66B9">
      <w:pPr>
        <w:spacing w:line="360" w:lineRule="auto"/>
        <w:jc w:val="center"/>
        <w:rPr>
          <w:rFonts w:ascii="Times New Roman" w:eastAsia="宋体" w:hAnsi="Times New Roman" w:cs="Times New Roman"/>
          <w:b/>
          <w:sz w:val="32"/>
          <w:szCs w:val="24"/>
        </w:rPr>
      </w:pPr>
      <w:r w:rsidRPr="005E48B3">
        <w:rPr>
          <w:rFonts w:ascii="Times New Roman" w:eastAsia="宋体" w:hAnsi="Times New Roman" w:cs="Times New Roman" w:hint="eastAsia"/>
          <w:b/>
          <w:sz w:val="32"/>
          <w:szCs w:val="24"/>
        </w:rPr>
        <w:t>中国人保资产管理有限公司关于旗下基金参与交通银行</w:t>
      </w:r>
    </w:p>
    <w:p w:rsidR="00AF33D5" w:rsidRPr="00A1225C" w:rsidRDefault="005E48B3" w:rsidP="005E66B9">
      <w:pPr>
        <w:spacing w:line="360" w:lineRule="auto"/>
        <w:jc w:val="center"/>
        <w:rPr>
          <w:rFonts w:ascii="Times New Roman" w:eastAsia="宋体" w:hAnsi="Times New Roman" w:cs="Times New Roman"/>
          <w:b/>
          <w:sz w:val="32"/>
          <w:szCs w:val="24"/>
        </w:rPr>
      </w:pPr>
      <w:r w:rsidRPr="005E48B3">
        <w:rPr>
          <w:rFonts w:ascii="Times New Roman" w:eastAsia="宋体" w:hAnsi="Times New Roman" w:cs="Times New Roman" w:hint="eastAsia"/>
          <w:b/>
          <w:sz w:val="32"/>
          <w:szCs w:val="24"/>
        </w:rPr>
        <w:t>股份有限公司费率优惠活动的公告</w:t>
      </w:r>
    </w:p>
    <w:p w:rsidR="00AF33D5" w:rsidRPr="00A1225C" w:rsidRDefault="00AF33D5" w:rsidP="00AF33D5">
      <w:pPr>
        <w:spacing w:line="360" w:lineRule="auto"/>
        <w:jc w:val="center"/>
        <w:rPr>
          <w:rFonts w:ascii="Times New Roman" w:eastAsia="宋体" w:hAnsi="Times New Roman" w:cs="Times New Roman"/>
          <w:b/>
          <w:sz w:val="32"/>
          <w:szCs w:val="24"/>
        </w:rPr>
      </w:pPr>
    </w:p>
    <w:p w:rsidR="00AF33D5" w:rsidRDefault="005E48B3" w:rsidP="00AF33D5">
      <w:pPr>
        <w:adjustRightInd w:val="0"/>
        <w:snapToGrid w:val="0"/>
        <w:spacing w:line="360" w:lineRule="auto"/>
        <w:ind w:firstLineChars="200" w:firstLine="480"/>
        <w:rPr>
          <w:rFonts w:ascii="Times New Roman" w:hAnsiTheme="minorEastAsia" w:cs="Times New Roman"/>
          <w:color w:val="000000"/>
          <w:sz w:val="24"/>
          <w:szCs w:val="24"/>
        </w:rPr>
      </w:pPr>
      <w:r w:rsidRPr="005E48B3">
        <w:rPr>
          <w:rFonts w:ascii="Times New Roman" w:hAnsiTheme="minorEastAsia" w:cs="Times New Roman" w:hint="eastAsia"/>
          <w:color w:val="000000"/>
          <w:sz w:val="24"/>
          <w:szCs w:val="24"/>
        </w:rPr>
        <w:t>为答谢广大客户长期以来给予的信任与支持，中国人保资产管理有限公司（以下简称“本公司”）经与交通银行股份有限公司（以下简称“交通银行”）协商一致，决定旗下</w:t>
      </w:r>
      <w:r w:rsidR="00482CAD">
        <w:rPr>
          <w:rFonts w:ascii="Times New Roman" w:hAnsiTheme="minorEastAsia" w:cs="Times New Roman" w:hint="eastAsia"/>
          <w:color w:val="000000"/>
          <w:sz w:val="24"/>
          <w:szCs w:val="24"/>
        </w:rPr>
        <w:t>部分</w:t>
      </w:r>
      <w:r w:rsidRPr="005E48B3">
        <w:rPr>
          <w:rFonts w:ascii="Times New Roman" w:hAnsiTheme="minorEastAsia" w:cs="Times New Roman" w:hint="eastAsia"/>
          <w:color w:val="000000"/>
          <w:sz w:val="24"/>
          <w:szCs w:val="24"/>
        </w:rPr>
        <w:t>基金参与交通银行的费率优惠活动。现公告如下</w:t>
      </w:r>
      <w:r w:rsidR="00D713E4">
        <w:rPr>
          <w:rFonts w:ascii="Times New Roman" w:hAnsiTheme="minorEastAsia" w:cs="Times New Roman" w:hint="eastAsia"/>
          <w:color w:val="000000"/>
          <w:sz w:val="24"/>
          <w:szCs w:val="24"/>
        </w:rPr>
        <w:t>，</w:t>
      </w:r>
      <w:r w:rsidR="00D713E4">
        <w:rPr>
          <w:rFonts w:ascii="Times New Roman" w:hAnsiTheme="minorEastAsia" w:cs="Times New Roman"/>
          <w:color w:val="000000"/>
          <w:sz w:val="24"/>
          <w:szCs w:val="24"/>
        </w:rPr>
        <w:t>具体优惠</w:t>
      </w:r>
      <w:r w:rsidR="003C4D16">
        <w:rPr>
          <w:rFonts w:ascii="Times New Roman" w:hAnsiTheme="minorEastAsia" w:cs="Times New Roman" w:hint="eastAsia"/>
          <w:color w:val="000000"/>
          <w:sz w:val="24"/>
          <w:szCs w:val="24"/>
        </w:rPr>
        <w:t>以</w:t>
      </w:r>
      <w:r w:rsidR="00D713E4">
        <w:rPr>
          <w:rFonts w:ascii="Times New Roman" w:hAnsiTheme="minorEastAsia" w:cs="Times New Roman"/>
          <w:color w:val="000000"/>
          <w:sz w:val="24"/>
          <w:szCs w:val="24"/>
        </w:rPr>
        <w:t>交通银行公告为准</w:t>
      </w:r>
      <w:r w:rsidRPr="005E48B3">
        <w:rPr>
          <w:rFonts w:ascii="Times New Roman" w:hAnsiTheme="minorEastAsia" w:cs="Times New Roman" w:hint="eastAsia"/>
          <w:color w:val="000000"/>
          <w:sz w:val="24"/>
          <w:szCs w:val="24"/>
        </w:rPr>
        <w:t>：</w:t>
      </w:r>
    </w:p>
    <w:p w:rsidR="00AF33D5" w:rsidRPr="0010160E" w:rsidRDefault="00AF33D5" w:rsidP="00AF33D5">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一、适用基金范围</w:t>
      </w: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701"/>
        <w:gridCol w:w="5387"/>
      </w:tblGrid>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序号</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基金代码</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基金名称</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1</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004988</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人保双利优选混合型证券投资基金A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2</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004989</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人保双利优选混合型证券投资基金C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3</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005953</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人保转型新动力灵活配置混合型证券投资基金A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4</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005954</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人保转型新动力灵活配置混合型证券投资基金C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5</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006114</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人保鑫利回报债券型证券投资基金A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6</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006115</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人保鑫利回报债券型证券投资基金C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7</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006073</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人保鑫瑞中短债债券型证券投资基金A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E85B19" w:rsidP="00A359E2">
            <w:pPr>
              <w:widowControl/>
              <w:jc w:val="center"/>
              <w:rPr>
                <w:rFonts w:asciiTheme="minorEastAsia" w:hAnsiTheme="minorEastAsia" w:cs="Times New Roman"/>
                <w:color w:val="000000"/>
                <w:sz w:val="22"/>
              </w:rPr>
            </w:pPr>
            <w:r>
              <w:rPr>
                <w:rFonts w:asciiTheme="minorEastAsia" w:hAnsiTheme="minorEastAsia" w:cs="Times New Roman"/>
                <w:color w:val="000000"/>
                <w:sz w:val="22"/>
              </w:rPr>
              <w:t>8</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006074</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人保鑫瑞中短债债券型证券投资基金C</w:t>
            </w:r>
          </w:p>
        </w:tc>
      </w:tr>
      <w:tr w:rsidR="004715C6" w:rsidRPr="00A359E2" w:rsidTr="00100BD2">
        <w:trPr>
          <w:trHeight w:val="402"/>
        </w:trPr>
        <w:tc>
          <w:tcPr>
            <w:tcW w:w="1178" w:type="dxa"/>
            <w:shd w:val="clear" w:color="auto" w:fill="auto"/>
            <w:noWrap/>
            <w:vAlign w:val="center"/>
          </w:tcPr>
          <w:p w:rsidR="004715C6" w:rsidRPr="00A359E2" w:rsidRDefault="00E85B19" w:rsidP="004715C6">
            <w:pPr>
              <w:widowControl/>
              <w:jc w:val="center"/>
              <w:rPr>
                <w:rFonts w:asciiTheme="minorEastAsia" w:hAnsiTheme="minorEastAsia" w:cs="Times New Roman"/>
                <w:color w:val="000000"/>
                <w:sz w:val="22"/>
              </w:rPr>
            </w:pPr>
            <w:r>
              <w:rPr>
                <w:rFonts w:asciiTheme="minorEastAsia" w:hAnsiTheme="minorEastAsia" w:cs="Times New Roman"/>
                <w:color w:val="000000"/>
                <w:sz w:val="22"/>
              </w:rPr>
              <w:t>9</w:t>
            </w:r>
          </w:p>
        </w:tc>
        <w:tc>
          <w:tcPr>
            <w:tcW w:w="1701" w:type="dxa"/>
            <w:shd w:val="clear" w:color="auto" w:fill="auto"/>
            <w:noWrap/>
            <w:vAlign w:val="center"/>
          </w:tcPr>
          <w:p w:rsidR="004715C6" w:rsidRPr="004715C6" w:rsidRDefault="004715C6" w:rsidP="004715C6">
            <w:pPr>
              <w:widowControl/>
              <w:jc w:val="center"/>
              <w:rPr>
                <w:rFonts w:asciiTheme="minorEastAsia" w:hAnsiTheme="minorEastAsia" w:cs="Times New Roman"/>
                <w:color w:val="000000"/>
                <w:sz w:val="22"/>
              </w:rPr>
            </w:pPr>
            <w:r w:rsidRPr="004715C6">
              <w:rPr>
                <w:rFonts w:asciiTheme="minorEastAsia" w:hAnsiTheme="minorEastAsia" w:cs="Times New Roman" w:hint="eastAsia"/>
                <w:color w:val="000000"/>
                <w:sz w:val="22"/>
              </w:rPr>
              <w:t>005715</w:t>
            </w:r>
          </w:p>
        </w:tc>
        <w:tc>
          <w:tcPr>
            <w:tcW w:w="5387" w:type="dxa"/>
            <w:shd w:val="clear" w:color="auto" w:fill="auto"/>
            <w:noWrap/>
            <w:vAlign w:val="center"/>
          </w:tcPr>
          <w:p w:rsidR="004715C6" w:rsidRPr="004715C6" w:rsidRDefault="004715C6" w:rsidP="004715C6">
            <w:pPr>
              <w:widowControl/>
              <w:jc w:val="center"/>
              <w:rPr>
                <w:rFonts w:asciiTheme="minorEastAsia" w:hAnsiTheme="minorEastAsia" w:cs="Times New Roman"/>
                <w:color w:val="000000"/>
                <w:sz w:val="22"/>
              </w:rPr>
            </w:pPr>
            <w:r w:rsidRPr="004715C6">
              <w:rPr>
                <w:rFonts w:asciiTheme="minorEastAsia" w:hAnsiTheme="minorEastAsia" w:cs="Times New Roman" w:hint="eastAsia"/>
                <w:color w:val="000000"/>
                <w:sz w:val="22"/>
              </w:rPr>
              <w:t>人保纯债一年定期开放债券型证券投资基金A</w:t>
            </w:r>
          </w:p>
        </w:tc>
      </w:tr>
      <w:tr w:rsidR="004715C6" w:rsidRPr="00A359E2" w:rsidTr="00100BD2">
        <w:trPr>
          <w:trHeight w:val="402"/>
        </w:trPr>
        <w:tc>
          <w:tcPr>
            <w:tcW w:w="1178" w:type="dxa"/>
            <w:shd w:val="clear" w:color="auto" w:fill="auto"/>
            <w:noWrap/>
            <w:vAlign w:val="center"/>
          </w:tcPr>
          <w:p w:rsidR="004715C6" w:rsidRPr="00A359E2" w:rsidRDefault="004715C6" w:rsidP="00E85B19">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1</w:t>
            </w:r>
            <w:r w:rsidR="00E85B19">
              <w:rPr>
                <w:rFonts w:asciiTheme="minorEastAsia" w:hAnsiTheme="minorEastAsia" w:cs="Times New Roman"/>
                <w:color w:val="000000"/>
                <w:sz w:val="22"/>
              </w:rPr>
              <w:t>0</w:t>
            </w:r>
          </w:p>
        </w:tc>
        <w:tc>
          <w:tcPr>
            <w:tcW w:w="1701" w:type="dxa"/>
            <w:shd w:val="clear" w:color="auto" w:fill="auto"/>
            <w:noWrap/>
            <w:vAlign w:val="center"/>
          </w:tcPr>
          <w:p w:rsidR="004715C6" w:rsidRPr="004715C6" w:rsidRDefault="004715C6" w:rsidP="004715C6">
            <w:pPr>
              <w:widowControl/>
              <w:jc w:val="center"/>
              <w:rPr>
                <w:rFonts w:asciiTheme="minorEastAsia" w:hAnsiTheme="minorEastAsia" w:cs="Times New Roman"/>
                <w:color w:val="000000"/>
                <w:sz w:val="22"/>
              </w:rPr>
            </w:pPr>
            <w:r w:rsidRPr="004715C6">
              <w:rPr>
                <w:rFonts w:asciiTheme="minorEastAsia" w:hAnsiTheme="minorEastAsia" w:cs="Times New Roman" w:hint="eastAsia"/>
                <w:color w:val="000000"/>
                <w:sz w:val="22"/>
              </w:rPr>
              <w:t>005716</w:t>
            </w:r>
          </w:p>
        </w:tc>
        <w:tc>
          <w:tcPr>
            <w:tcW w:w="5387" w:type="dxa"/>
            <w:shd w:val="clear" w:color="auto" w:fill="auto"/>
            <w:noWrap/>
            <w:vAlign w:val="center"/>
          </w:tcPr>
          <w:p w:rsidR="004715C6" w:rsidRPr="004715C6" w:rsidRDefault="004715C6" w:rsidP="004715C6">
            <w:pPr>
              <w:widowControl/>
              <w:jc w:val="center"/>
              <w:rPr>
                <w:rFonts w:asciiTheme="minorEastAsia" w:hAnsiTheme="minorEastAsia" w:cs="Times New Roman"/>
                <w:color w:val="000000"/>
                <w:sz w:val="22"/>
              </w:rPr>
            </w:pPr>
            <w:r w:rsidRPr="004715C6">
              <w:rPr>
                <w:rFonts w:asciiTheme="minorEastAsia" w:hAnsiTheme="minorEastAsia" w:cs="Times New Roman" w:hint="eastAsia"/>
                <w:color w:val="000000"/>
                <w:sz w:val="22"/>
              </w:rPr>
              <w:t>人保纯债一年定期开放债券型证券投资基金C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4715C6" w:rsidP="00E85B19">
            <w:pPr>
              <w:widowControl/>
              <w:jc w:val="center"/>
              <w:rPr>
                <w:rFonts w:asciiTheme="minorEastAsia" w:hAnsiTheme="minorEastAsia" w:cs="Times New Roman"/>
                <w:color w:val="000000"/>
                <w:sz w:val="22"/>
              </w:rPr>
            </w:pPr>
            <w:r>
              <w:rPr>
                <w:rFonts w:asciiTheme="minorEastAsia" w:hAnsiTheme="minorEastAsia" w:cs="Times New Roman"/>
                <w:color w:val="000000"/>
                <w:sz w:val="22"/>
              </w:rPr>
              <w:t>1</w:t>
            </w:r>
            <w:r w:rsidR="00E85B19">
              <w:rPr>
                <w:rFonts w:asciiTheme="minorEastAsia" w:hAnsiTheme="minorEastAsia" w:cs="Times New Roman"/>
                <w:color w:val="000000"/>
                <w:sz w:val="22"/>
              </w:rPr>
              <w:t>1</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006611</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人保中证500指数型证券投资基金</w:t>
            </w:r>
          </w:p>
        </w:tc>
      </w:tr>
      <w:tr w:rsidR="00A359E2" w:rsidRPr="00A359E2" w:rsidTr="00100BD2">
        <w:trPr>
          <w:trHeight w:val="402"/>
        </w:trPr>
        <w:tc>
          <w:tcPr>
            <w:tcW w:w="1178" w:type="dxa"/>
            <w:shd w:val="clear" w:color="auto" w:fill="auto"/>
            <w:noWrap/>
            <w:vAlign w:val="center"/>
            <w:hideMark/>
          </w:tcPr>
          <w:p w:rsidR="00A359E2" w:rsidRPr="00A359E2" w:rsidRDefault="004715C6" w:rsidP="00E85B19">
            <w:pPr>
              <w:widowControl/>
              <w:jc w:val="center"/>
              <w:rPr>
                <w:rFonts w:asciiTheme="minorEastAsia" w:hAnsiTheme="minorEastAsia" w:cs="Times New Roman"/>
                <w:color w:val="000000"/>
                <w:sz w:val="22"/>
              </w:rPr>
            </w:pPr>
            <w:r>
              <w:rPr>
                <w:rFonts w:asciiTheme="minorEastAsia" w:hAnsiTheme="minorEastAsia" w:cs="Times New Roman"/>
                <w:color w:val="000000"/>
                <w:sz w:val="22"/>
              </w:rPr>
              <w:t>1</w:t>
            </w:r>
            <w:r w:rsidR="00E85B19">
              <w:rPr>
                <w:rFonts w:asciiTheme="minorEastAsia" w:hAnsiTheme="minorEastAsia" w:cs="Times New Roman"/>
                <w:color w:val="000000"/>
                <w:sz w:val="22"/>
              </w:rPr>
              <w:t>2</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006600</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人保沪深300指数型证券投资基金</w:t>
            </w:r>
          </w:p>
        </w:tc>
      </w:tr>
    </w:tbl>
    <w:p w:rsidR="00AF33D5" w:rsidRPr="00A359E2" w:rsidRDefault="00AF33D5" w:rsidP="00AF33D5">
      <w:pPr>
        <w:adjustRightInd w:val="0"/>
        <w:snapToGrid w:val="0"/>
        <w:spacing w:line="360" w:lineRule="auto"/>
        <w:jc w:val="left"/>
        <w:rPr>
          <w:rFonts w:ascii="Times New Roman" w:hAnsiTheme="minorEastAsia" w:cs="Times New Roman"/>
          <w:color w:val="000000"/>
          <w:sz w:val="24"/>
          <w:szCs w:val="24"/>
        </w:rPr>
      </w:pPr>
    </w:p>
    <w:p w:rsidR="00AF33D5" w:rsidRPr="00322FEE" w:rsidRDefault="00AF33D5" w:rsidP="00AF33D5">
      <w:pPr>
        <w:adjustRightInd w:val="0"/>
        <w:snapToGrid w:val="0"/>
        <w:spacing w:line="360" w:lineRule="auto"/>
        <w:ind w:firstLineChars="200" w:firstLine="482"/>
        <w:rPr>
          <w:rFonts w:ascii="Times New Roman" w:hAnsiTheme="minorEastAsia" w:cs="Times New Roman"/>
          <w:b/>
          <w:bCs/>
          <w:color w:val="000000"/>
          <w:sz w:val="24"/>
          <w:szCs w:val="24"/>
        </w:rPr>
      </w:pPr>
      <w:r w:rsidRPr="00322FEE">
        <w:rPr>
          <w:rFonts w:ascii="Times New Roman" w:hAnsiTheme="minorEastAsia" w:cs="Times New Roman"/>
          <w:b/>
          <w:color w:val="000000"/>
          <w:sz w:val="24"/>
          <w:szCs w:val="24"/>
        </w:rPr>
        <w:t>二、</w:t>
      </w:r>
      <w:r w:rsidR="005E48B3">
        <w:rPr>
          <w:rFonts w:ascii="Times New Roman" w:hAnsiTheme="minorEastAsia" w:cs="Times New Roman" w:hint="eastAsia"/>
          <w:b/>
          <w:bCs/>
          <w:color w:val="000000"/>
          <w:sz w:val="24"/>
          <w:szCs w:val="24"/>
        </w:rPr>
        <w:t>费率</w:t>
      </w:r>
      <w:r w:rsidR="005E48B3">
        <w:rPr>
          <w:rFonts w:ascii="Times New Roman" w:hAnsiTheme="minorEastAsia" w:cs="Times New Roman"/>
          <w:b/>
          <w:bCs/>
          <w:color w:val="000000"/>
          <w:sz w:val="24"/>
          <w:szCs w:val="24"/>
        </w:rPr>
        <w:t>优惠活动</w:t>
      </w:r>
    </w:p>
    <w:p w:rsidR="001C2F80" w:rsidRDefault="005E48B3" w:rsidP="00555DC0">
      <w:pPr>
        <w:spacing w:line="360" w:lineRule="auto"/>
        <w:ind w:firstLineChars="200" w:firstLine="480"/>
        <w:rPr>
          <w:rFonts w:ascii="Times New Roman" w:hAnsiTheme="minorEastAsia" w:cs="Times New Roman"/>
          <w:color w:val="000000"/>
          <w:sz w:val="24"/>
          <w:szCs w:val="24"/>
        </w:rPr>
      </w:pP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w:t>
      </w:r>
      <w:r w:rsidRPr="005E48B3">
        <w:rPr>
          <w:rFonts w:ascii="Times New Roman" w:hAnsiTheme="minorEastAsia" w:cs="Times New Roman"/>
          <w:color w:val="000000"/>
          <w:sz w:val="24"/>
          <w:szCs w:val="24"/>
        </w:rPr>
        <w:t>自</w:t>
      </w:r>
      <w:r w:rsidRPr="005E48B3">
        <w:rPr>
          <w:rFonts w:ascii="Times New Roman" w:hAnsiTheme="minorEastAsia" w:cs="Times New Roman" w:hint="eastAsia"/>
          <w:color w:val="000000"/>
          <w:sz w:val="24"/>
          <w:szCs w:val="24"/>
        </w:rPr>
        <w:t>20</w:t>
      </w:r>
      <w:r w:rsidR="008156C5">
        <w:rPr>
          <w:rFonts w:ascii="Times New Roman" w:hAnsiTheme="minorEastAsia" w:cs="Times New Roman"/>
          <w:color w:val="000000"/>
          <w:sz w:val="24"/>
          <w:szCs w:val="24"/>
        </w:rPr>
        <w:t>21</w:t>
      </w:r>
      <w:r w:rsidRPr="005E48B3">
        <w:rPr>
          <w:rFonts w:ascii="Times New Roman" w:hAnsiTheme="minorEastAsia" w:cs="Times New Roman" w:hint="eastAsia"/>
          <w:color w:val="000000"/>
          <w:sz w:val="24"/>
          <w:szCs w:val="24"/>
        </w:rPr>
        <w:t>年</w:t>
      </w:r>
      <w:r w:rsidR="008156C5">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日</w:t>
      </w:r>
      <w:r w:rsidRPr="005E48B3">
        <w:rPr>
          <w:rFonts w:ascii="Times New Roman" w:hAnsiTheme="minorEastAsia" w:cs="Times New Roman" w:hint="eastAsia"/>
          <w:color w:val="000000"/>
          <w:sz w:val="24"/>
          <w:szCs w:val="24"/>
        </w:rPr>
        <w:t>00:00</w:t>
      </w:r>
      <w:r w:rsidRPr="005E48B3">
        <w:rPr>
          <w:rFonts w:ascii="Times New Roman" w:hAnsiTheme="minorEastAsia" w:cs="Times New Roman" w:hint="eastAsia"/>
          <w:color w:val="000000"/>
          <w:sz w:val="24"/>
          <w:szCs w:val="24"/>
        </w:rPr>
        <w:t>至</w:t>
      </w:r>
      <w:r w:rsidRPr="005E48B3">
        <w:rPr>
          <w:rFonts w:ascii="Times New Roman" w:hAnsiTheme="minorEastAsia" w:cs="Times New Roman" w:hint="eastAsia"/>
          <w:color w:val="000000"/>
          <w:sz w:val="24"/>
          <w:szCs w:val="24"/>
        </w:rPr>
        <w:t>20</w:t>
      </w:r>
      <w:r w:rsidR="008156C5">
        <w:rPr>
          <w:rFonts w:ascii="Times New Roman" w:hAnsiTheme="minorEastAsia" w:cs="Times New Roman"/>
          <w:color w:val="000000"/>
          <w:sz w:val="24"/>
          <w:szCs w:val="24"/>
        </w:rPr>
        <w:t>21</w:t>
      </w:r>
      <w:r w:rsidRPr="005E48B3">
        <w:rPr>
          <w:rFonts w:ascii="Times New Roman" w:hAnsiTheme="minorEastAsia" w:cs="Times New Roman" w:hint="eastAsia"/>
          <w:color w:val="000000"/>
          <w:sz w:val="24"/>
          <w:szCs w:val="24"/>
        </w:rPr>
        <w:t>年</w:t>
      </w:r>
      <w:r w:rsidR="008156C5">
        <w:rPr>
          <w:rFonts w:ascii="Times New Roman" w:hAnsiTheme="minorEastAsia" w:cs="Times New Roman"/>
          <w:color w:val="000000"/>
          <w:sz w:val="24"/>
          <w:szCs w:val="24"/>
        </w:rPr>
        <w:t>6</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3</w:t>
      </w:r>
      <w:r w:rsidR="008156C5">
        <w:rPr>
          <w:rFonts w:ascii="Times New Roman" w:hAnsiTheme="minorEastAsia" w:cs="Times New Roman"/>
          <w:color w:val="000000"/>
          <w:sz w:val="24"/>
          <w:szCs w:val="24"/>
        </w:rPr>
        <w:t>0</w:t>
      </w:r>
      <w:r w:rsidRPr="005E48B3">
        <w:rPr>
          <w:rFonts w:ascii="Times New Roman" w:hAnsiTheme="minorEastAsia" w:cs="Times New Roman" w:hint="eastAsia"/>
          <w:color w:val="000000"/>
          <w:sz w:val="24"/>
          <w:szCs w:val="24"/>
        </w:rPr>
        <w:t>日</w:t>
      </w:r>
      <w:r w:rsidRPr="005E48B3">
        <w:rPr>
          <w:rFonts w:ascii="Times New Roman" w:hAnsiTheme="minorEastAsia" w:cs="Times New Roman" w:hint="eastAsia"/>
          <w:color w:val="000000"/>
          <w:sz w:val="24"/>
          <w:szCs w:val="24"/>
        </w:rPr>
        <w:t>24:00</w:t>
      </w:r>
      <w:r w:rsidR="00555DC0" w:rsidRPr="00555DC0">
        <w:rPr>
          <w:rFonts w:ascii="Times New Roman" w:hAnsiTheme="minorEastAsia" w:cs="Times New Roman"/>
          <w:color w:val="000000"/>
          <w:sz w:val="24"/>
          <w:szCs w:val="24"/>
        </w:rPr>
        <w:t>费率优惠活动期间</w:t>
      </w:r>
      <w:r w:rsidR="00555DC0" w:rsidRPr="00555DC0">
        <w:rPr>
          <w:rFonts w:ascii="Times New Roman" w:hAnsiTheme="minorEastAsia" w:cs="Times New Roman" w:hint="eastAsia"/>
          <w:color w:val="000000"/>
          <w:sz w:val="24"/>
          <w:szCs w:val="24"/>
        </w:rPr>
        <w:t>，</w:t>
      </w:r>
      <w:r w:rsidR="00555DC0" w:rsidRPr="00555DC0">
        <w:rPr>
          <w:rFonts w:ascii="Times New Roman" w:hAnsiTheme="minorEastAsia" w:cs="Times New Roman"/>
          <w:color w:val="000000"/>
          <w:sz w:val="24"/>
          <w:szCs w:val="24"/>
        </w:rPr>
        <w:t>凡已领取基金</w:t>
      </w:r>
      <w:r w:rsidR="00555DC0" w:rsidRPr="00555DC0">
        <w:rPr>
          <w:rFonts w:ascii="Times New Roman" w:hAnsiTheme="minorEastAsia" w:cs="Times New Roman"/>
          <w:color w:val="000000"/>
          <w:sz w:val="24"/>
          <w:szCs w:val="24"/>
        </w:rPr>
        <w:t>1</w:t>
      </w:r>
      <w:r w:rsidR="00555DC0" w:rsidRPr="00555DC0">
        <w:rPr>
          <w:rFonts w:ascii="Times New Roman" w:hAnsiTheme="minorEastAsia" w:cs="Times New Roman"/>
          <w:color w:val="000000"/>
          <w:sz w:val="24"/>
          <w:szCs w:val="24"/>
        </w:rPr>
        <w:t>折权益的个人投资者，</w:t>
      </w:r>
      <w:bookmarkStart w:id="0" w:name="_Hlk59448895"/>
      <w:r w:rsidR="00555DC0" w:rsidRPr="00555DC0">
        <w:rPr>
          <w:rFonts w:ascii="Times New Roman" w:hAnsiTheme="minorEastAsia" w:cs="Times New Roman"/>
          <w:color w:val="000000"/>
          <w:sz w:val="24"/>
          <w:szCs w:val="24"/>
        </w:rPr>
        <w:t>通过交通银行手机银行渠道</w:t>
      </w:r>
      <w:bookmarkEnd w:id="0"/>
      <w:r w:rsidR="00555DC0" w:rsidRPr="00555DC0">
        <w:rPr>
          <w:rFonts w:ascii="Times New Roman" w:hAnsiTheme="minorEastAsia" w:cs="Times New Roman"/>
          <w:color w:val="000000"/>
          <w:sz w:val="24"/>
          <w:szCs w:val="24"/>
        </w:rPr>
        <w:t>申购</w:t>
      </w:r>
      <w:r w:rsidR="00555DC0">
        <w:rPr>
          <w:rFonts w:ascii="Times New Roman" w:hAnsiTheme="minorEastAsia" w:cs="Times New Roman" w:hint="eastAsia"/>
          <w:color w:val="000000"/>
          <w:sz w:val="24"/>
          <w:szCs w:val="24"/>
        </w:rPr>
        <w:t>（包含</w:t>
      </w:r>
      <w:r w:rsidR="00555DC0">
        <w:rPr>
          <w:rFonts w:ascii="Times New Roman" w:hAnsiTheme="minorEastAsia" w:cs="Times New Roman"/>
          <w:color w:val="000000"/>
          <w:sz w:val="24"/>
          <w:szCs w:val="24"/>
        </w:rPr>
        <w:t>定期定额</w:t>
      </w:r>
      <w:r w:rsidR="00555DC0">
        <w:rPr>
          <w:rFonts w:ascii="Times New Roman" w:hAnsiTheme="minorEastAsia" w:cs="Times New Roman" w:hint="eastAsia"/>
          <w:color w:val="000000"/>
          <w:sz w:val="24"/>
          <w:szCs w:val="24"/>
        </w:rPr>
        <w:t>申购）</w:t>
      </w:r>
      <w:r w:rsidR="00555DC0" w:rsidRPr="00555DC0">
        <w:rPr>
          <w:rFonts w:ascii="Times New Roman" w:hAnsiTheme="minorEastAsia" w:cs="Times New Roman"/>
          <w:color w:val="000000"/>
          <w:sz w:val="24"/>
          <w:szCs w:val="24"/>
        </w:rPr>
        <w:t>上述开放式基金，享受基金申购手续费率</w:t>
      </w:r>
      <w:r w:rsidR="00555DC0" w:rsidRPr="00555DC0">
        <w:rPr>
          <w:rFonts w:ascii="Times New Roman" w:hAnsiTheme="minorEastAsia" w:cs="Times New Roman"/>
          <w:color w:val="000000"/>
          <w:sz w:val="24"/>
          <w:szCs w:val="24"/>
        </w:rPr>
        <w:t>1</w:t>
      </w:r>
      <w:r w:rsidR="00555DC0" w:rsidRPr="00555DC0">
        <w:rPr>
          <w:rFonts w:ascii="Times New Roman" w:hAnsiTheme="minorEastAsia" w:cs="Times New Roman"/>
          <w:color w:val="000000"/>
          <w:sz w:val="24"/>
          <w:szCs w:val="24"/>
        </w:rPr>
        <w:t>折优惠。基金</w:t>
      </w:r>
      <w:r w:rsidR="00555DC0" w:rsidRPr="00555DC0">
        <w:rPr>
          <w:rFonts w:ascii="Times New Roman" w:hAnsiTheme="minorEastAsia" w:cs="Times New Roman"/>
          <w:color w:val="000000"/>
          <w:sz w:val="24"/>
          <w:szCs w:val="24"/>
        </w:rPr>
        <w:t>1</w:t>
      </w:r>
      <w:r w:rsidR="00555DC0" w:rsidRPr="00555DC0">
        <w:rPr>
          <w:rFonts w:ascii="Times New Roman" w:hAnsiTheme="minorEastAsia" w:cs="Times New Roman"/>
          <w:color w:val="000000"/>
          <w:sz w:val="24"/>
          <w:szCs w:val="24"/>
        </w:rPr>
        <w:t>折权益是指：在费率优惠活动期间，通过交通银行手机银行渠道领取的可享受基金申购、定投费率</w:t>
      </w:r>
      <w:r w:rsidR="00555DC0" w:rsidRPr="00555DC0">
        <w:rPr>
          <w:rFonts w:ascii="Times New Roman" w:hAnsiTheme="minorEastAsia" w:cs="Times New Roman"/>
          <w:color w:val="000000"/>
          <w:sz w:val="24"/>
          <w:szCs w:val="24"/>
        </w:rPr>
        <w:t>1</w:t>
      </w:r>
      <w:r w:rsidR="00555DC0" w:rsidRPr="00555DC0">
        <w:rPr>
          <w:rFonts w:ascii="Times New Roman" w:hAnsiTheme="minorEastAsia" w:cs="Times New Roman"/>
          <w:color w:val="000000"/>
          <w:sz w:val="24"/>
          <w:szCs w:val="24"/>
        </w:rPr>
        <w:t>折优惠的权益。</w:t>
      </w:r>
      <w:r w:rsidR="00555DC0" w:rsidRPr="00555DC0">
        <w:rPr>
          <w:rFonts w:ascii="Times New Roman" w:hAnsiTheme="minorEastAsia" w:cs="Times New Roman" w:hint="eastAsia"/>
          <w:color w:val="000000"/>
          <w:sz w:val="24"/>
          <w:szCs w:val="24"/>
        </w:rPr>
        <w:t>通过交通银行柜面、网上银行等非手机银行渠道定期</w:t>
      </w:r>
      <w:r w:rsidR="00555DC0" w:rsidRPr="00555DC0">
        <w:rPr>
          <w:rFonts w:ascii="Times New Roman" w:hAnsiTheme="minorEastAsia" w:cs="Times New Roman"/>
          <w:color w:val="000000"/>
          <w:sz w:val="24"/>
          <w:szCs w:val="24"/>
        </w:rPr>
        <w:t>定额申购上述开放式基金</w:t>
      </w:r>
      <w:r w:rsidR="00555DC0" w:rsidRPr="00555DC0">
        <w:rPr>
          <w:rFonts w:ascii="Times New Roman" w:hAnsiTheme="minorEastAsia" w:cs="Times New Roman" w:hint="eastAsia"/>
          <w:color w:val="000000"/>
          <w:sz w:val="24"/>
          <w:szCs w:val="24"/>
        </w:rPr>
        <w:t>的个人投资者，享受基金定投手续费率</w:t>
      </w:r>
      <w:r w:rsidR="00555DC0" w:rsidRPr="00555DC0">
        <w:rPr>
          <w:rFonts w:ascii="Times New Roman" w:hAnsiTheme="minorEastAsia" w:cs="Times New Roman" w:hint="eastAsia"/>
          <w:color w:val="000000"/>
          <w:sz w:val="24"/>
          <w:szCs w:val="24"/>
        </w:rPr>
        <w:t>8</w:t>
      </w:r>
      <w:r w:rsidR="00555DC0" w:rsidRPr="00555DC0">
        <w:rPr>
          <w:rFonts w:ascii="Times New Roman" w:hAnsiTheme="minorEastAsia" w:cs="Times New Roman"/>
          <w:color w:val="000000"/>
          <w:sz w:val="24"/>
          <w:szCs w:val="24"/>
        </w:rPr>
        <w:t>折优惠。</w:t>
      </w:r>
      <w:r w:rsidRPr="005E48B3">
        <w:rPr>
          <w:rFonts w:ascii="Times New Roman" w:hAnsiTheme="minorEastAsia" w:cs="Times New Roman" w:hint="eastAsia"/>
          <w:color w:val="000000"/>
          <w:sz w:val="24"/>
          <w:szCs w:val="24"/>
        </w:rPr>
        <w:t>原基金申购费率按笔收取固定费用的不再享有费率优惠。</w:t>
      </w:r>
    </w:p>
    <w:p w:rsidR="00407360" w:rsidRPr="00407360" w:rsidRDefault="005E48B3" w:rsidP="00555DC0">
      <w:pPr>
        <w:adjustRightInd w:val="0"/>
        <w:snapToGrid w:val="0"/>
        <w:spacing w:line="360" w:lineRule="auto"/>
        <w:ind w:firstLineChars="200" w:firstLine="480"/>
        <w:rPr>
          <w:rFonts w:ascii="Times New Roman" w:hAnsiTheme="minorEastAsia" w:cs="Times New Roman"/>
          <w:color w:val="000000"/>
          <w:sz w:val="24"/>
          <w:szCs w:val="24"/>
        </w:rPr>
      </w:pPr>
      <w:r w:rsidRPr="005E48B3">
        <w:rPr>
          <w:rFonts w:ascii="Times New Roman" w:hAnsiTheme="minorEastAsia" w:cs="Times New Roman" w:hint="eastAsia"/>
          <w:color w:val="000000"/>
          <w:sz w:val="24"/>
          <w:szCs w:val="24"/>
        </w:rPr>
        <w:lastRenderedPageBreak/>
        <w:t>2</w:t>
      </w:r>
      <w:r w:rsidRPr="005E48B3">
        <w:rPr>
          <w:rFonts w:ascii="Times New Roman" w:hAnsiTheme="minorEastAsia" w:cs="Times New Roman" w:hint="eastAsia"/>
          <w:color w:val="000000"/>
          <w:sz w:val="24"/>
          <w:szCs w:val="24"/>
        </w:rPr>
        <w:t>、</w:t>
      </w:r>
      <w:r w:rsidR="00407360" w:rsidRPr="00407360">
        <w:rPr>
          <w:rFonts w:ascii="Times New Roman" w:hAnsiTheme="minorEastAsia" w:cs="Times New Roman" w:hint="eastAsia"/>
          <w:color w:val="000000"/>
          <w:sz w:val="24"/>
          <w:szCs w:val="24"/>
        </w:rPr>
        <w:t>费率优惠期限内，如本公司新增通过交通</w:t>
      </w:r>
      <w:r w:rsidR="00CC4B69">
        <w:rPr>
          <w:rFonts w:ascii="Times New Roman" w:hAnsiTheme="minorEastAsia" w:cs="Times New Roman" w:hint="eastAsia"/>
          <w:color w:val="000000"/>
          <w:sz w:val="24"/>
          <w:szCs w:val="24"/>
        </w:rPr>
        <w:t>银行</w:t>
      </w:r>
      <w:r w:rsidR="00407360" w:rsidRPr="00407360">
        <w:rPr>
          <w:rFonts w:ascii="Times New Roman" w:hAnsiTheme="minorEastAsia" w:cs="Times New Roman" w:hint="eastAsia"/>
          <w:color w:val="000000"/>
          <w:sz w:val="24"/>
          <w:szCs w:val="24"/>
        </w:rPr>
        <w:t>代销的开放式基金产品（货币基金除外），则自该基金产品开放申购当日起，将同时</w:t>
      </w:r>
      <w:r w:rsidR="0021098D">
        <w:rPr>
          <w:rFonts w:ascii="Times New Roman" w:hAnsiTheme="minorEastAsia" w:cs="Times New Roman" w:hint="eastAsia"/>
          <w:color w:val="000000"/>
          <w:sz w:val="24"/>
          <w:szCs w:val="24"/>
        </w:rPr>
        <w:t>适用</w:t>
      </w:r>
      <w:r w:rsidR="00407360" w:rsidRPr="00407360">
        <w:rPr>
          <w:rFonts w:ascii="Times New Roman" w:hAnsiTheme="minorEastAsia" w:cs="Times New Roman" w:hint="eastAsia"/>
          <w:color w:val="000000"/>
          <w:sz w:val="24"/>
          <w:szCs w:val="24"/>
        </w:rPr>
        <w:t>上述优惠活动。</w:t>
      </w:r>
      <w:r w:rsidR="00407360" w:rsidRPr="00407360">
        <w:rPr>
          <w:rFonts w:ascii="Times New Roman" w:hAnsiTheme="minorEastAsia" w:cs="Times New Roman"/>
          <w:color w:val="000000"/>
          <w:sz w:val="24"/>
          <w:szCs w:val="24"/>
        </w:rPr>
        <w:t xml:space="preserve"> </w:t>
      </w:r>
    </w:p>
    <w:p w:rsidR="00AF33D5" w:rsidRPr="0010160E" w:rsidRDefault="00AF33D5" w:rsidP="00AF33D5">
      <w:pPr>
        <w:adjustRightInd w:val="0"/>
        <w:snapToGrid w:val="0"/>
        <w:spacing w:line="360" w:lineRule="auto"/>
        <w:ind w:firstLineChars="200" w:firstLine="422"/>
        <w:rPr>
          <w:rFonts w:ascii="Times New Roman" w:hAnsi="Times New Roman" w:cs="Times New Roman"/>
          <w:b/>
          <w:color w:val="000000"/>
          <w:sz w:val="24"/>
          <w:szCs w:val="24"/>
        </w:rPr>
      </w:pPr>
      <w:r>
        <w:rPr>
          <w:rStyle w:val="a4"/>
          <w:rFonts w:hint="eastAsia"/>
        </w:rPr>
        <w:t>三</w:t>
      </w:r>
      <w:r w:rsidRPr="00802E22">
        <w:rPr>
          <w:rStyle w:val="a4"/>
          <w:rFonts w:hint="eastAsia"/>
        </w:rPr>
        <w:t>、</w:t>
      </w:r>
      <w:r w:rsidR="005E48B3">
        <w:rPr>
          <w:rFonts w:ascii="Times New Roman" w:hAnsiTheme="minorEastAsia" w:cs="Times New Roman" w:hint="eastAsia"/>
          <w:b/>
          <w:color w:val="000000"/>
          <w:sz w:val="24"/>
          <w:szCs w:val="24"/>
        </w:rPr>
        <w:t>重要提示</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1</w:t>
      </w:r>
      <w:r w:rsidRPr="0003793B">
        <w:rPr>
          <w:rFonts w:ascii="Times New Roman" w:hAnsiTheme="minorEastAsia" w:cs="Times New Roman" w:hint="eastAsia"/>
          <w:color w:val="000000"/>
          <w:sz w:val="24"/>
          <w:szCs w:val="24"/>
        </w:rPr>
        <w:t>、</w:t>
      </w:r>
      <w:r w:rsidR="00555DC0" w:rsidRPr="00555DC0">
        <w:rPr>
          <w:rFonts w:ascii="Times New Roman" w:hAnsiTheme="minorEastAsia" w:cs="Times New Roman"/>
          <w:color w:val="000000"/>
          <w:sz w:val="24"/>
          <w:szCs w:val="24"/>
        </w:rPr>
        <w:t>未领取</w:t>
      </w:r>
      <w:r w:rsidR="00555DC0">
        <w:rPr>
          <w:rFonts w:ascii="Times New Roman" w:hAnsiTheme="minorEastAsia" w:cs="Times New Roman" w:hint="eastAsia"/>
          <w:color w:val="000000"/>
          <w:sz w:val="24"/>
          <w:szCs w:val="24"/>
        </w:rPr>
        <w:t>交通</w:t>
      </w:r>
      <w:r w:rsidR="00555DC0">
        <w:rPr>
          <w:rFonts w:ascii="Times New Roman" w:hAnsiTheme="minorEastAsia" w:cs="Times New Roman"/>
          <w:color w:val="000000"/>
          <w:sz w:val="24"/>
          <w:szCs w:val="24"/>
        </w:rPr>
        <w:t>银行</w:t>
      </w:r>
      <w:r w:rsidR="00555DC0" w:rsidRPr="00555DC0">
        <w:rPr>
          <w:rFonts w:ascii="Times New Roman" w:hAnsiTheme="minorEastAsia" w:cs="Times New Roman"/>
          <w:color w:val="000000"/>
          <w:sz w:val="24"/>
          <w:szCs w:val="24"/>
        </w:rPr>
        <w:t>基金</w:t>
      </w:r>
      <w:r w:rsidR="00555DC0" w:rsidRPr="00555DC0">
        <w:rPr>
          <w:rFonts w:ascii="Times New Roman" w:hAnsiTheme="minorEastAsia" w:cs="Times New Roman"/>
          <w:color w:val="000000"/>
          <w:sz w:val="24"/>
          <w:szCs w:val="24"/>
        </w:rPr>
        <w:t>1</w:t>
      </w:r>
      <w:r w:rsidR="00555DC0" w:rsidRPr="00555DC0">
        <w:rPr>
          <w:rFonts w:ascii="Times New Roman" w:hAnsiTheme="minorEastAsia" w:cs="Times New Roman"/>
          <w:color w:val="000000"/>
          <w:sz w:val="24"/>
          <w:szCs w:val="24"/>
        </w:rPr>
        <w:t>折权益的客户在手机银行不享受本次费率优惠。</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2</w:t>
      </w:r>
      <w:r w:rsidRPr="0003793B">
        <w:rPr>
          <w:rFonts w:ascii="Times New Roman" w:hAnsiTheme="minorEastAsia" w:cs="Times New Roman" w:hint="eastAsia"/>
          <w:color w:val="000000"/>
          <w:sz w:val="24"/>
          <w:szCs w:val="24"/>
        </w:rPr>
        <w:t>、有关上述费率优惠活动的具体费率折扣及活动起止时间如有变化，敬请投资者留意交通银行的有关公告。</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3</w:t>
      </w:r>
      <w:r w:rsidRPr="0003793B">
        <w:rPr>
          <w:rFonts w:ascii="Times New Roman" w:hAnsiTheme="minorEastAsia" w:cs="Times New Roman" w:hint="eastAsia"/>
          <w:color w:val="000000"/>
          <w:sz w:val="24"/>
          <w:szCs w:val="24"/>
        </w:rPr>
        <w:t>、投资者欲了解基金产品的详细情况，请仔细阅读基金的基金合同、招募说明书</w:t>
      </w:r>
      <w:r w:rsidR="000535D6">
        <w:rPr>
          <w:rFonts w:ascii="Times New Roman" w:hAnsiTheme="minorEastAsia" w:cs="Times New Roman" w:hint="eastAsia"/>
          <w:color w:val="000000"/>
          <w:sz w:val="24"/>
          <w:szCs w:val="24"/>
        </w:rPr>
        <w:t>、</w:t>
      </w:r>
      <w:r w:rsidR="000535D6">
        <w:rPr>
          <w:rFonts w:ascii="Times New Roman" w:hAnsiTheme="minorEastAsia" w:cs="Times New Roman"/>
          <w:color w:val="000000"/>
          <w:sz w:val="24"/>
          <w:szCs w:val="24"/>
        </w:rPr>
        <w:t>基金产品资料概要</w:t>
      </w:r>
      <w:r w:rsidRPr="0003793B">
        <w:rPr>
          <w:rFonts w:ascii="Times New Roman" w:hAnsiTheme="minorEastAsia" w:cs="Times New Roman" w:hint="eastAsia"/>
          <w:color w:val="000000"/>
          <w:sz w:val="24"/>
          <w:szCs w:val="24"/>
        </w:rPr>
        <w:t>等法律文件。</w:t>
      </w:r>
    </w:p>
    <w:p w:rsidR="0003793B" w:rsidRPr="0010160E" w:rsidRDefault="0003793B" w:rsidP="0003793B">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四</w:t>
      </w:r>
      <w:r w:rsidRPr="0010160E">
        <w:rPr>
          <w:rFonts w:ascii="Times New Roman" w:hAnsiTheme="minorEastAsia" w:cs="Times New Roman"/>
          <w:b/>
          <w:color w:val="000000"/>
          <w:sz w:val="24"/>
          <w:szCs w:val="24"/>
        </w:rPr>
        <w:t>、</w:t>
      </w:r>
      <w:r>
        <w:rPr>
          <w:rFonts w:ascii="Times New Roman" w:hAnsiTheme="minorEastAsia" w:cs="Times New Roman" w:hint="eastAsia"/>
          <w:b/>
          <w:color w:val="000000"/>
          <w:sz w:val="24"/>
          <w:szCs w:val="24"/>
        </w:rPr>
        <w:t>投资者可</w:t>
      </w:r>
      <w:r>
        <w:rPr>
          <w:rFonts w:ascii="Times New Roman" w:hAnsiTheme="minorEastAsia" w:cs="Times New Roman"/>
          <w:b/>
          <w:color w:val="000000"/>
          <w:sz w:val="24"/>
          <w:szCs w:val="24"/>
        </w:rPr>
        <w:t>通过</w:t>
      </w:r>
      <w:r>
        <w:rPr>
          <w:rFonts w:ascii="Times New Roman" w:hAnsiTheme="minorEastAsia" w:cs="Times New Roman" w:hint="eastAsia"/>
          <w:b/>
          <w:color w:val="000000"/>
          <w:sz w:val="24"/>
          <w:szCs w:val="24"/>
        </w:rPr>
        <w:t>以下</w:t>
      </w:r>
      <w:r>
        <w:rPr>
          <w:rFonts w:ascii="Times New Roman" w:hAnsiTheme="minorEastAsia" w:cs="Times New Roman"/>
          <w:b/>
          <w:color w:val="000000"/>
          <w:sz w:val="24"/>
          <w:szCs w:val="24"/>
        </w:rPr>
        <w:t>途径咨询有关详情</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1</w:t>
      </w:r>
      <w:r w:rsidRPr="0003793B">
        <w:rPr>
          <w:rFonts w:ascii="Times New Roman" w:hAnsiTheme="minorEastAsia" w:cs="Times New Roman" w:hint="eastAsia"/>
          <w:color w:val="000000"/>
          <w:sz w:val="24"/>
          <w:szCs w:val="24"/>
        </w:rPr>
        <w:t>、交通银行股份有限公司</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客户服务电话：</w:t>
      </w:r>
      <w:r w:rsidRPr="0003793B">
        <w:rPr>
          <w:rFonts w:ascii="Times New Roman" w:hAnsiTheme="minorEastAsia" w:cs="Times New Roman" w:hint="eastAsia"/>
          <w:color w:val="000000"/>
          <w:sz w:val="24"/>
          <w:szCs w:val="24"/>
        </w:rPr>
        <w:t>95559</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网站</w:t>
      </w:r>
      <w:r>
        <w:rPr>
          <w:rFonts w:ascii="Times New Roman" w:hAnsiTheme="minorEastAsia" w:cs="Times New Roman"/>
          <w:color w:val="000000"/>
          <w:sz w:val="24"/>
          <w:szCs w:val="24"/>
        </w:rPr>
        <w:t>：</w:t>
      </w:r>
      <w:hyperlink r:id="rId6" w:history="1">
        <w:r w:rsidRPr="0003793B">
          <w:rPr>
            <w:rFonts w:ascii="Times New Roman" w:hAnsiTheme="minorEastAsia" w:cs="Times New Roman" w:hint="eastAsia"/>
            <w:color w:val="000000"/>
            <w:sz w:val="24"/>
            <w:szCs w:val="24"/>
          </w:rPr>
          <w:t>www.bankcomm.com</w:t>
        </w:r>
      </w:hyperlink>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2</w:t>
      </w:r>
      <w:r w:rsidRPr="0003793B">
        <w:rPr>
          <w:rFonts w:ascii="Times New Roman" w:hAnsiTheme="minorEastAsia" w:cs="Times New Roman" w:hint="eastAsia"/>
          <w:color w:val="000000"/>
          <w:sz w:val="24"/>
          <w:szCs w:val="24"/>
        </w:rPr>
        <w:t>、中国人保资产管理有限公司</w:t>
      </w:r>
      <w:r w:rsidRPr="0003793B">
        <w:rPr>
          <w:rFonts w:ascii="Times New Roman" w:hAnsiTheme="minorEastAsia" w:cs="Times New Roman"/>
          <w:color w:val="000000"/>
          <w:sz w:val="24"/>
          <w:szCs w:val="24"/>
        </w:rPr>
        <w:t xml:space="preserve"> </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客户服务电话：</w:t>
      </w:r>
      <w:r w:rsidRPr="0003793B">
        <w:rPr>
          <w:rFonts w:ascii="Times New Roman" w:hAnsiTheme="minorEastAsia" w:cs="Times New Roman" w:hint="eastAsia"/>
          <w:color w:val="000000"/>
          <w:sz w:val="24"/>
          <w:szCs w:val="24"/>
        </w:rPr>
        <w:t>400-820-7999</w:t>
      </w:r>
      <w:r w:rsidRPr="0003793B">
        <w:rPr>
          <w:rFonts w:ascii="Times New Roman" w:hAnsiTheme="minorEastAsia" w:cs="Times New Roman"/>
          <w:color w:val="000000"/>
          <w:sz w:val="24"/>
          <w:szCs w:val="24"/>
        </w:rPr>
        <w:t xml:space="preserve"> </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网站：</w:t>
      </w:r>
      <w:r w:rsidRPr="0003793B">
        <w:rPr>
          <w:rFonts w:ascii="Times New Roman" w:hAnsiTheme="minorEastAsia" w:cs="Times New Roman" w:hint="eastAsia"/>
          <w:color w:val="000000"/>
          <w:sz w:val="24"/>
          <w:szCs w:val="24"/>
        </w:rPr>
        <w:t>fund.piccamc.com</w:t>
      </w:r>
      <w:r w:rsidRPr="0003793B">
        <w:rPr>
          <w:rFonts w:ascii="Times New Roman" w:hAnsiTheme="minorEastAsia" w:cs="Times New Roman"/>
          <w:color w:val="000000"/>
          <w:sz w:val="24"/>
          <w:szCs w:val="24"/>
        </w:rPr>
        <w:t xml:space="preserve"> </w:t>
      </w:r>
    </w:p>
    <w:p w:rsidR="00AF33D5" w:rsidRPr="0010160E" w:rsidRDefault="0003793B" w:rsidP="00AF33D5">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五</w:t>
      </w:r>
      <w:r w:rsidR="00AF33D5" w:rsidRPr="0010160E">
        <w:rPr>
          <w:rFonts w:ascii="Times New Roman" w:hAnsiTheme="minorEastAsia" w:cs="Times New Roman"/>
          <w:b/>
          <w:color w:val="000000"/>
          <w:sz w:val="24"/>
          <w:szCs w:val="24"/>
        </w:rPr>
        <w:t>、风险提示</w:t>
      </w:r>
    </w:p>
    <w:p w:rsidR="00071D2D" w:rsidRDefault="00071D2D" w:rsidP="00071D2D">
      <w:pPr>
        <w:adjustRightInd w:val="0"/>
        <w:snapToGrid w:val="0"/>
        <w:spacing w:line="360" w:lineRule="auto"/>
        <w:ind w:firstLineChars="200" w:firstLine="480"/>
        <w:rPr>
          <w:rFonts w:ascii="Times New Roman" w:hAnsiTheme="minorEastAsia" w:cs="Times New Roman"/>
          <w:color w:val="000000"/>
          <w:sz w:val="24"/>
          <w:szCs w:val="24"/>
        </w:rPr>
      </w:pPr>
      <w:r w:rsidRPr="00392FEF">
        <w:rPr>
          <w:rFonts w:ascii="Times New Roman" w:hAnsiTheme="minorEastAsia" w:cs="Times New Roman" w:hint="eastAsia"/>
          <w:color w:val="000000"/>
          <w:sz w:val="24"/>
          <w:szCs w:val="24"/>
        </w:rPr>
        <w:t>投资者在</w:t>
      </w:r>
      <w:r>
        <w:rPr>
          <w:rFonts w:ascii="Times New Roman" w:hAnsiTheme="minorEastAsia" w:cs="Times New Roman" w:hint="eastAsia"/>
          <w:color w:val="000000"/>
          <w:sz w:val="24"/>
          <w:szCs w:val="24"/>
        </w:rPr>
        <w:t>交通银行</w:t>
      </w:r>
      <w:r w:rsidRPr="00392FEF">
        <w:rPr>
          <w:rFonts w:ascii="Times New Roman" w:hAnsiTheme="minorEastAsia" w:cs="Times New Roman" w:hint="eastAsia"/>
          <w:color w:val="000000"/>
          <w:sz w:val="24"/>
          <w:szCs w:val="24"/>
        </w:rPr>
        <w:t>办理本公司旗下上述开放式基金的销售业务应遵循上述销售机构的相关规定。</w:t>
      </w:r>
    </w:p>
    <w:p w:rsidR="00071D2D" w:rsidRDefault="00071D2D" w:rsidP="00071D2D">
      <w:pPr>
        <w:adjustRightInd w:val="0"/>
        <w:snapToGrid w:val="0"/>
        <w:spacing w:line="360" w:lineRule="auto"/>
        <w:ind w:firstLineChars="200" w:firstLine="480"/>
        <w:rPr>
          <w:rFonts w:ascii="Times New Roman" w:hAnsiTheme="minorEastAsia" w:cs="Times New Roman"/>
          <w:color w:val="000000"/>
          <w:sz w:val="24"/>
          <w:szCs w:val="24"/>
        </w:rPr>
      </w:pPr>
      <w:r w:rsidRPr="00392FEF">
        <w:rPr>
          <w:rFonts w:ascii="Times New Roman" w:hAnsiTheme="minorEastAsia" w:cs="Times New Roman" w:hint="eastAsia"/>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F33D5" w:rsidRPr="0010160E" w:rsidRDefault="00AF33D5" w:rsidP="00A1225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w:t>
      </w:r>
      <w:r w:rsidR="00D354FC">
        <w:rPr>
          <w:rFonts w:ascii="Times New Roman" w:hAnsiTheme="minorEastAsia" w:cs="Times New Roman"/>
          <w:color w:val="000000"/>
          <w:sz w:val="24"/>
          <w:szCs w:val="24"/>
        </w:rPr>
        <w:t>险，选择须谨慎。敬请投资者于投资前认真阅读各基金的《基金合同》</w:t>
      </w:r>
      <w:r w:rsidR="00D354FC">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《招募说明书》</w:t>
      </w:r>
      <w:r w:rsidR="00D354FC">
        <w:rPr>
          <w:rFonts w:ascii="Times New Roman" w:hAnsiTheme="minorEastAsia" w:cs="Times New Roman" w:hint="eastAsia"/>
          <w:color w:val="000000"/>
          <w:sz w:val="24"/>
          <w:szCs w:val="24"/>
        </w:rPr>
        <w:t>、《</w:t>
      </w:r>
      <w:r w:rsidR="00D354FC">
        <w:rPr>
          <w:rFonts w:ascii="Times New Roman" w:hAnsiTheme="minorEastAsia" w:cs="Times New Roman"/>
          <w:color w:val="000000"/>
          <w:sz w:val="24"/>
          <w:szCs w:val="24"/>
        </w:rPr>
        <w:t>基金产品资料概要</w:t>
      </w:r>
      <w:r w:rsidR="00D354FC">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w:t>
      </w:r>
      <w:bookmarkStart w:id="1" w:name="_GoBack"/>
      <w:bookmarkEnd w:id="1"/>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特此公告。</w:t>
      </w: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p>
    <w:p w:rsidR="00AF33D5" w:rsidRPr="0010160E" w:rsidRDefault="00680A57" w:rsidP="00AF33D5">
      <w:pPr>
        <w:spacing w:line="360" w:lineRule="auto"/>
        <w:ind w:firstLineChars="200" w:firstLine="480"/>
        <w:jc w:val="right"/>
        <w:rPr>
          <w:rFonts w:ascii="Times New Roman" w:hAnsi="Times New Roman" w:cs="Times New Roman"/>
          <w:color w:val="000000"/>
          <w:sz w:val="24"/>
          <w:szCs w:val="24"/>
        </w:rPr>
      </w:pPr>
      <w:r>
        <w:rPr>
          <w:rFonts w:ascii="Times New Roman" w:hAnsiTheme="minorEastAsia" w:cs="Times New Roman" w:hint="eastAsia"/>
          <w:color w:val="000000"/>
          <w:sz w:val="24"/>
          <w:szCs w:val="24"/>
        </w:rPr>
        <w:lastRenderedPageBreak/>
        <w:t>中国人保资产管理有限</w:t>
      </w:r>
      <w:r w:rsidR="00AF33D5" w:rsidRPr="0010160E">
        <w:rPr>
          <w:rFonts w:ascii="Times New Roman" w:hAnsiTheme="minorEastAsia" w:cs="Times New Roman"/>
          <w:color w:val="000000"/>
          <w:sz w:val="24"/>
          <w:szCs w:val="24"/>
        </w:rPr>
        <w:t>公司</w:t>
      </w:r>
    </w:p>
    <w:p w:rsidR="00AF33D5" w:rsidRPr="0010160E" w:rsidRDefault="00AF33D5" w:rsidP="00AF33D5">
      <w:pPr>
        <w:spacing w:line="360" w:lineRule="auto"/>
        <w:ind w:firstLineChars="200" w:firstLine="48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004715C6">
        <w:rPr>
          <w:rFonts w:ascii="Times New Roman" w:hAnsi="Times New Roman" w:cs="Times New Roman"/>
          <w:color w:val="000000"/>
          <w:sz w:val="24"/>
          <w:szCs w:val="24"/>
        </w:rPr>
        <w:t>20</w:t>
      </w:r>
      <w:r w:rsidRPr="0010160E">
        <w:rPr>
          <w:rFonts w:ascii="Times New Roman" w:hAnsiTheme="minorEastAsia" w:cs="Times New Roman"/>
          <w:color w:val="000000"/>
          <w:sz w:val="24"/>
          <w:szCs w:val="24"/>
        </w:rPr>
        <w:t>年</w:t>
      </w:r>
      <w:r w:rsidR="004715C6">
        <w:rPr>
          <w:rFonts w:ascii="Times New Roman" w:hAnsi="Times New Roman" w:cs="Times New Roman"/>
          <w:color w:val="000000"/>
          <w:sz w:val="24"/>
          <w:szCs w:val="24"/>
        </w:rPr>
        <w:t>12</w:t>
      </w:r>
      <w:r>
        <w:rPr>
          <w:rFonts w:ascii="Times New Roman" w:hAnsi="Times New Roman" w:cs="Times New Roman" w:hint="eastAsia"/>
          <w:color w:val="000000"/>
          <w:sz w:val="24"/>
          <w:szCs w:val="24"/>
        </w:rPr>
        <w:t>月</w:t>
      </w:r>
      <w:r w:rsidR="004715C6">
        <w:rPr>
          <w:rFonts w:ascii="Times New Roman" w:hAnsi="Times New Roman" w:cs="Times New Roman"/>
          <w:color w:val="000000"/>
          <w:sz w:val="24"/>
          <w:szCs w:val="24"/>
        </w:rPr>
        <w:t>31</w:t>
      </w:r>
      <w:r>
        <w:rPr>
          <w:rFonts w:ascii="Times New Roman" w:hAnsi="Times New Roman" w:cs="Times New Roman" w:hint="eastAsia"/>
          <w:color w:val="000000"/>
          <w:sz w:val="24"/>
          <w:szCs w:val="24"/>
        </w:rPr>
        <w:t>日</w:t>
      </w:r>
    </w:p>
    <w:p w:rsidR="00AF33D5" w:rsidRPr="0010160E" w:rsidRDefault="00AF33D5" w:rsidP="00AF33D5">
      <w:pPr>
        <w:spacing w:line="360" w:lineRule="auto"/>
        <w:ind w:firstLineChars="200" w:firstLine="480"/>
        <w:jc w:val="right"/>
        <w:rPr>
          <w:rFonts w:ascii="Times New Roman" w:hAnsi="Times New Roman" w:cs="Times New Roman"/>
          <w:color w:val="000000"/>
          <w:sz w:val="24"/>
          <w:szCs w:val="24"/>
        </w:rPr>
      </w:pPr>
    </w:p>
    <w:p w:rsidR="00EB6B56" w:rsidRDefault="00EB6B56"/>
    <w:sectPr w:rsidR="00EB6B56" w:rsidSect="00900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18" w:rsidRDefault="00F13C18" w:rsidP="00C94E36">
      <w:r>
        <w:separator/>
      </w:r>
    </w:p>
  </w:endnote>
  <w:endnote w:type="continuationSeparator" w:id="0">
    <w:p w:rsidR="00F13C18" w:rsidRDefault="00F13C18" w:rsidP="00C94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18" w:rsidRDefault="00F13C18" w:rsidP="00C94E36">
      <w:r>
        <w:separator/>
      </w:r>
    </w:p>
  </w:footnote>
  <w:footnote w:type="continuationSeparator" w:id="0">
    <w:p w:rsidR="00F13C18" w:rsidRDefault="00F13C18" w:rsidP="00C94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3D5"/>
    <w:rsid w:val="00001CC3"/>
    <w:rsid w:val="0003793B"/>
    <w:rsid w:val="000535D6"/>
    <w:rsid w:val="00071D2D"/>
    <w:rsid w:val="00081270"/>
    <w:rsid w:val="00100BD2"/>
    <w:rsid w:val="0013651E"/>
    <w:rsid w:val="001C28DF"/>
    <w:rsid w:val="001C2F80"/>
    <w:rsid w:val="0021098D"/>
    <w:rsid w:val="002A3691"/>
    <w:rsid w:val="003060B8"/>
    <w:rsid w:val="00311C30"/>
    <w:rsid w:val="00322FEE"/>
    <w:rsid w:val="003445DB"/>
    <w:rsid w:val="0035412F"/>
    <w:rsid w:val="0036145C"/>
    <w:rsid w:val="00392FEF"/>
    <w:rsid w:val="00393933"/>
    <w:rsid w:val="003C4D16"/>
    <w:rsid w:val="00407360"/>
    <w:rsid w:val="00421F68"/>
    <w:rsid w:val="0044595F"/>
    <w:rsid w:val="004715C6"/>
    <w:rsid w:val="00482CAD"/>
    <w:rsid w:val="004862B9"/>
    <w:rsid w:val="00495CB0"/>
    <w:rsid w:val="004B32DD"/>
    <w:rsid w:val="0051602B"/>
    <w:rsid w:val="00526CAC"/>
    <w:rsid w:val="00542BFC"/>
    <w:rsid w:val="00555DC0"/>
    <w:rsid w:val="005E48B3"/>
    <w:rsid w:val="005E66B9"/>
    <w:rsid w:val="00600A2D"/>
    <w:rsid w:val="00680A57"/>
    <w:rsid w:val="007078CF"/>
    <w:rsid w:val="00797989"/>
    <w:rsid w:val="007B53BD"/>
    <w:rsid w:val="008156C5"/>
    <w:rsid w:val="00815CE4"/>
    <w:rsid w:val="00846537"/>
    <w:rsid w:val="00887FB4"/>
    <w:rsid w:val="008F69FB"/>
    <w:rsid w:val="00961EE5"/>
    <w:rsid w:val="00966F69"/>
    <w:rsid w:val="00971BEE"/>
    <w:rsid w:val="00A1225C"/>
    <w:rsid w:val="00A354B9"/>
    <w:rsid w:val="00A359E2"/>
    <w:rsid w:val="00A87AC8"/>
    <w:rsid w:val="00AD4B8D"/>
    <w:rsid w:val="00AF33D5"/>
    <w:rsid w:val="00C94E36"/>
    <w:rsid w:val="00CC4B69"/>
    <w:rsid w:val="00CF329F"/>
    <w:rsid w:val="00D066C4"/>
    <w:rsid w:val="00D354FC"/>
    <w:rsid w:val="00D713E4"/>
    <w:rsid w:val="00DC6A70"/>
    <w:rsid w:val="00DE1FDC"/>
    <w:rsid w:val="00E1535C"/>
    <w:rsid w:val="00E3501E"/>
    <w:rsid w:val="00E547A4"/>
    <w:rsid w:val="00E85B19"/>
    <w:rsid w:val="00EB6B56"/>
    <w:rsid w:val="00EC65C9"/>
    <w:rsid w:val="00F102BE"/>
    <w:rsid w:val="00F13C18"/>
    <w:rsid w:val="00F5418B"/>
    <w:rsid w:val="00F82A3F"/>
    <w:rsid w:val="00FE6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3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33D5"/>
    <w:rPr>
      <w:b/>
      <w:bCs/>
    </w:rPr>
  </w:style>
  <w:style w:type="paragraph" w:styleId="a5">
    <w:name w:val="header"/>
    <w:basedOn w:val="a"/>
    <w:link w:val="Char"/>
    <w:uiPriority w:val="99"/>
    <w:unhideWhenUsed/>
    <w:rsid w:val="00C94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4E36"/>
    <w:rPr>
      <w:sz w:val="18"/>
      <w:szCs w:val="18"/>
    </w:rPr>
  </w:style>
  <w:style w:type="paragraph" w:styleId="a6">
    <w:name w:val="footer"/>
    <w:basedOn w:val="a"/>
    <w:link w:val="Char0"/>
    <w:uiPriority w:val="99"/>
    <w:unhideWhenUsed/>
    <w:rsid w:val="00C94E36"/>
    <w:pPr>
      <w:tabs>
        <w:tab w:val="center" w:pos="4153"/>
        <w:tab w:val="right" w:pos="8306"/>
      </w:tabs>
      <w:snapToGrid w:val="0"/>
      <w:jc w:val="left"/>
    </w:pPr>
    <w:rPr>
      <w:sz w:val="18"/>
      <w:szCs w:val="18"/>
    </w:rPr>
  </w:style>
  <w:style w:type="character" w:customStyle="1" w:styleId="Char0">
    <w:name w:val="页脚 Char"/>
    <w:basedOn w:val="a0"/>
    <w:link w:val="a6"/>
    <w:uiPriority w:val="99"/>
    <w:rsid w:val="00C94E36"/>
    <w:rPr>
      <w:sz w:val="18"/>
      <w:szCs w:val="18"/>
    </w:rPr>
  </w:style>
  <w:style w:type="character" w:styleId="a7">
    <w:name w:val="Hyperlink"/>
    <w:basedOn w:val="a0"/>
    <w:uiPriority w:val="99"/>
    <w:unhideWhenUsed/>
    <w:rsid w:val="0035412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71963378">
      <w:bodyDiv w:val="1"/>
      <w:marLeft w:val="0"/>
      <w:marRight w:val="0"/>
      <w:marTop w:val="0"/>
      <w:marBottom w:val="0"/>
      <w:divBdr>
        <w:top w:val="none" w:sz="0" w:space="0" w:color="auto"/>
        <w:left w:val="none" w:sz="0" w:space="0" w:color="auto"/>
        <w:bottom w:val="none" w:sz="0" w:space="0" w:color="auto"/>
        <w:right w:val="none" w:sz="0" w:space="0" w:color="auto"/>
      </w:divBdr>
      <w:divsChild>
        <w:div w:id="716129747">
          <w:marLeft w:val="0"/>
          <w:marRight w:val="0"/>
          <w:marTop w:val="0"/>
          <w:marBottom w:val="0"/>
          <w:divBdr>
            <w:top w:val="none" w:sz="0" w:space="0" w:color="auto"/>
            <w:left w:val="none" w:sz="0" w:space="0" w:color="auto"/>
            <w:bottom w:val="none" w:sz="0" w:space="0" w:color="auto"/>
            <w:right w:val="none" w:sz="0" w:space="0" w:color="auto"/>
          </w:divBdr>
        </w:div>
      </w:divsChild>
    </w:div>
    <w:div w:id="900284929">
      <w:bodyDiv w:val="1"/>
      <w:marLeft w:val="0"/>
      <w:marRight w:val="0"/>
      <w:marTop w:val="0"/>
      <w:marBottom w:val="0"/>
      <w:divBdr>
        <w:top w:val="none" w:sz="0" w:space="0" w:color="auto"/>
        <w:left w:val="none" w:sz="0" w:space="0" w:color="auto"/>
        <w:bottom w:val="none" w:sz="0" w:space="0" w:color="auto"/>
        <w:right w:val="none" w:sz="0" w:space="0" w:color="auto"/>
      </w:divBdr>
      <w:divsChild>
        <w:div w:id="2045909102">
          <w:marLeft w:val="0"/>
          <w:marRight w:val="0"/>
          <w:marTop w:val="0"/>
          <w:marBottom w:val="0"/>
          <w:divBdr>
            <w:top w:val="none" w:sz="0" w:space="0" w:color="auto"/>
            <w:left w:val="none" w:sz="0" w:space="0" w:color="auto"/>
            <w:bottom w:val="none" w:sz="0" w:space="0" w:color="auto"/>
            <w:right w:val="none" w:sz="0" w:space="0" w:color="auto"/>
          </w:divBdr>
          <w:divsChild>
            <w:div w:id="951474242">
              <w:marLeft w:val="0"/>
              <w:marRight w:val="0"/>
              <w:marTop w:val="0"/>
              <w:marBottom w:val="0"/>
              <w:divBdr>
                <w:top w:val="none" w:sz="0" w:space="0" w:color="auto"/>
                <w:left w:val="none" w:sz="0" w:space="0" w:color="auto"/>
                <w:bottom w:val="none" w:sz="0" w:space="0" w:color="auto"/>
                <w:right w:val="none" w:sz="0" w:space="0" w:color="auto"/>
              </w:divBdr>
              <w:divsChild>
                <w:div w:id="463044431">
                  <w:marLeft w:val="0"/>
                  <w:marRight w:val="0"/>
                  <w:marTop w:val="0"/>
                  <w:marBottom w:val="0"/>
                  <w:divBdr>
                    <w:top w:val="none" w:sz="0" w:space="0" w:color="auto"/>
                    <w:left w:val="none" w:sz="0" w:space="0" w:color="auto"/>
                    <w:bottom w:val="none" w:sz="0" w:space="0" w:color="auto"/>
                    <w:right w:val="none" w:sz="0" w:space="0" w:color="auto"/>
                  </w:divBdr>
                  <w:divsChild>
                    <w:div w:id="1074813258">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13125722">
      <w:bodyDiv w:val="1"/>
      <w:marLeft w:val="0"/>
      <w:marRight w:val="0"/>
      <w:marTop w:val="0"/>
      <w:marBottom w:val="0"/>
      <w:divBdr>
        <w:top w:val="none" w:sz="0" w:space="0" w:color="auto"/>
        <w:left w:val="none" w:sz="0" w:space="0" w:color="auto"/>
        <w:bottom w:val="none" w:sz="0" w:space="0" w:color="auto"/>
        <w:right w:val="none" w:sz="0" w:space="0" w:color="auto"/>
      </w:divBdr>
      <w:divsChild>
        <w:div w:id="1637636360">
          <w:marLeft w:val="0"/>
          <w:marRight w:val="0"/>
          <w:marTop w:val="0"/>
          <w:marBottom w:val="0"/>
          <w:divBdr>
            <w:top w:val="none" w:sz="0" w:space="0" w:color="auto"/>
            <w:left w:val="none" w:sz="0" w:space="0" w:color="auto"/>
            <w:bottom w:val="none" w:sz="0" w:space="0" w:color="auto"/>
            <w:right w:val="none" w:sz="0" w:space="0" w:color="auto"/>
          </w:divBdr>
          <w:divsChild>
            <w:div w:id="881404937">
              <w:marLeft w:val="0"/>
              <w:marRight w:val="0"/>
              <w:marTop w:val="0"/>
              <w:marBottom w:val="0"/>
              <w:divBdr>
                <w:top w:val="none" w:sz="0" w:space="0" w:color="auto"/>
                <w:left w:val="none" w:sz="0" w:space="0" w:color="auto"/>
                <w:bottom w:val="none" w:sz="0" w:space="0" w:color="auto"/>
                <w:right w:val="none" w:sz="0" w:space="0" w:color="auto"/>
              </w:divBdr>
              <w:divsChild>
                <w:div w:id="1847861198">
                  <w:marLeft w:val="0"/>
                  <w:marRight w:val="0"/>
                  <w:marTop w:val="0"/>
                  <w:marBottom w:val="0"/>
                  <w:divBdr>
                    <w:top w:val="none" w:sz="0" w:space="0" w:color="auto"/>
                    <w:left w:val="none" w:sz="0" w:space="0" w:color="auto"/>
                    <w:bottom w:val="none" w:sz="0" w:space="0" w:color="auto"/>
                    <w:right w:val="none" w:sz="0" w:space="0" w:color="auto"/>
                  </w:divBdr>
                  <w:divsChild>
                    <w:div w:id="132598795">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433332341">
          <w:marLeft w:val="0"/>
          <w:marRight w:val="0"/>
          <w:marTop w:val="0"/>
          <w:marBottom w:val="0"/>
          <w:divBdr>
            <w:top w:val="none" w:sz="0" w:space="0" w:color="auto"/>
            <w:left w:val="none" w:sz="0" w:space="0" w:color="auto"/>
            <w:bottom w:val="none" w:sz="0" w:space="0" w:color="auto"/>
            <w:right w:val="none" w:sz="0" w:space="0" w:color="auto"/>
          </w:divBdr>
          <w:divsChild>
            <w:div w:id="1128007304">
              <w:marLeft w:val="0"/>
              <w:marRight w:val="0"/>
              <w:marTop w:val="0"/>
              <w:marBottom w:val="0"/>
              <w:divBdr>
                <w:top w:val="none" w:sz="0" w:space="0" w:color="auto"/>
                <w:left w:val="none" w:sz="0" w:space="0" w:color="auto"/>
                <w:bottom w:val="none" w:sz="0" w:space="0" w:color="auto"/>
                <w:right w:val="none" w:sz="0" w:space="0" w:color="auto"/>
              </w:divBdr>
              <w:divsChild>
                <w:div w:id="49161440">
                  <w:marLeft w:val="0"/>
                  <w:marRight w:val="0"/>
                  <w:marTop w:val="0"/>
                  <w:marBottom w:val="0"/>
                  <w:divBdr>
                    <w:top w:val="none" w:sz="0" w:space="0" w:color="auto"/>
                    <w:left w:val="none" w:sz="0" w:space="0" w:color="auto"/>
                    <w:bottom w:val="none" w:sz="0" w:space="0" w:color="auto"/>
                    <w:right w:val="none" w:sz="0" w:space="0" w:color="auto"/>
                  </w:divBdr>
                  <w:divsChild>
                    <w:div w:id="1563298456">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30729011">
      <w:bodyDiv w:val="1"/>
      <w:marLeft w:val="0"/>
      <w:marRight w:val="0"/>
      <w:marTop w:val="0"/>
      <w:marBottom w:val="0"/>
      <w:divBdr>
        <w:top w:val="none" w:sz="0" w:space="0" w:color="auto"/>
        <w:left w:val="none" w:sz="0" w:space="0" w:color="auto"/>
        <w:bottom w:val="none" w:sz="0" w:space="0" w:color="auto"/>
        <w:right w:val="none" w:sz="0" w:space="0" w:color="auto"/>
      </w:divBdr>
      <w:divsChild>
        <w:div w:id="548151403">
          <w:marLeft w:val="0"/>
          <w:marRight w:val="0"/>
          <w:marTop w:val="0"/>
          <w:marBottom w:val="0"/>
          <w:divBdr>
            <w:top w:val="none" w:sz="0" w:space="0" w:color="auto"/>
            <w:left w:val="none" w:sz="0" w:space="0" w:color="auto"/>
            <w:bottom w:val="none" w:sz="0" w:space="0" w:color="auto"/>
            <w:right w:val="none" w:sz="0" w:space="0" w:color="auto"/>
          </w:divBdr>
          <w:divsChild>
            <w:div w:id="202716578">
              <w:marLeft w:val="0"/>
              <w:marRight w:val="0"/>
              <w:marTop w:val="0"/>
              <w:marBottom w:val="0"/>
              <w:divBdr>
                <w:top w:val="none" w:sz="0" w:space="0" w:color="auto"/>
                <w:left w:val="none" w:sz="0" w:space="0" w:color="auto"/>
                <w:bottom w:val="none" w:sz="0" w:space="0" w:color="auto"/>
                <w:right w:val="none" w:sz="0" w:space="0" w:color="auto"/>
              </w:divBdr>
              <w:divsChild>
                <w:div w:id="211116072">
                  <w:marLeft w:val="0"/>
                  <w:marRight w:val="0"/>
                  <w:marTop w:val="0"/>
                  <w:marBottom w:val="0"/>
                  <w:divBdr>
                    <w:top w:val="none" w:sz="0" w:space="0" w:color="auto"/>
                    <w:left w:val="none" w:sz="0" w:space="0" w:color="auto"/>
                    <w:bottom w:val="none" w:sz="0" w:space="0" w:color="auto"/>
                    <w:right w:val="none" w:sz="0" w:space="0" w:color="auto"/>
                  </w:divBdr>
                  <w:divsChild>
                    <w:div w:id="214473187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542353158">
      <w:bodyDiv w:val="1"/>
      <w:marLeft w:val="0"/>
      <w:marRight w:val="0"/>
      <w:marTop w:val="0"/>
      <w:marBottom w:val="0"/>
      <w:divBdr>
        <w:top w:val="none" w:sz="0" w:space="0" w:color="auto"/>
        <w:left w:val="none" w:sz="0" w:space="0" w:color="auto"/>
        <w:bottom w:val="none" w:sz="0" w:space="0" w:color="auto"/>
        <w:right w:val="none" w:sz="0" w:space="0" w:color="auto"/>
      </w:divBdr>
      <w:divsChild>
        <w:div w:id="1945307873">
          <w:marLeft w:val="0"/>
          <w:marRight w:val="0"/>
          <w:marTop w:val="0"/>
          <w:marBottom w:val="0"/>
          <w:divBdr>
            <w:top w:val="none" w:sz="0" w:space="0" w:color="auto"/>
            <w:left w:val="none" w:sz="0" w:space="0" w:color="auto"/>
            <w:bottom w:val="none" w:sz="0" w:space="0" w:color="auto"/>
            <w:right w:val="none" w:sz="0" w:space="0" w:color="auto"/>
          </w:divBdr>
          <w:divsChild>
            <w:div w:id="2126579228">
              <w:marLeft w:val="0"/>
              <w:marRight w:val="0"/>
              <w:marTop w:val="0"/>
              <w:marBottom w:val="0"/>
              <w:divBdr>
                <w:top w:val="none" w:sz="0" w:space="0" w:color="auto"/>
                <w:left w:val="none" w:sz="0" w:space="0" w:color="auto"/>
                <w:bottom w:val="none" w:sz="0" w:space="0" w:color="auto"/>
                <w:right w:val="none" w:sz="0" w:space="0" w:color="auto"/>
              </w:divBdr>
              <w:divsChild>
                <w:div w:id="2130538937">
                  <w:marLeft w:val="0"/>
                  <w:marRight w:val="0"/>
                  <w:marTop w:val="0"/>
                  <w:marBottom w:val="0"/>
                  <w:divBdr>
                    <w:top w:val="none" w:sz="0" w:space="0" w:color="auto"/>
                    <w:left w:val="none" w:sz="0" w:space="0" w:color="auto"/>
                    <w:bottom w:val="none" w:sz="0" w:space="0" w:color="auto"/>
                    <w:right w:val="none" w:sz="0" w:space="0" w:color="auto"/>
                  </w:divBdr>
                  <w:divsChild>
                    <w:div w:id="155650890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14823378">
      <w:bodyDiv w:val="1"/>
      <w:marLeft w:val="0"/>
      <w:marRight w:val="0"/>
      <w:marTop w:val="0"/>
      <w:marBottom w:val="0"/>
      <w:divBdr>
        <w:top w:val="none" w:sz="0" w:space="0" w:color="auto"/>
        <w:left w:val="none" w:sz="0" w:space="0" w:color="auto"/>
        <w:bottom w:val="none" w:sz="0" w:space="0" w:color="auto"/>
        <w:right w:val="none" w:sz="0" w:space="0" w:color="auto"/>
      </w:divBdr>
      <w:divsChild>
        <w:div w:id="1836142366">
          <w:marLeft w:val="0"/>
          <w:marRight w:val="0"/>
          <w:marTop w:val="0"/>
          <w:marBottom w:val="0"/>
          <w:divBdr>
            <w:top w:val="none" w:sz="0" w:space="0" w:color="auto"/>
            <w:left w:val="none" w:sz="0" w:space="0" w:color="auto"/>
            <w:bottom w:val="none" w:sz="0" w:space="0" w:color="auto"/>
            <w:right w:val="none" w:sz="0" w:space="0" w:color="auto"/>
          </w:divBdr>
        </w:div>
      </w:divsChild>
    </w:div>
    <w:div w:id="1995912851">
      <w:bodyDiv w:val="1"/>
      <w:marLeft w:val="0"/>
      <w:marRight w:val="0"/>
      <w:marTop w:val="0"/>
      <w:marBottom w:val="0"/>
      <w:divBdr>
        <w:top w:val="none" w:sz="0" w:space="0" w:color="auto"/>
        <w:left w:val="none" w:sz="0" w:space="0" w:color="auto"/>
        <w:bottom w:val="none" w:sz="0" w:space="0" w:color="auto"/>
        <w:right w:val="none" w:sz="0" w:space="0" w:color="auto"/>
      </w:divBdr>
      <w:divsChild>
        <w:div w:id="956713705">
          <w:marLeft w:val="0"/>
          <w:marRight w:val="0"/>
          <w:marTop w:val="0"/>
          <w:marBottom w:val="0"/>
          <w:divBdr>
            <w:top w:val="none" w:sz="0" w:space="0" w:color="auto"/>
            <w:left w:val="none" w:sz="0" w:space="0" w:color="auto"/>
            <w:bottom w:val="none" w:sz="0" w:space="0" w:color="auto"/>
            <w:right w:val="none" w:sz="0" w:space="0" w:color="auto"/>
          </w:divBdr>
          <w:divsChild>
            <w:div w:id="942036202">
              <w:marLeft w:val="0"/>
              <w:marRight w:val="0"/>
              <w:marTop w:val="0"/>
              <w:marBottom w:val="0"/>
              <w:divBdr>
                <w:top w:val="none" w:sz="0" w:space="0" w:color="auto"/>
                <w:left w:val="none" w:sz="0" w:space="0" w:color="auto"/>
                <w:bottom w:val="none" w:sz="0" w:space="0" w:color="auto"/>
                <w:right w:val="none" w:sz="0" w:space="0" w:color="auto"/>
              </w:divBdr>
              <w:divsChild>
                <w:div w:id="1910799563">
                  <w:marLeft w:val="0"/>
                  <w:marRight w:val="0"/>
                  <w:marTop w:val="0"/>
                  <w:marBottom w:val="0"/>
                  <w:divBdr>
                    <w:top w:val="none" w:sz="0" w:space="0" w:color="auto"/>
                    <w:left w:val="none" w:sz="0" w:space="0" w:color="auto"/>
                    <w:bottom w:val="none" w:sz="0" w:space="0" w:color="auto"/>
                    <w:right w:val="none" w:sz="0" w:space="0" w:color="auto"/>
                  </w:divBdr>
                  <w:divsChild>
                    <w:div w:id="1534461809">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24211039">
      <w:bodyDiv w:val="1"/>
      <w:marLeft w:val="0"/>
      <w:marRight w:val="0"/>
      <w:marTop w:val="0"/>
      <w:marBottom w:val="0"/>
      <w:divBdr>
        <w:top w:val="none" w:sz="0" w:space="0" w:color="auto"/>
        <w:left w:val="none" w:sz="0" w:space="0" w:color="auto"/>
        <w:bottom w:val="none" w:sz="0" w:space="0" w:color="auto"/>
        <w:right w:val="none" w:sz="0" w:space="0" w:color="auto"/>
      </w:divBdr>
      <w:divsChild>
        <w:div w:id="51754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1285</Characters>
  <Application>Microsoft Office Word</Application>
  <DocSecurity>4</DocSecurity>
  <Lines>10</Lines>
  <Paragraphs>3</Paragraphs>
  <ScaleCrop>false</ScaleCrop>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肖琦</dc:creator>
  <cp:keywords/>
  <dc:description/>
  <cp:lastModifiedBy>ZHONGM</cp:lastModifiedBy>
  <cp:revision>2</cp:revision>
  <dcterms:created xsi:type="dcterms:W3CDTF">2020-12-30T16:04:00Z</dcterms:created>
  <dcterms:modified xsi:type="dcterms:W3CDTF">2020-12-30T16:04:00Z</dcterms:modified>
</cp:coreProperties>
</file>