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0B" w:rsidRDefault="00E7420B" w:rsidP="00F8294C">
      <w:pPr>
        <w:pStyle w:val="a3"/>
        <w:shd w:val="clear" w:color="auto" w:fill="FFFFFF"/>
        <w:spacing w:beforeLines="50" w:beforeAutospacing="0" w:afterLines="50" w:afterAutospacing="0" w:line="420" w:lineRule="atLeast"/>
        <w:jc w:val="center"/>
        <w:rPr>
          <w:rFonts w:ascii="微软雅黑" w:eastAsia="微软雅黑" w:hAnsi="微软雅黑"/>
          <w:b/>
          <w:bCs/>
          <w:color w:val="333333"/>
        </w:rPr>
      </w:pPr>
      <w:r w:rsidRPr="00E7420B">
        <w:rPr>
          <w:rFonts w:ascii="微软雅黑" w:eastAsia="微软雅黑" w:hAnsi="微软雅黑" w:hint="eastAsia"/>
          <w:b/>
          <w:bCs/>
          <w:color w:val="333333"/>
        </w:rPr>
        <w:t>关于申万菱信中证军工指数分级证券投资基金之申万军工A份额和申万军工B份额终止运作、终止上市</w:t>
      </w:r>
      <w:r>
        <w:rPr>
          <w:rFonts w:ascii="微软雅黑" w:eastAsia="微软雅黑" w:hAnsi="微软雅黑" w:hint="eastAsia"/>
          <w:b/>
          <w:bCs/>
          <w:color w:val="333333"/>
        </w:rPr>
        <w:t>的特别风险提示公告</w:t>
      </w:r>
    </w:p>
    <w:p w:rsidR="004B687E" w:rsidRDefault="00E7420B" w:rsidP="00E7420B">
      <w:pPr>
        <w:ind w:firstLine="560"/>
        <w:rPr>
          <w:rFonts w:ascii="微软雅黑" w:eastAsia="微软雅黑" w:hAnsi="微软雅黑"/>
          <w:sz w:val="24"/>
        </w:rPr>
      </w:pPr>
      <w:r w:rsidRPr="00B018F4">
        <w:rPr>
          <w:rFonts w:ascii="微软雅黑" w:eastAsia="微软雅黑" w:hAnsi="微软雅黑" w:cs="宋体" w:hint="eastAsia"/>
          <w:color w:val="333333"/>
          <w:kern w:val="0"/>
          <w:sz w:val="24"/>
          <w:szCs w:val="24"/>
        </w:rPr>
        <w:t>根据</w:t>
      </w:r>
      <w:r>
        <w:rPr>
          <w:rFonts w:ascii="微软雅黑" w:eastAsia="微软雅黑" w:hAnsi="微软雅黑" w:cs="宋体" w:hint="eastAsia"/>
          <w:color w:val="333333"/>
          <w:kern w:val="0"/>
          <w:sz w:val="24"/>
          <w:szCs w:val="24"/>
        </w:rPr>
        <w:t>2020年12月2日发布的</w:t>
      </w:r>
      <w:r w:rsidRPr="00B018F4">
        <w:rPr>
          <w:rFonts w:ascii="微软雅黑" w:eastAsia="微软雅黑" w:hAnsi="微软雅黑" w:cs="宋体" w:hint="eastAsia"/>
          <w:color w:val="333333"/>
          <w:kern w:val="0"/>
          <w:sz w:val="24"/>
          <w:szCs w:val="24"/>
        </w:rPr>
        <w:t>《</w:t>
      </w:r>
      <w:r w:rsidRPr="00E7420B">
        <w:rPr>
          <w:rFonts w:ascii="微软雅黑" w:eastAsia="微软雅黑" w:hAnsi="微软雅黑" w:cs="宋体" w:hint="eastAsia"/>
          <w:color w:val="333333"/>
          <w:kern w:val="0"/>
          <w:sz w:val="24"/>
          <w:szCs w:val="24"/>
        </w:rPr>
        <w:t>关于申万菱信中证军工指数分级证券投资基金之申万军工A份额和申万军工B份额终止运作、终止上市并修改基金合同的公告</w:t>
      </w:r>
      <w:r w:rsidRPr="00B018F4">
        <w:rPr>
          <w:rFonts w:ascii="微软雅黑" w:eastAsia="微软雅黑" w:hAnsi="微软雅黑" w:cs="宋体" w:hint="eastAsia"/>
          <w:color w:val="333333"/>
          <w:kern w:val="0"/>
          <w:sz w:val="24"/>
          <w:szCs w:val="24"/>
        </w:rPr>
        <w:t>》，</w:t>
      </w:r>
      <w:r w:rsidRPr="00E7420B">
        <w:rPr>
          <w:rFonts w:ascii="微软雅黑" w:eastAsia="微软雅黑" w:hAnsi="微软雅黑" w:cs="宋体" w:hint="eastAsia"/>
          <w:color w:val="333333"/>
          <w:kern w:val="0"/>
          <w:sz w:val="24"/>
          <w:szCs w:val="24"/>
        </w:rPr>
        <w:t>申万菱信中证军工指数分级证券投资基金</w:t>
      </w:r>
      <w:r w:rsidR="00366E51" w:rsidRPr="00366E51">
        <w:rPr>
          <w:rFonts w:ascii="微软雅黑" w:eastAsia="微软雅黑" w:hAnsi="微软雅黑" w:cs="宋体" w:hint="eastAsia"/>
          <w:color w:val="333333"/>
          <w:kern w:val="0"/>
          <w:sz w:val="24"/>
          <w:szCs w:val="24"/>
        </w:rPr>
        <w:t>（以下简称“本基金”，基础份额申万军工份额场内简称：申万军工（163115）；分级基金申万军工A份额场内简称：军工A级（150186），申万军工B份额场内简称：军工B级（150187））</w:t>
      </w:r>
      <w:r w:rsidR="00366E51">
        <w:rPr>
          <w:rFonts w:ascii="微软雅黑" w:eastAsia="微软雅黑" w:hAnsi="微软雅黑" w:cs="宋体" w:hint="eastAsia"/>
          <w:color w:val="333333"/>
          <w:kern w:val="0"/>
          <w:sz w:val="24"/>
          <w:szCs w:val="24"/>
        </w:rPr>
        <w:t>的终止上市日为2021年1月4日（最后交易日为2020年12月31日），份额折算基准日为2020年12月31日。在份额折算基准日日终，</w:t>
      </w:r>
      <w:r w:rsidR="00366E51" w:rsidRPr="006849CD">
        <w:rPr>
          <w:rFonts w:ascii="微软雅黑" w:eastAsia="微软雅黑" w:hAnsi="微软雅黑" w:hint="eastAsia"/>
          <w:sz w:val="24"/>
        </w:rPr>
        <w:t>以申万军工份额的基金份额净值为基准，申万军工A份额、申万军工B份额按照各自的基金份额参考净值折算成场内申万军工份额。</w:t>
      </w:r>
    </w:p>
    <w:p w:rsidR="00270471" w:rsidRDefault="00270471" w:rsidP="00F8294C">
      <w:pPr>
        <w:widowControl/>
        <w:shd w:val="clear" w:color="auto" w:fill="FFFFFF"/>
        <w:spacing w:beforeLines="50" w:afterLines="50" w:line="420" w:lineRule="atLeast"/>
        <w:ind w:firstLineChars="200" w:firstLine="480"/>
        <w:jc w:val="left"/>
        <w:rPr>
          <w:rFonts w:ascii="微软雅黑" w:eastAsia="微软雅黑" w:hAnsi="微软雅黑" w:cs="宋体"/>
          <w:color w:val="333333"/>
          <w:kern w:val="0"/>
          <w:sz w:val="24"/>
          <w:szCs w:val="24"/>
        </w:rPr>
      </w:pPr>
      <w:r w:rsidRPr="00B018F4">
        <w:rPr>
          <w:rFonts w:ascii="微软雅黑" w:eastAsia="微软雅黑" w:hAnsi="微软雅黑" w:cs="宋体" w:hint="eastAsia"/>
          <w:color w:val="333333"/>
          <w:kern w:val="0"/>
          <w:sz w:val="24"/>
          <w:szCs w:val="24"/>
        </w:rPr>
        <w:t>针对本基金之</w:t>
      </w:r>
      <w:r w:rsidRPr="006849CD">
        <w:rPr>
          <w:rFonts w:ascii="微软雅黑" w:eastAsia="微软雅黑" w:hAnsi="微软雅黑" w:hint="eastAsia"/>
          <w:sz w:val="24"/>
        </w:rPr>
        <w:t>申万军工A份额</w:t>
      </w:r>
      <w:r>
        <w:rPr>
          <w:rFonts w:ascii="微软雅黑" w:eastAsia="微软雅黑" w:hAnsi="微软雅黑" w:hint="eastAsia"/>
          <w:sz w:val="24"/>
        </w:rPr>
        <w:t>和</w:t>
      </w:r>
      <w:r w:rsidRPr="006849CD">
        <w:rPr>
          <w:rFonts w:ascii="微软雅黑" w:eastAsia="微软雅黑" w:hAnsi="微软雅黑" w:hint="eastAsia"/>
          <w:sz w:val="24"/>
        </w:rPr>
        <w:t>申万军工B份额</w:t>
      </w:r>
      <w:r w:rsidRPr="00B018F4">
        <w:rPr>
          <w:rFonts w:ascii="微软雅黑" w:eastAsia="微软雅黑" w:hAnsi="微软雅黑" w:cs="宋体" w:hint="eastAsia"/>
          <w:color w:val="333333"/>
          <w:kern w:val="0"/>
          <w:sz w:val="24"/>
          <w:szCs w:val="24"/>
        </w:rPr>
        <w:t>终止运作的相关安排，基金管理人特别提示如下风险事项，敬请投资者关注：</w:t>
      </w:r>
    </w:p>
    <w:p w:rsidR="00270471" w:rsidRPr="00B018F4" w:rsidRDefault="00270471" w:rsidP="00F8294C">
      <w:pPr>
        <w:widowControl/>
        <w:shd w:val="clear" w:color="auto" w:fill="FFFFFF"/>
        <w:spacing w:beforeLines="50" w:afterLines="5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r w:rsidRPr="00B018F4">
        <w:rPr>
          <w:rFonts w:ascii="微软雅黑" w:eastAsia="微软雅黑" w:hAnsi="微软雅黑" w:cs="宋体" w:hint="eastAsia"/>
          <w:color w:val="333333"/>
          <w:kern w:val="0"/>
          <w:sz w:val="24"/>
          <w:szCs w:val="24"/>
        </w:rPr>
        <w:t>折算基准日前（含折算基准日），</w:t>
      </w:r>
      <w:r w:rsidRPr="006849CD">
        <w:rPr>
          <w:rFonts w:ascii="微软雅黑" w:eastAsia="微软雅黑" w:hAnsi="微软雅黑" w:hint="eastAsia"/>
          <w:sz w:val="24"/>
        </w:rPr>
        <w:t>申万军工A份额</w:t>
      </w:r>
      <w:r>
        <w:rPr>
          <w:rFonts w:ascii="微软雅黑" w:eastAsia="微软雅黑" w:hAnsi="微软雅黑" w:hint="eastAsia"/>
          <w:sz w:val="24"/>
        </w:rPr>
        <w:t>、</w:t>
      </w:r>
      <w:r w:rsidRPr="006849CD">
        <w:rPr>
          <w:rFonts w:ascii="微软雅黑" w:eastAsia="微软雅黑" w:hAnsi="微软雅黑" w:hint="eastAsia"/>
          <w:sz w:val="24"/>
        </w:rPr>
        <w:t>申万军工B份额</w:t>
      </w:r>
      <w:r w:rsidRPr="00B018F4">
        <w:rPr>
          <w:rFonts w:ascii="微软雅黑" w:eastAsia="微软雅黑" w:hAnsi="微软雅黑" w:cs="宋体" w:hint="eastAsia"/>
          <w:color w:val="333333"/>
          <w:kern w:val="0"/>
          <w:sz w:val="24"/>
          <w:szCs w:val="24"/>
        </w:rPr>
        <w:t>仍可正常交易，期间敬请投资者高度关注以下风险：</w:t>
      </w:r>
    </w:p>
    <w:p w:rsidR="00270471" w:rsidRDefault="00270471" w:rsidP="00270471">
      <w:pPr>
        <w:ind w:firstLine="560"/>
        <w:rPr>
          <w:rFonts w:ascii="微软雅黑" w:eastAsia="微软雅黑" w:hAnsi="微软雅黑" w:cs="宋体"/>
          <w:color w:val="333333"/>
          <w:kern w:val="0"/>
          <w:sz w:val="24"/>
          <w:szCs w:val="24"/>
        </w:rPr>
      </w:pPr>
      <w:r w:rsidRPr="00270471">
        <w:rPr>
          <w:rFonts w:ascii="微软雅黑" w:eastAsia="微软雅黑" w:hAnsi="微软雅黑" w:cs="宋体" w:hint="eastAsia"/>
          <w:color w:val="333333"/>
          <w:kern w:val="0"/>
          <w:sz w:val="24"/>
          <w:szCs w:val="24"/>
        </w:rPr>
        <w:t>（1）由于申万军工A份额和申万军工B份额可能存在折溢价交易情形，本次基金合同修订后，其折溢价率可能发生较大变化</w:t>
      </w:r>
      <w:r w:rsidRPr="00270471">
        <w:rPr>
          <w:rFonts w:ascii="微软雅黑" w:eastAsia="微软雅黑" w:hAnsi="微软雅黑" w:cs="宋体" w:hint="eastAsia"/>
          <w:b/>
          <w:color w:val="333333"/>
          <w:kern w:val="0"/>
          <w:sz w:val="24"/>
          <w:szCs w:val="24"/>
        </w:rPr>
        <w:t>，如果投资者以溢价买入或持有，折算后可能遭受较大损失</w:t>
      </w:r>
      <w:r w:rsidRPr="00270471">
        <w:rPr>
          <w:rFonts w:ascii="微软雅黑" w:eastAsia="微软雅黑" w:hAnsi="微软雅黑" w:cs="宋体" w:hint="eastAsia"/>
          <w:color w:val="333333"/>
          <w:kern w:val="0"/>
          <w:sz w:val="24"/>
          <w:szCs w:val="24"/>
        </w:rPr>
        <w:t>（具体折算方式及示例详见风险提示第4条及修订后的基金合同条款）。</w:t>
      </w:r>
    </w:p>
    <w:p w:rsidR="00270471" w:rsidRDefault="00270471" w:rsidP="00270471">
      <w:pPr>
        <w:ind w:firstLine="560"/>
        <w:rPr>
          <w:rFonts w:ascii="微软雅黑" w:eastAsia="微软雅黑" w:hAnsi="微软雅黑" w:cs="宋体"/>
          <w:color w:val="333333"/>
          <w:kern w:val="0"/>
          <w:sz w:val="24"/>
          <w:szCs w:val="24"/>
        </w:rPr>
      </w:pPr>
      <w:r w:rsidRPr="00270471">
        <w:rPr>
          <w:rFonts w:ascii="微软雅黑" w:eastAsia="微软雅黑" w:hAnsi="微软雅黑" w:cs="宋体" w:hint="eastAsia"/>
          <w:color w:val="333333"/>
          <w:kern w:val="0"/>
          <w:sz w:val="24"/>
          <w:szCs w:val="24"/>
        </w:rPr>
        <w:t>特提请参与二级市场交易的投资者注意折溢价所带来的风险。</w:t>
      </w:r>
    </w:p>
    <w:p w:rsidR="00270471" w:rsidRPr="00270471" w:rsidRDefault="00270471" w:rsidP="00F8294C">
      <w:pPr>
        <w:widowControl/>
        <w:shd w:val="clear" w:color="auto" w:fill="FFFFFF"/>
        <w:spacing w:beforeLines="50" w:afterLines="50" w:line="420" w:lineRule="atLeast"/>
        <w:ind w:firstLineChars="200" w:firstLine="480"/>
        <w:jc w:val="left"/>
        <w:rPr>
          <w:rFonts w:ascii="微软雅黑" w:eastAsia="微软雅黑" w:hAnsi="微软雅黑" w:cs="宋体"/>
          <w:color w:val="333333"/>
          <w:kern w:val="0"/>
          <w:sz w:val="24"/>
          <w:szCs w:val="24"/>
        </w:rPr>
      </w:pPr>
      <w:r w:rsidRPr="00B018F4">
        <w:rPr>
          <w:rFonts w:ascii="微软雅黑" w:eastAsia="微软雅黑" w:hAnsi="微软雅黑" w:cs="宋体" w:hint="eastAsia"/>
          <w:color w:val="333333"/>
          <w:kern w:val="0"/>
          <w:sz w:val="24"/>
          <w:szCs w:val="24"/>
        </w:rPr>
        <w:lastRenderedPageBreak/>
        <w:t>投资者应密切关注</w:t>
      </w:r>
      <w:r w:rsidRPr="006849CD">
        <w:rPr>
          <w:rFonts w:ascii="微软雅黑" w:eastAsia="微软雅黑" w:hAnsi="微软雅黑" w:hint="eastAsia"/>
          <w:sz w:val="24"/>
        </w:rPr>
        <w:t>申万军工A份额</w:t>
      </w:r>
      <w:r>
        <w:rPr>
          <w:rFonts w:ascii="微软雅黑" w:eastAsia="微软雅黑" w:hAnsi="微软雅黑" w:hint="eastAsia"/>
          <w:sz w:val="24"/>
        </w:rPr>
        <w:t>和</w:t>
      </w:r>
      <w:r w:rsidRPr="006849CD">
        <w:rPr>
          <w:rFonts w:ascii="微软雅黑" w:eastAsia="微软雅黑" w:hAnsi="微软雅黑" w:hint="eastAsia"/>
          <w:sz w:val="24"/>
        </w:rPr>
        <w:t>申万军工B份额</w:t>
      </w:r>
      <w:r w:rsidRPr="00B018F4">
        <w:rPr>
          <w:rFonts w:ascii="微软雅黑" w:eastAsia="微软雅黑" w:hAnsi="微软雅黑" w:cs="宋体" w:hint="eastAsia"/>
          <w:color w:val="333333"/>
          <w:kern w:val="0"/>
          <w:sz w:val="24"/>
          <w:szCs w:val="24"/>
        </w:rPr>
        <w:t>的基金份额参考净值变化情况（可通过本公司网站查询）。</w:t>
      </w:r>
    </w:p>
    <w:p w:rsidR="00270471" w:rsidRPr="002A09C8" w:rsidRDefault="00270471" w:rsidP="00270471">
      <w:pPr>
        <w:ind w:firstLine="560"/>
        <w:rPr>
          <w:rFonts w:ascii="微软雅黑" w:eastAsia="微软雅黑" w:hAnsi="微软雅黑"/>
          <w:b/>
          <w:sz w:val="24"/>
        </w:rPr>
      </w:pPr>
      <w:r w:rsidRPr="002A09C8">
        <w:rPr>
          <w:rFonts w:ascii="微软雅黑" w:eastAsia="微软雅黑" w:hAnsi="微软雅黑" w:hint="eastAsia"/>
          <w:sz w:val="24"/>
        </w:rPr>
        <w:t>（2）申万军工A份额具有低预期风险、预期收益低的特征，但在份额折算后，申万军工A份额的持有人将持有具有较高预期风险、较高预期收益特征的申万军工份额，由于申万军工份额为跟踪中证军工指数的基础份额，其份额净值将随标的指数的涨跌而变化，</w:t>
      </w:r>
      <w:r w:rsidRPr="002A09C8">
        <w:rPr>
          <w:rFonts w:ascii="微软雅黑" w:eastAsia="微软雅黑" w:hAnsi="微软雅黑" w:hint="eastAsia"/>
          <w:b/>
          <w:sz w:val="24"/>
        </w:rPr>
        <w:t>原申万军工A份额持有人将承担因市场下跌而遭受损失的风险。</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申万军工B份额具有一定的杠杆属性，具有高预期风险、预期收益高的特征，但在份额折算后，申万军工B份额的持有人将持有具有较高预期风险、较高预期收益特征的申万军工份额，由于申万军工份额为跟踪中证军工指数的基础份额，没有杠杆特征，其基金份额净值将随标的指数的涨跌而变化，不会形成杠杆性收益或损失，但原申万军工B份额持有人仍需承担因市场下跌而遭受损失的风险。</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2、申万军工A份额和申万军工B份额折算为申万军工份额前，申万军工A份额和申万军工B份额的持有人有两种方式退出：</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（1）在场内按市价卖出基金份额；</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2）在场内买入等量的对应份额（即申万军工A份额持有人买入等量的申万军工B份额，或者申万军工B份额持有人买入等量的申万军工A份额），合并为申万军工份额，按照申万军工份额的基金份额净值申请场内赎回或转托管至场外后申请赎回。</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3、本次基金合同修订后，由于申万军工A份额和申万军工B份额的持有人可能选择场内卖出或合并赎回，场内份额数量可能发生较大下降，可能出现场</w:t>
      </w:r>
      <w:r w:rsidRPr="002A09C8">
        <w:rPr>
          <w:rFonts w:ascii="微软雅黑" w:eastAsia="微软雅黑" w:hAnsi="微软雅黑" w:hint="eastAsia"/>
          <w:sz w:val="24"/>
        </w:rPr>
        <w:lastRenderedPageBreak/>
        <w:t>内流动性不足的情况，</w:t>
      </w:r>
      <w:r w:rsidRPr="002A09C8">
        <w:rPr>
          <w:rFonts w:ascii="微软雅黑" w:eastAsia="微软雅黑" w:hAnsi="微软雅黑" w:hint="eastAsia"/>
          <w:b/>
          <w:sz w:val="24"/>
        </w:rPr>
        <w:t>特提请投资者注意流动性风险。</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4、在份额折算基准日日终，以申万军工份额的基金份额净值为基准，申万军工A份额、申万军工B份额按照各自的基金份额参考净值（而不是二级市场价格）折算成场内申万军工份额。申万军工A份额和申万军工B份额基金份额持有人持有的折算后场内申万军工份额取整计算（最小单位为1份），余额计入基金资产。</w:t>
      </w:r>
    </w:p>
    <w:p w:rsidR="00270471" w:rsidRPr="002A09C8" w:rsidRDefault="00270471" w:rsidP="00270471">
      <w:pPr>
        <w:ind w:firstLine="562"/>
        <w:rPr>
          <w:rFonts w:ascii="微软雅黑" w:eastAsia="微软雅黑" w:hAnsi="微软雅黑"/>
          <w:b/>
          <w:sz w:val="24"/>
        </w:rPr>
      </w:pPr>
      <w:r w:rsidRPr="002A09C8">
        <w:rPr>
          <w:rFonts w:ascii="微软雅黑" w:eastAsia="微软雅黑" w:hAnsi="微软雅黑" w:hint="eastAsia"/>
          <w:b/>
          <w:sz w:val="24"/>
        </w:rPr>
        <w:t>折算前存在溢价交易的基金份额的持有人将会因为溢价的消失而造成损失。</w:t>
      </w:r>
    </w:p>
    <w:p w:rsidR="00270471" w:rsidRPr="002A09C8" w:rsidRDefault="00270471" w:rsidP="00270471">
      <w:pPr>
        <w:ind w:firstLine="562"/>
        <w:rPr>
          <w:rFonts w:ascii="微软雅黑" w:eastAsia="微软雅黑" w:hAnsi="微软雅黑"/>
          <w:sz w:val="24"/>
        </w:rPr>
      </w:pPr>
      <w:r w:rsidRPr="002A09C8">
        <w:rPr>
          <w:rFonts w:ascii="微软雅黑" w:eastAsia="微软雅黑" w:hAnsi="微软雅黑" w:hint="eastAsia"/>
          <w:b/>
          <w:sz w:val="24"/>
        </w:rPr>
        <w:t>申万军工A份额和申万军工B份额的基金份额持有人持有的基金份额数量将会在折算后发生变化，</w:t>
      </w:r>
      <w:r w:rsidRPr="002A09C8">
        <w:rPr>
          <w:rFonts w:ascii="微软雅黑" w:eastAsia="微软雅黑" w:hAnsi="微软雅黑" w:hint="eastAsia"/>
          <w:sz w:val="24"/>
        </w:rPr>
        <w:t>示例如下：</w:t>
      </w:r>
    </w:p>
    <w:p w:rsidR="00270471" w:rsidRPr="002A09C8" w:rsidRDefault="00270471" w:rsidP="00270471">
      <w:pPr>
        <w:ind w:firstLine="560"/>
        <w:rPr>
          <w:rFonts w:ascii="微软雅黑" w:eastAsia="微软雅黑" w:hAnsi="微软雅黑"/>
          <w:sz w:val="24"/>
        </w:rPr>
      </w:pPr>
      <w:r w:rsidRPr="002A09C8">
        <w:rPr>
          <w:rFonts w:ascii="微软雅黑" w:eastAsia="微软雅黑" w:hAnsi="微软雅黑" w:hint="eastAsia"/>
          <w:sz w:val="24"/>
        </w:rPr>
        <w:t>假设份额折算基准日申万军工份额、申万军工A份额和申万军工B份额的基金份额（参考）净值的分别为：</w:t>
      </w:r>
      <w:r w:rsidRPr="002A09C8">
        <w:rPr>
          <w:rFonts w:ascii="微软雅黑" w:eastAsia="微软雅黑" w:hAnsi="微软雅黑"/>
          <w:sz w:val="24"/>
        </w:rPr>
        <w:t>0.7945</w:t>
      </w:r>
      <w:r w:rsidRPr="002A09C8">
        <w:rPr>
          <w:rFonts w:ascii="微软雅黑" w:eastAsia="微软雅黑" w:hAnsi="微软雅黑" w:hint="eastAsia"/>
          <w:sz w:val="24"/>
        </w:rPr>
        <w:t>元、</w:t>
      </w:r>
      <w:r w:rsidRPr="002A09C8">
        <w:rPr>
          <w:rFonts w:ascii="微软雅黑" w:eastAsia="微软雅黑" w:hAnsi="微软雅黑"/>
          <w:sz w:val="24"/>
        </w:rPr>
        <w:t>1.0032</w:t>
      </w:r>
      <w:r w:rsidRPr="002A09C8">
        <w:rPr>
          <w:rFonts w:ascii="微软雅黑" w:eastAsia="微软雅黑" w:hAnsi="微软雅黑" w:hint="eastAsia"/>
          <w:sz w:val="24"/>
        </w:rPr>
        <w:t>元、</w:t>
      </w:r>
      <w:r w:rsidRPr="002A09C8">
        <w:rPr>
          <w:rFonts w:ascii="微软雅黑" w:eastAsia="微软雅黑" w:hAnsi="微软雅黑"/>
          <w:sz w:val="24"/>
        </w:rPr>
        <w:t>0.5858</w:t>
      </w:r>
      <w:r w:rsidRPr="002A09C8">
        <w:rPr>
          <w:rFonts w:ascii="微软雅黑" w:eastAsia="微软雅黑" w:hAnsi="微软雅黑" w:hint="eastAsia"/>
          <w:sz w:val="24"/>
        </w:rPr>
        <w:t>元，投资者甲、乙、丙分别持有场内申万军工份额、申万军工A份额、申万军工B份额各100,000份，其所持基金份额的变化如下表所示：</w:t>
      </w:r>
    </w:p>
    <w:tbl>
      <w:tblPr>
        <w:tblW w:w="103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1"/>
        <w:gridCol w:w="1496"/>
        <w:gridCol w:w="1246"/>
        <w:gridCol w:w="2422"/>
        <w:gridCol w:w="1670"/>
        <w:gridCol w:w="2095"/>
      </w:tblGrid>
      <w:tr w:rsidR="00270471" w:rsidTr="004C4974">
        <w:trPr>
          <w:trHeight w:val="300"/>
          <w:jc w:val="center"/>
        </w:trPr>
        <w:tc>
          <w:tcPr>
            <w:tcW w:w="1421" w:type="dxa"/>
            <w:vMerge w:val="restart"/>
            <w:tcBorders>
              <w:top w:val="single" w:sz="8" w:space="0" w:color="auto"/>
              <w:left w:val="single" w:sz="8" w:space="0" w:color="auto"/>
              <w:bottom w:val="single" w:sz="8" w:space="0" w:color="auto"/>
              <w:right w:val="single" w:sz="8" w:space="0" w:color="auto"/>
            </w:tcBorders>
            <w:vAlign w:val="center"/>
          </w:tcPr>
          <w:p w:rsidR="00270471" w:rsidRPr="002A09C8" w:rsidRDefault="00270471" w:rsidP="004C4974">
            <w:pPr>
              <w:widowControl/>
              <w:jc w:val="left"/>
              <w:rPr>
                <w:rFonts w:ascii="微软雅黑" w:eastAsia="微软雅黑" w:hAnsi="微软雅黑"/>
                <w:sz w:val="24"/>
              </w:rPr>
            </w:pPr>
          </w:p>
        </w:tc>
        <w:tc>
          <w:tcPr>
            <w:tcW w:w="2742" w:type="dxa"/>
            <w:gridSpan w:val="2"/>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折算前</w:t>
            </w:r>
          </w:p>
        </w:tc>
        <w:tc>
          <w:tcPr>
            <w:tcW w:w="2422" w:type="dxa"/>
            <w:vMerge w:val="restart"/>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份额折算比例</w:t>
            </w:r>
          </w:p>
        </w:tc>
        <w:tc>
          <w:tcPr>
            <w:tcW w:w="3765" w:type="dxa"/>
            <w:gridSpan w:val="2"/>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折算后</w:t>
            </w:r>
          </w:p>
        </w:tc>
      </w:tr>
      <w:tr w:rsidR="00270471" w:rsidTr="004C4974">
        <w:trPr>
          <w:trHeight w:val="870"/>
          <w:jc w:val="center"/>
        </w:trPr>
        <w:tc>
          <w:tcPr>
            <w:tcW w:w="1421" w:type="dxa"/>
            <w:vMerge/>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left"/>
              <w:rPr>
                <w:rFonts w:ascii="微软雅黑" w:eastAsia="微软雅黑" w:hAnsi="微软雅黑"/>
                <w:sz w:val="24"/>
              </w:rPr>
            </w:pPr>
          </w:p>
        </w:tc>
        <w:tc>
          <w:tcPr>
            <w:tcW w:w="1496"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基金份额（参考）净值（元）</w:t>
            </w:r>
          </w:p>
        </w:tc>
        <w:tc>
          <w:tcPr>
            <w:tcW w:w="1246"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基金份额（份）</w:t>
            </w:r>
          </w:p>
        </w:tc>
        <w:tc>
          <w:tcPr>
            <w:tcW w:w="2422" w:type="dxa"/>
            <w:vMerge/>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left"/>
              <w:rPr>
                <w:rFonts w:ascii="微软雅黑" w:eastAsia="微软雅黑" w:hAnsi="微软雅黑"/>
                <w:sz w:val="24"/>
              </w:rPr>
            </w:pPr>
          </w:p>
        </w:tc>
        <w:tc>
          <w:tcPr>
            <w:tcW w:w="1670"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基金份额净值（元）</w:t>
            </w:r>
          </w:p>
        </w:tc>
        <w:tc>
          <w:tcPr>
            <w:tcW w:w="2095"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jc w:val="center"/>
              <w:rPr>
                <w:rFonts w:ascii="微软雅黑" w:eastAsia="微软雅黑" w:hAnsi="微软雅黑"/>
                <w:sz w:val="24"/>
              </w:rPr>
            </w:pPr>
            <w:r w:rsidRPr="002A09C8">
              <w:rPr>
                <w:rFonts w:ascii="微软雅黑" w:eastAsia="微软雅黑" w:hAnsi="微软雅黑" w:hint="eastAsia"/>
                <w:sz w:val="24"/>
              </w:rPr>
              <w:t>基金份额</w:t>
            </w:r>
          </w:p>
        </w:tc>
      </w:tr>
      <w:tr w:rsidR="00270471" w:rsidTr="004C4974">
        <w:trPr>
          <w:trHeight w:val="408"/>
          <w:jc w:val="center"/>
        </w:trPr>
        <w:tc>
          <w:tcPr>
            <w:tcW w:w="1421"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rPr>
                <w:rFonts w:ascii="微软雅黑" w:eastAsia="微软雅黑" w:hAnsi="微软雅黑"/>
                <w:sz w:val="24"/>
              </w:rPr>
            </w:pPr>
            <w:r w:rsidRPr="002A09C8">
              <w:rPr>
                <w:rFonts w:ascii="微软雅黑" w:eastAsia="微软雅黑" w:hAnsi="微软雅黑" w:hint="eastAsia"/>
                <w:sz w:val="24"/>
              </w:rPr>
              <w:t>场内申万军工份额</w:t>
            </w:r>
          </w:p>
        </w:tc>
        <w:tc>
          <w:tcPr>
            <w:tcW w:w="149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0.7945</w:t>
            </w:r>
          </w:p>
        </w:tc>
        <w:tc>
          <w:tcPr>
            <w:tcW w:w="124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100,000</w:t>
            </w:r>
          </w:p>
        </w:tc>
        <w:tc>
          <w:tcPr>
            <w:tcW w:w="2422"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无变化</w:t>
            </w:r>
          </w:p>
        </w:tc>
        <w:tc>
          <w:tcPr>
            <w:tcW w:w="1670"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0.7945</w:t>
            </w:r>
          </w:p>
        </w:tc>
        <w:tc>
          <w:tcPr>
            <w:tcW w:w="2095"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100,000份场内申万军工份额</w:t>
            </w:r>
          </w:p>
        </w:tc>
      </w:tr>
      <w:tr w:rsidR="00270471" w:rsidTr="004C4974">
        <w:trPr>
          <w:trHeight w:val="406"/>
          <w:jc w:val="center"/>
        </w:trPr>
        <w:tc>
          <w:tcPr>
            <w:tcW w:w="1421"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rPr>
                <w:rFonts w:ascii="微软雅黑" w:eastAsia="微软雅黑" w:hAnsi="微软雅黑"/>
                <w:sz w:val="24"/>
              </w:rPr>
            </w:pPr>
            <w:r w:rsidRPr="002A09C8">
              <w:rPr>
                <w:rFonts w:ascii="微软雅黑" w:eastAsia="微软雅黑" w:hAnsi="微软雅黑" w:hint="eastAsia"/>
                <w:sz w:val="24"/>
              </w:rPr>
              <w:t>申万军工A份额</w:t>
            </w:r>
          </w:p>
        </w:tc>
        <w:tc>
          <w:tcPr>
            <w:tcW w:w="149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1.0032</w:t>
            </w:r>
          </w:p>
        </w:tc>
        <w:tc>
          <w:tcPr>
            <w:tcW w:w="124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100,000</w:t>
            </w:r>
          </w:p>
        </w:tc>
        <w:tc>
          <w:tcPr>
            <w:tcW w:w="2422"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1.262680931（全部折算为申万军工份额）</w:t>
            </w:r>
          </w:p>
        </w:tc>
        <w:tc>
          <w:tcPr>
            <w:tcW w:w="1670"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0.7945</w:t>
            </w:r>
          </w:p>
        </w:tc>
        <w:tc>
          <w:tcPr>
            <w:tcW w:w="2095"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126,268份场内申万军工份额</w:t>
            </w:r>
          </w:p>
        </w:tc>
      </w:tr>
      <w:tr w:rsidR="00270471" w:rsidTr="004C4974">
        <w:trPr>
          <w:trHeight w:val="717"/>
          <w:jc w:val="center"/>
        </w:trPr>
        <w:tc>
          <w:tcPr>
            <w:tcW w:w="1421" w:type="dxa"/>
            <w:tcBorders>
              <w:top w:val="single" w:sz="8" w:space="0" w:color="auto"/>
              <w:left w:val="single" w:sz="8" w:space="0" w:color="auto"/>
              <w:bottom w:val="single" w:sz="8" w:space="0" w:color="auto"/>
              <w:right w:val="single" w:sz="8" w:space="0" w:color="auto"/>
            </w:tcBorders>
            <w:vAlign w:val="center"/>
            <w:hideMark/>
          </w:tcPr>
          <w:p w:rsidR="00270471" w:rsidRPr="002A09C8" w:rsidRDefault="00270471" w:rsidP="004C4974">
            <w:pPr>
              <w:widowControl/>
              <w:rPr>
                <w:rFonts w:ascii="微软雅黑" w:eastAsia="微软雅黑" w:hAnsi="微软雅黑"/>
                <w:sz w:val="24"/>
              </w:rPr>
            </w:pPr>
            <w:r w:rsidRPr="002A09C8">
              <w:rPr>
                <w:rFonts w:ascii="微软雅黑" w:eastAsia="微软雅黑" w:hAnsi="微软雅黑" w:hint="eastAsia"/>
                <w:sz w:val="24"/>
              </w:rPr>
              <w:t>申万军工B份额</w:t>
            </w:r>
          </w:p>
        </w:tc>
        <w:tc>
          <w:tcPr>
            <w:tcW w:w="149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0.5858</w:t>
            </w:r>
          </w:p>
        </w:tc>
        <w:tc>
          <w:tcPr>
            <w:tcW w:w="1246"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100,000</w:t>
            </w:r>
          </w:p>
        </w:tc>
        <w:tc>
          <w:tcPr>
            <w:tcW w:w="2422"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0.737319069（全部折算为申万军工份额）</w:t>
            </w:r>
          </w:p>
        </w:tc>
        <w:tc>
          <w:tcPr>
            <w:tcW w:w="1670"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ind w:firstLine="420"/>
              <w:rPr>
                <w:rFonts w:ascii="微软雅黑" w:eastAsia="微软雅黑" w:hAnsi="微软雅黑"/>
                <w:sz w:val="24"/>
              </w:rPr>
            </w:pPr>
            <w:r w:rsidRPr="002A09C8">
              <w:rPr>
                <w:rFonts w:ascii="微软雅黑" w:eastAsia="微软雅黑" w:hAnsi="微软雅黑" w:hint="eastAsia"/>
                <w:sz w:val="24"/>
              </w:rPr>
              <w:t>0.7945</w:t>
            </w:r>
          </w:p>
        </w:tc>
        <w:tc>
          <w:tcPr>
            <w:tcW w:w="2095" w:type="dxa"/>
            <w:tcBorders>
              <w:top w:val="single" w:sz="8" w:space="0" w:color="auto"/>
              <w:left w:val="single" w:sz="8" w:space="0" w:color="auto"/>
              <w:bottom w:val="single" w:sz="8" w:space="0" w:color="auto"/>
              <w:right w:val="single" w:sz="8" w:space="0" w:color="auto"/>
            </w:tcBorders>
            <w:hideMark/>
          </w:tcPr>
          <w:p w:rsidR="00270471" w:rsidRPr="002A09C8" w:rsidRDefault="00270471" w:rsidP="004C4974">
            <w:pPr>
              <w:rPr>
                <w:rFonts w:ascii="微软雅黑" w:eastAsia="微软雅黑" w:hAnsi="微软雅黑"/>
                <w:sz w:val="24"/>
              </w:rPr>
            </w:pPr>
            <w:r w:rsidRPr="002A09C8">
              <w:rPr>
                <w:rFonts w:ascii="微软雅黑" w:eastAsia="微软雅黑" w:hAnsi="微软雅黑" w:hint="eastAsia"/>
                <w:sz w:val="24"/>
              </w:rPr>
              <w:t>73,731份场内申万军工份额</w:t>
            </w:r>
          </w:p>
        </w:tc>
      </w:tr>
    </w:tbl>
    <w:p w:rsidR="00270471" w:rsidRDefault="00270471" w:rsidP="00270471">
      <w:pPr>
        <w:pStyle w:val="a4"/>
        <w:ind w:firstLine="560"/>
        <w:rPr>
          <w:rFonts w:ascii="仿宋" w:eastAsia="仿宋" w:hAnsi="仿宋"/>
          <w:sz w:val="28"/>
          <w:szCs w:val="28"/>
        </w:rPr>
      </w:pPr>
    </w:p>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5、</w:t>
      </w:r>
      <w:r w:rsidRPr="000B253D">
        <w:rPr>
          <w:rFonts w:ascii="微软雅黑" w:eastAsia="微软雅黑" w:hAnsi="微软雅黑" w:cstheme="minorBidi" w:hint="eastAsia"/>
          <w:b/>
          <w:bCs w:val="0"/>
        </w:rPr>
        <w:t>申万军工A份额和申万军工B份额折算为申万军工份额后，投资者可以申请场内赎回基金份额或者转托管至场外后申请赎回基金份额，也可以在申万军工份额符合条件上市后选择二级市场卖出。</w:t>
      </w:r>
      <w:r w:rsidRPr="0025255A">
        <w:rPr>
          <w:rFonts w:ascii="微软雅黑" w:eastAsia="微软雅黑" w:hAnsi="微软雅黑" w:cstheme="minorBidi" w:hint="eastAsia"/>
          <w:bCs w:val="0"/>
        </w:rPr>
        <w:t>对于投资者所在证券公司不具备基金销售资格或其他原因导致无法直接办理场内赎回的，可先转托管至场外后申请赎回或者先转托管到具有基金销售资格的证券公司后申请赎回。</w:t>
      </w:r>
    </w:p>
    <w:p w:rsidR="00270471" w:rsidRPr="0025255A" w:rsidRDefault="00270471" w:rsidP="00270471">
      <w:pPr>
        <w:ind w:firstLine="560"/>
        <w:rPr>
          <w:rFonts w:ascii="微软雅黑" w:eastAsia="微软雅黑" w:hAnsi="微软雅黑"/>
          <w:sz w:val="24"/>
        </w:rPr>
      </w:pPr>
      <w:r w:rsidRPr="0025255A">
        <w:rPr>
          <w:rFonts w:ascii="微软雅黑" w:eastAsia="微软雅黑" w:hAnsi="微软雅黑" w:hint="eastAsia"/>
          <w:sz w:val="24"/>
        </w:rPr>
        <w:t>6、根据中国证券登记结算有限责任公司的有关业务规则，申万军工A份额和申万军工B份额合并或折算为申万军工份额后，基金份额持有期自申万军工份额确认之日起计算。</w:t>
      </w:r>
    </w:p>
    <w:p w:rsidR="00270471" w:rsidRPr="0025255A" w:rsidRDefault="00270471" w:rsidP="00270471">
      <w:pPr>
        <w:ind w:firstLine="560"/>
        <w:rPr>
          <w:rFonts w:ascii="微软雅黑" w:eastAsia="微软雅黑" w:hAnsi="微软雅黑"/>
          <w:sz w:val="24"/>
        </w:rPr>
      </w:pPr>
      <w:r w:rsidRPr="0025255A">
        <w:rPr>
          <w:rFonts w:ascii="微软雅黑" w:eastAsia="微软雅黑" w:hAnsi="微软雅黑" w:hint="eastAsia"/>
          <w:sz w:val="24"/>
        </w:rPr>
        <w:t>根据《公开募集开放式证券投资基金流动性风险管理规定》及本基金招募说明书的约定，本基金的赎回费率如下：</w:t>
      </w:r>
    </w:p>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（1）场外赎回费率</w:t>
      </w:r>
    </w:p>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赎回费用由赎回基金份额的基金份额持有人承担，在基金份额持有人赎回基金份额时收取。赎回费率随基金份额持有时间增加而递减，具体如下：</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2"/>
        <w:gridCol w:w="4208"/>
      </w:tblGrid>
      <w:tr w:rsidR="00270471" w:rsidTr="004C4974">
        <w:trPr>
          <w:trHeight w:val="285"/>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持有时间（T）</w:t>
            </w:r>
          </w:p>
        </w:tc>
        <w:tc>
          <w:tcPr>
            <w:tcW w:w="4207"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赎回费率</w:t>
            </w:r>
          </w:p>
        </w:tc>
      </w:tr>
      <w:tr w:rsidR="00270471" w:rsidTr="004C4974">
        <w:trPr>
          <w:trHeight w:val="285"/>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T＜7日</w:t>
            </w:r>
          </w:p>
        </w:tc>
        <w:tc>
          <w:tcPr>
            <w:tcW w:w="4207"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1.50%</w:t>
            </w:r>
          </w:p>
        </w:tc>
      </w:tr>
      <w:tr w:rsidR="00270471" w:rsidTr="004C4974">
        <w:trPr>
          <w:trHeight w:val="285"/>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7日≤T＜6个月</w:t>
            </w:r>
          </w:p>
        </w:tc>
        <w:tc>
          <w:tcPr>
            <w:tcW w:w="4207"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0.50%</w:t>
            </w:r>
          </w:p>
        </w:tc>
      </w:tr>
      <w:tr w:rsidR="00270471" w:rsidTr="004C4974">
        <w:trPr>
          <w:trHeight w:val="285"/>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6个月≤T＜1年</w:t>
            </w:r>
          </w:p>
        </w:tc>
        <w:tc>
          <w:tcPr>
            <w:tcW w:w="4207"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0.25%</w:t>
            </w:r>
          </w:p>
        </w:tc>
      </w:tr>
      <w:tr w:rsidR="00270471" w:rsidTr="004C4974">
        <w:trPr>
          <w:trHeight w:val="285"/>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T≥1年</w:t>
            </w:r>
          </w:p>
        </w:tc>
        <w:tc>
          <w:tcPr>
            <w:tcW w:w="4207" w:type="dxa"/>
            <w:tcBorders>
              <w:top w:val="single" w:sz="4" w:space="0" w:color="auto"/>
              <w:left w:val="single" w:sz="4" w:space="0" w:color="auto"/>
              <w:bottom w:val="single" w:sz="4" w:space="0" w:color="auto"/>
              <w:right w:val="single" w:sz="4" w:space="0" w:color="auto"/>
            </w:tcBorders>
            <w:vAlign w:val="center"/>
            <w:hideMark/>
          </w:tcPr>
          <w:p w:rsidR="00270471" w:rsidRPr="0025255A" w:rsidRDefault="00270471" w:rsidP="004C4974">
            <w:pPr>
              <w:pStyle w:val="a4"/>
              <w:ind w:firstLineChars="0" w:firstLine="0"/>
              <w:jc w:val="center"/>
              <w:rPr>
                <w:rFonts w:ascii="微软雅黑" w:eastAsia="微软雅黑" w:hAnsi="微软雅黑" w:cstheme="minorBidi"/>
                <w:bCs w:val="0"/>
              </w:rPr>
            </w:pPr>
            <w:r w:rsidRPr="0025255A">
              <w:rPr>
                <w:rFonts w:ascii="微软雅黑" w:eastAsia="微软雅黑" w:hAnsi="微软雅黑" w:cstheme="minorBidi" w:hint="eastAsia"/>
                <w:bCs w:val="0"/>
              </w:rPr>
              <w:t>0.00%</w:t>
            </w:r>
          </w:p>
        </w:tc>
      </w:tr>
    </w:tbl>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注：月按30 日计算，年按365 日计算。</w:t>
      </w:r>
    </w:p>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（2）场内赎回费率</w:t>
      </w:r>
    </w:p>
    <w:p w:rsidR="00270471" w:rsidRPr="0025255A" w:rsidRDefault="00270471" w:rsidP="0025255A">
      <w:pPr>
        <w:pStyle w:val="a4"/>
        <w:ind w:firstLine="480"/>
        <w:rPr>
          <w:rFonts w:ascii="微软雅黑" w:eastAsia="微软雅黑" w:hAnsi="微软雅黑" w:cstheme="minorBidi"/>
          <w:bCs w:val="0"/>
        </w:rPr>
      </w:pPr>
      <w:r w:rsidRPr="0025255A">
        <w:rPr>
          <w:rFonts w:ascii="微软雅黑" w:eastAsia="微软雅黑" w:hAnsi="微软雅黑" w:cstheme="minorBidi" w:hint="eastAsia"/>
          <w:bCs w:val="0"/>
        </w:rPr>
        <w:t>本基金的场内赎回费率为7日内1.50%，7日及以上0.50%。</w:t>
      </w:r>
    </w:p>
    <w:p w:rsidR="00270471" w:rsidRPr="0025255A" w:rsidRDefault="00270471" w:rsidP="00270471">
      <w:pPr>
        <w:ind w:firstLine="560"/>
        <w:rPr>
          <w:rFonts w:ascii="微软雅黑" w:eastAsia="微软雅黑" w:hAnsi="微软雅黑"/>
          <w:sz w:val="24"/>
        </w:rPr>
      </w:pPr>
      <w:r w:rsidRPr="0025255A">
        <w:rPr>
          <w:rFonts w:ascii="微软雅黑" w:eastAsia="微软雅黑" w:hAnsi="微软雅黑" w:hint="eastAsia"/>
          <w:sz w:val="24"/>
        </w:rPr>
        <w:t>申万军工份额的赎回费用由赎回申万军工份额的基金份额持有人承担，在基金份额持有人赎回申万军工份额时收取，其中对于持续持有期少于7 日的投资者收取不少于1.5%的赎回费并全额计入基金财产；对于持续持有期不少于7 日的投资者，赎回费用不纳入基金财产，用于支付市场推广、销售、登记费和其他必要的手续费。</w:t>
      </w:r>
    </w:p>
    <w:p w:rsidR="00270471" w:rsidRDefault="00270471" w:rsidP="00270471">
      <w:pPr>
        <w:ind w:firstLine="560"/>
        <w:rPr>
          <w:rFonts w:ascii="微软雅黑" w:eastAsia="微软雅黑" w:hAnsi="微软雅黑"/>
          <w:sz w:val="24"/>
        </w:rPr>
      </w:pPr>
      <w:r w:rsidRPr="0025255A">
        <w:rPr>
          <w:rFonts w:ascii="微软雅黑" w:eastAsia="微软雅黑" w:hAnsi="微软雅黑" w:hint="eastAsia"/>
          <w:sz w:val="24"/>
        </w:rPr>
        <w:t>本公司承诺诚实信用地管理和运用基金财产，但不保证基金一定盈利也不保证最低收益。基金的过往业绩并不代表其未来表现。投资有风险，敬请投资者认真阅读基金的相关法律文件。</w:t>
      </w:r>
    </w:p>
    <w:p w:rsidR="0025255A" w:rsidRPr="0025255A" w:rsidRDefault="0025255A" w:rsidP="00270471">
      <w:pPr>
        <w:ind w:firstLine="560"/>
        <w:rPr>
          <w:rFonts w:ascii="微软雅黑" w:eastAsia="微软雅黑" w:hAnsi="微软雅黑"/>
          <w:sz w:val="24"/>
        </w:rPr>
      </w:pPr>
      <w:r w:rsidRPr="0025255A">
        <w:rPr>
          <w:rFonts w:ascii="微软雅黑" w:eastAsia="微软雅黑" w:hAnsi="微软雅黑" w:hint="eastAsia"/>
          <w:sz w:val="24"/>
        </w:rPr>
        <w:t>投资者可登陆基金管理人网站（www.swsmu.com）或拨打客服电话4008808588（免长途话费）咨询相关信息。</w:t>
      </w:r>
    </w:p>
    <w:p w:rsidR="00270471" w:rsidRPr="0025255A" w:rsidRDefault="00270471" w:rsidP="00270471">
      <w:pPr>
        <w:ind w:firstLine="560"/>
        <w:rPr>
          <w:rFonts w:ascii="微软雅黑" w:eastAsia="微软雅黑" w:hAnsi="微软雅黑"/>
          <w:sz w:val="24"/>
        </w:rPr>
      </w:pPr>
    </w:p>
    <w:p w:rsidR="00270471" w:rsidRPr="0025255A" w:rsidRDefault="00270471" w:rsidP="00270471">
      <w:pPr>
        <w:ind w:firstLine="560"/>
        <w:rPr>
          <w:rFonts w:ascii="微软雅黑" w:eastAsia="微软雅黑" w:hAnsi="微软雅黑"/>
          <w:sz w:val="24"/>
        </w:rPr>
      </w:pPr>
      <w:r w:rsidRPr="0025255A">
        <w:rPr>
          <w:rFonts w:ascii="微软雅黑" w:eastAsia="微软雅黑" w:hAnsi="微软雅黑" w:hint="eastAsia"/>
          <w:sz w:val="24"/>
        </w:rPr>
        <w:t>特此公告。</w:t>
      </w:r>
    </w:p>
    <w:p w:rsidR="00270471" w:rsidRDefault="00270471" w:rsidP="00E7420B">
      <w:pPr>
        <w:ind w:firstLine="560"/>
        <w:rPr>
          <w:rFonts w:ascii="微软雅黑" w:eastAsia="微软雅黑" w:hAnsi="微软雅黑"/>
          <w:sz w:val="24"/>
        </w:rPr>
      </w:pPr>
    </w:p>
    <w:p w:rsidR="0025255A" w:rsidRDefault="0025255A" w:rsidP="00E7420B">
      <w:pPr>
        <w:ind w:firstLine="560"/>
        <w:rPr>
          <w:rFonts w:ascii="微软雅黑" w:eastAsia="微软雅黑" w:hAnsi="微软雅黑"/>
          <w:sz w:val="24"/>
        </w:rPr>
      </w:pPr>
    </w:p>
    <w:p w:rsidR="0025255A" w:rsidRDefault="0025255A" w:rsidP="00E7420B">
      <w:pPr>
        <w:ind w:firstLine="560"/>
        <w:rPr>
          <w:rFonts w:ascii="微软雅黑" w:eastAsia="微软雅黑" w:hAnsi="微软雅黑"/>
          <w:sz w:val="24"/>
        </w:rPr>
      </w:pPr>
    </w:p>
    <w:p w:rsidR="0025255A" w:rsidRPr="00B018F4" w:rsidRDefault="0025255A" w:rsidP="0025255A">
      <w:pPr>
        <w:widowControl/>
        <w:shd w:val="clear" w:color="auto" w:fill="FFFFFF"/>
        <w:spacing w:before="750" w:line="420" w:lineRule="atLeast"/>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申万菱信</w:t>
      </w:r>
      <w:r w:rsidRPr="00B018F4">
        <w:rPr>
          <w:rFonts w:ascii="微软雅黑" w:eastAsia="微软雅黑" w:hAnsi="微软雅黑" w:cs="宋体" w:hint="eastAsia"/>
          <w:color w:val="333333"/>
          <w:kern w:val="0"/>
          <w:sz w:val="24"/>
          <w:szCs w:val="24"/>
        </w:rPr>
        <w:t>基金管理有限公司</w:t>
      </w:r>
    </w:p>
    <w:p w:rsidR="0025255A" w:rsidRPr="0025255A" w:rsidRDefault="0025255A" w:rsidP="0025255A">
      <w:pPr>
        <w:widowControl/>
        <w:shd w:val="clear" w:color="auto" w:fill="FFFFFF"/>
        <w:spacing w:before="240" w:line="420" w:lineRule="atLeast"/>
        <w:jc w:val="right"/>
        <w:rPr>
          <w:rFonts w:ascii="微软雅黑" w:eastAsia="微软雅黑" w:hAnsi="微软雅黑" w:cs="宋体"/>
          <w:color w:val="333333"/>
          <w:kern w:val="0"/>
          <w:sz w:val="24"/>
          <w:szCs w:val="24"/>
        </w:rPr>
      </w:pPr>
      <w:r w:rsidRPr="00B018F4">
        <w:rPr>
          <w:rFonts w:ascii="微软雅黑" w:eastAsia="微软雅黑" w:hAnsi="微软雅黑" w:cs="宋体" w:hint="eastAsia"/>
          <w:color w:val="333333"/>
          <w:kern w:val="0"/>
          <w:sz w:val="24"/>
          <w:szCs w:val="24"/>
        </w:rPr>
        <w:t>20</w:t>
      </w:r>
      <w:r>
        <w:rPr>
          <w:rFonts w:ascii="微软雅黑" w:eastAsia="微软雅黑" w:hAnsi="微软雅黑" w:cs="宋体" w:hint="eastAsia"/>
          <w:color w:val="333333"/>
          <w:kern w:val="0"/>
          <w:sz w:val="24"/>
          <w:szCs w:val="24"/>
        </w:rPr>
        <w:t>20</w:t>
      </w:r>
      <w:r w:rsidRPr="00B018F4">
        <w:rPr>
          <w:rFonts w:ascii="微软雅黑" w:eastAsia="微软雅黑" w:hAnsi="微软雅黑" w:cs="宋体" w:hint="eastAsia"/>
          <w:color w:val="333333"/>
          <w:kern w:val="0"/>
          <w:sz w:val="24"/>
          <w:szCs w:val="24"/>
        </w:rPr>
        <w:t>年</w:t>
      </w:r>
      <w:r>
        <w:rPr>
          <w:rFonts w:ascii="微软雅黑" w:eastAsia="微软雅黑" w:hAnsi="微软雅黑" w:cs="宋体" w:hint="eastAsia"/>
          <w:color w:val="333333"/>
          <w:kern w:val="0"/>
          <w:sz w:val="24"/>
          <w:szCs w:val="24"/>
        </w:rPr>
        <w:t>12</w:t>
      </w:r>
      <w:r w:rsidRPr="00B018F4">
        <w:rPr>
          <w:rFonts w:ascii="微软雅黑" w:eastAsia="微软雅黑" w:hAnsi="微软雅黑" w:cs="宋体" w:hint="eastAsia"/>
          <w:color w:val="333333"/>
          <w:kern w:val="0"/>
          <w:sz w:val="24"/>
          <w:szCs w:val="24"/>
        </w:rPr>
        <w:t>月</w:t>
      </w:r>
      <w:r w:rsidR="00445F38">
        <w:rPr>
          <w:rFonts w:ascii="微软雅黑" w:eastAsia="微软雅黑" w:hAnsi="微软雅黑" w:cs="宋体" w:hint="eastAsia"/>
          <w:color w:val="333333"/>
          <w:kern w:val="0"/>
          <w:sz w:val="24"/>
          <w:szCs w:val="24"/>
        </w:rPr>
        <w:t>31</w:t>
      </w:r>
      <w:bookmarkStart w:id="0" w:name="_GoBack"/>
      <w:bookmarkEnd w:id="0"/>
      <w:r w:rsidRPr="00B018F4">
        <w:rPr>
          <w:rFonts w:ascii="微软雅黑" w:eastAsia="微软雅黑" w:hAnsi="微软雅黑" w:cs="宋体" w:hint="eastAsia"/>
          <w:color w:val="333333"/>
          <w:kern w:val="0"/>
          <w:sz w:val="24"/>
          <w:szCs w:val="24"/>
        </w:rPr>
        <w:t>日</w:t>
      </w:r>
    </w:p>
    <w:sectPr w:rsidR="0025255A" w:rsidRPr="0025255A" w:rsidSect="0054545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6DA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4C" w:rsidRDefault="00F8294C" w:rsidP="00F8294C">
      <w:r>
        <w:separator/>
      </w:r>
    </w:p>
  </w:endnote>
  <w:endnote w:type="continuationSeparator" w:id="0">
    <w:p w:rsidR="00F8294C" w:rsidRDefault="00F8294C" w:rsidP="00F82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4C" w:rsidRDefault="00F8294C" w:rsidP="00F8294C">
      <w:r>
        <w:separator/>
      </w:r>
    </w:p>
  </w:footnote>
  <w:footnote w:type="continuationSeparator" w:id="0">
    <w:p w:rsidR="00F8294C" w:rsidRDefault="00F8294C" w:rsidP="00F8294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20B"/>
    <w:rsid w:val="00045828"/>
    <w:rsid w:val="000B253D"/>
    <w:rsid w:val="000C41B2"/>
    <w:rsid w:val="001619EA"/>
    <w:rsid w:val="001C7E4A"/>
    <w:rsid w:val="001E2846"/>
    <w:rsid w:val="00231B63"/>
    <w:rsid w:val="0025255A"/>
    <w:rsid w:val="00270471"/>
    <w:rsid w:val="00283DE2"/>
    <w:rsid w:val="002A09C8"/>
    <w:rsid w:val="00352BEF"/>
    <w:rsid w:val="00366E51"/>
    <w:rsid w:val="003E20DF"/>
    <w:rsid w:val="00445F38"/>
    <w:rsid w:val="004B687E"/>
    <w:rsid w:val="00544E41"/>
    <w:rsid w:val="00545450"/>
    <w:rsid w:val="00614A01"/>
    <w:rsid w:val="00615AB2"/>
    <w:rsid w:val="006C294A"/>
    <w:rsid w:val="007A3978"/>
    <w:rsid w:val="009C1626"/>
    <w:rsid w:val="009C49D0"/>
    <w:rsid w:val="00A64137"/>
    <w:rsid w:val="00B85ACD"/>
    <w:rsid w:val="00C734B7"/>
    <w:rsid w:val="00E7420B"/>
    <w:rsid w:val="00F82368"/>
    <w:rsid w:val="00F8294C"/>
    <w:rsid w:val="00FB4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20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合同正文 Char"/>
    <w:link w:val="a4"/>
    <w:qFormat/>
    <w:locked/>
    <w:rsid w:val="00270471"/>
    <w:rPr>
      <w:rFonts w:ascii="Times New Roman" w:hAnsi="Times New Roman" w:cs="Times New Roman"/>
      <w:bCs/>
      <w:sz w:val="24"/>
    </w:rPr>
  </w:style>
  <w:style w:type="paragraph" w:customStyle="1" w:styleId="a4">
    <w:name w:val="合同正文"/>
    <w:basedOn w:val="a"/>
    <w:link w:val="Char"/>
    <w:qFormat/>
    <w:rsid w:val="00270471"/>
    <w:pPr>
      <w:spacing w:line="360" w:lineRule="auto"/>
      <w:ind w:firstLineChars="200" w:firstLine="200"/>
    </w:pPr>
    <w:rPr>
      <w:rFonts w:ascii="Times New Roman" w:hAnsi="Times New Roman" w:cs="Times New Roman"/>
      <w:bCs/>
      <w:sz w:val="24"/>
    </w:rPr>
  </w:style>
  <w:style w:type="character" w:styleId="a5">
    <w:name w:val="annotation reference"/>
    <w:basedOn w:val="a0"/>
    <w:uiPriority w:val="99"/>
    <w:semiHidden/>
    <w:unhideWhenUsed/>
    <w:rsid w:val="009C1626"/>
    <w:rPr>
      <w:sz w:val="21"/>
      <w:szCs w:val="21"/>
    </w:rPr>
  </w:style>
  <w:style w:type="paragraph" w:styleId="a6">
    <w:name w:val="annotation text"/>
    <w:basedOn w:val="a"/>
    <w:link w:val="Char0"/>
    <w:uiPriority w:val="99"/>
    <w:semiHidden/>
    <w:unhideWhenUsed/>
    <w:rsid w:val="009C1626"/>
    <w:pPr>
      <w:jc w:val="left"/>
    </w:pPr>
  </w:style>
  <w:style w:type="character" w:customStyle="1" w:styleId="Char0">
    <w:name w:val="批注文字 Char"/>
    <w:basedOn w:val="a0"/>
    <w:link w:val="a6"/>
    <w:uiPriority w:val="99"/>
    <w:semiHidden/>
    <w:rsid w:val="009C1626"/>
  </w:style>
  <w:style w:type="paragraph" w:styleId="a7">
    <w:name w:val="annotation subject"/>
    <w:basedOn w:val="a6"/>
    <w:next w:val="a6"/>
    <w:link w:val="Char1"/>
    <w:uiPriority w:val="99"/>
    <w:semiHidden/>
    <w:unhideWhenUsed/>
    <w:rsid w:val="009C1626"/>
    <w:rPr>
      <w:b/>
      <w:bCs/>
    </w:rPr>
  </w:style>
  <w:style w:type="character" w:customStyle="1" w:styleId="Char1">
    <w:name w:val="批注主题 Char"/>
    <w:basedOn w:val="Char0"/>
    <w:link w:val="a7"/>
    <w:uiPriority w:val="99"/>
    <w:semiHidden/>
    <w:rsid w:val="009C1626"/>
    <w:rPr>
      <w:b/>
      <w:bCs/>
    </w:rPr>
  </w:style>
  <w:style w:type="paragraph" w:styleId="a8">
    <w:name w:val="Balloon Text"/>
    <w:basedOn w:val="a"/>
    <w:link w:val="Char2"/>
    <w:uiPriority w:val="99"/>
    <w:semiHidden/>
    <w:unhideWhenUsed/>
    <w:rsid w:val="009C1626"/>
    <w:rPr>
      <w:sz w:val="18"/>
      <w:szCs w:val="18"/>
    </w:rPr>
  </w:style>
  <w:style w:type="character" w:customStyle="1" w:styleId="Char2">
    <w:name w:val="批注框文本 Char"/>
    <w:basedOn w:val="a0"/>
    <w:link w:val="a8"/>
    <w:uiPriority w:val="99"/>
    <w:semiHidden/>
    <w:rsid w:val="009C1626"/>
    <w:rPr>
      <w:sz w:val="18"/>
      <w:szCs w:val="18"/>
    </w:rPr>
  </w:style>
  <w:style w:type="paragraph" w:styleId="a9">
    <w:name w:val="header"/>
    <w:basedOn w:val="a"/>
    <w:link w:val="Char3"/>
    <w:uiPriority w:val="99"/>
    <w:semiHidden/>
    <w:unhideWhenUsed/>
    <w:rsid w:val="00F8294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semiHidden/>
    <w:rsid w:val="00F8294C"/>
    <w:rPr>
      <w:sz w:val="18"/>
      <w:szCs w:val="18"/>
    </w:rPr>
  </w:style>
  <w:style w:type="paragraph" w:styleId="aa">
    <w:name w:val="footer"/>
    <w:basedOn w:val="a"/>
    <w:link w:val="Char4"/>
    <w:uiPriority w:val="99"/>
    <w:semiHidden/>
    <w:unhideWhenUsed/>
    <w:rsid w:val="00F8294C"/>
    <w:pPr>
      <w:tabs>
        <w:tab w:val="center" w:pos="4153"/>
        <w:tab w:val="right" w:pos="8306"/>
      </w:tabs>
      <w:snapToGrid w:val="0"/>
      <w:jc w:val="left"/>
    </w:pPr>
    <w:rPr>
      <w:sz w:val="18"/>
      <w:szCs w:val="18"/>
    </w:rPr>
  </w:style>
  <w:style w:type="character" w:customStyle="1" w:styleId="Char4">
    <w:name w:val="页脚 Char"/>
    <w:basedOn w:val="a0"/>
    <w:link w:val="aa"/>
    <w:uiPriority w:val="99"/>
    <w:semiHidden/>
    <w:rsid w:val="00F829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20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合同正文 Char"/>
    <w:link w:val="a4"/>
    <w:qFormat/>
    <w:locked/>
    <w:rsid w:val="00270471"/>
    <w:rPr>
      <w:rFonts w:ascii="Times New Roman" w:hAnsi="Times New Roman" w:cs="Times New Roman"/>
      <w:bCs/>
      <w:sz w:val="24"/>
    </w:rPr>
  </w:style>
  <w:style w:type="paragraph" w:customStyle="1" w:styleId="a4">
    <w:name w:val="合同正文"/>
    <w:basedOn w:val="a"/>
    <w:link w:val="Char"/>
    <w:qFormat/>
    <w:rsid w:val="00270471"/>
    <w:pPr>
      <w:spacing w:line="360" w:lineRule="auto"/>
      <w:ind w:firstLineChars="200" w:firstLine="200"/>
    </w:pPr>
    <w:rPr>
      <w:rFonts w:ascii="Times New Roman" w:hAnsi="Times New Roman" w:cs="Times New Roman"/>
      <w:bCs/>
      <w:sz w:val="24"/>
    </w:rPr>
  </w:style>
  <w:style w:type="character" w:styleId="a5">
    <w:name w:val="annotation reference"/>
    <w:basedOn w:val="a0"/>
    <w:uiPriority w:val="99"/>
    <w:semiHidden/>
    <w:unhideWhenUsed/>
    <w:rsid w:val="009C1626"/>
    <w:rPr>
      <w:sz w:val="21"/>
      <w:szCs w:val="21"/>
    </w:rPr>
  </w:style>
  <w:style w:type="paragraph" w:styleId="a6">
    <w:name w:val="annotation text"/>
    <w:basedOn w:val="a"/>
    <w:link w:val="Char0"/>
    <w:uiPriority w:val="99"/>
    <w:semiHidden/>
    <w:unhideWhenUsed/>
    <w:rsid w:val="009C1626"/>
    <w:pPr>
      <w:jc w:val="left"/>
    </w:pPr>
  </w:style>
  <w:style w:type="character" w:customStyle="1" w:styleId="Char0">
    <w:name w:val="批注文字 Char"/>
    <w:basedOn w:val="a0"/>
    <w:link w:val="a6"/>
    <w:uiPriority w:val="99"/>
    <w:semiHidden/>
    <w:rsid w:val="009C1626"/>
  </w:style>
  <w:style w:type="paragraph" w:styleId="a7">
    <w:name w:val="annotation subject"/>
    <w:basedOn w:val="a6"/>
    <w:next w:val="a6"/>
    <w:link w:val="Char1"/>
    <w:uiPriority w:val="99"/>
    <w:semiHidden/>
    <w:unhideWhenUsed/>
    <w:rsid w:val="009C1626"/>
    <w:rPr>
      <w:b/>
      <w:bCs/>
    </w:rPr>
  </w:style>
  <w:style w:type="character" w:customStyle="1" w:styleId="Char1">
    <w:name w:val="批注主题 Char"/>
    <w:basedOn w:val="Char0"/>
    <w:link w:val="a7"/>
    <w:uiPriority w:val="99"/>
    <w:semiHidden/>
    <w:rsid w:val="009C1626"/>
    <w:rPr>
      <w:b/>
      <w:bCs/>
    </w:rPr>
  </w:style>
  <w:style w:type="paragraph" w:styleId="a8">
    <w:name w:val="Balloon Text"/>
    <w:basedOn w:val="a"/>
    <w:link w:val="Char2"/>
    <w:uiPriority w:val="99"/>
    <w:semiHidden/>
    <w:unhideWhenUsed/>
    <w:rsid w:val="009C1626"/>
    <w:rPr>
      <w:sz w:val="18"/>
      <w:szCs w:val="18"/>
    </w:rPr>
  </w:style>
  <w:style w:type="character" w:customStyle="1" w:styleId="Char2">
    <w:name w:val="批注框文本 Char"/>
    <w:basedOn w:val="a0"/>
    <w:link w:val="a8"/>
    <w:uiPriority w:val="99"/>
    <w:semiHidden/>
    <w:rsid w:val="009C162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2304</Characters>
  <Application>Microsoft Office Word</Application>
  <DocSecurity>4</DocSecurity>
  <Lines>19</Lines>
  <Paragraphs>5</Paragraphs>
  <ScaleCrop>false</ScaleCrop>
  <Company>Microsoft</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2020-12-30T16:00:00Z</dcterms:created>
  <dcterms:modified xsi:type="dcterms:W3CDTF">2020-12-30T16:00:00Z</dcterms:modified>
</cp:coreProperties>
</file>