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0E" w:rsidRPr="004A0C1A" w:rsidRDefault="008C7F0E" w:rsidP="00BF045A">
      <w:pPr>
        <w:pStyle w:val="HTML"/>
        <w:shd w:val="clear" w:color="auto" w:fill="FFFFFF"/>
        <w:jc w:val="center"/>
        <w:rPr>
          <w:rFonts w:ascii="Consolas" w:hAnsi="Consolas" w:cs="Consolas"/>
          <w:color w:val="000000"/>
          <w:sz w:val="27"/>
          <w:szCs w:val="27"/>
        </w:rPr>
      </w:pPr>
      <w:r>
        <w:rPr>
          <w:rFonts w:ascii="黑体" w:eastAsia="黑体" w:hAnsi="黑体" w:hint="eastAsia"/>
          <w:b/>
          <w:sz w:val="30"/>
          <w:szCs w:val="30"/>
        </w:rPr>
        <w:t>天弘基金管理有限公司关于旗下部分基金在</w:t>
      </w:r>
      <w:r w:rsidR="00663B67" w:rsidRPr="00663B67">
        <w:rPr>
          <w:rFonts w:ascii="黑体" w:eastAsia="黑体" w:hAnsi="黑体"/>
          <w:b/>
          <w:sz w:val="30"/>
          <w:szCs w:val="30"/>
        </w:rPr>
        <w:t>南京银行股份有限公司</w:t>
      </w:r>
      <w:r>
        <w:rPr>
          <w:rFonts w:ascii="黑体" w:eastAsia="黑体" w:hAnsi="黑体" w:hint="eastAsia"/>
          <w:b/>
          <w:sz w:val="30"/>
          <w:szCs w:val="30"/>
        </w:rPr>
        <w:t>开通</w:t>
      </w:r>
      <w:r w:rsidR="00663B67" w:rsidRPr="00663B67">
        <w:rPr>
          <w:rFonts w:ascii="黑体" w:eastAsia="黑体" w:hAnsi="黑体"/>
          <w:b/>
          <w:sz w:val="30"/>
          <w:szCs w:val="30"/>
        </w:rPr>
        <w:t>转换</w:t>
      </w:r>
      <w:r w:rsidRPr="00065730">
        <w:rPr>
          <w:rFonts w:ascii="黑体" w:eastAsia="黑体" w:hAnsi="黑体" w:hint="eastAsia"/>
          <w:b/>
          <w:sz w:val="30"/>
          <w:szCs w:val="30"/>
        </w:rPr>
        <w:t>业务的公告</w:t>
      </w:r>
    </w:p>
    <w:p w:rsidR="008C7F0E" w:rsidRPr="00065730" w:rsidRDefault="008C7F0E" w:rsidP="008C7F0E">
      <w:pPr>
        <w:spacing w:line="500" w:lineRule="exact"/>
        <w:jc w:val="center"/>
        <w:rPr>
          <w:rFonts w:ascii="黑体" w:eastAsia="黑体" w:hAnsi="黑体"/>
          <w:b/>
          <w:sz w:val="30"/>
          <w:szCs w:val="30"/>
        </w:rPr>
      </w:pPr>
    </w:p>
    <w:p w:rsidR="008C7F0E" w:rsidRPr="001B13EC" w:rsidRDefault="008C7F0E" w:rsidP="00D63D68">
      <w:pPr>
        <w:spacing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根据天弘基金管理有限公司（以下简称“本公司”）与</w:t>
      </w:r>
      <w:r w:rsidR="00CA33BC" w:rsidRPr="00CA33BC">
        <w:rPr>
          <w:rFonts w:ascii="仿宋_GB2312" w:eastAsia="仿宋_GB2312" w:hAnsi="宋体"/>
          <w:kern w:val="0"/>
          <w:sz w:val="24"/>
          <w:szCs w:val="24"/>
        </w:rPr>
        <w:t>南京银行股份有限公司</w:t>
      </w:r>
      <w:r w:rsidRPr="001B13EC">
        <w:rPr>
          <w:rFonts w:ascii="仿宋_GB2312" w:eastAsia="仿宋_GB2312" w:hAnsi="宋体" w:hint="eastAsia"/>
          <w:kern w:val="0"/>
          <w:sz w:val="24"/>
          <w:szCs w:val="24"/>
        </w:rPr>
        <w:t>（以下简称“</w:t>
      </w:r>
      <w:r w:rsidR="00FF40CB" w:rsidRPr="00FF40CB">
        <w:rPr>
          <w:rFonts w:ascii="仿宋_GB2312" w:eastAsia="仿宋_GB2312" w:hAnsi="宋体"/>
          <w:kern w:val="0"/>
          <w:sz w:val="24"/>
          <w:szCs w:val="24"/>
        </w:rPr>
        <w:t>南京银行</w:t>
      </w:r>
      <w:r w:rsidRPr="001B13EC">
        <w:rPr>
          <w:rFonts w:ascii="仿宋_GB2312" w:eastAsia="仿宋_GB2312" w:hAnsi="宋体" w:hint="eastAsia"/>
          <w:kern w:val="0"/>
          <w:sz w:val="24"/>
          <w:szCs w:val="24"/>
        </w:rPr>
        <w:t>”）签署的相关基金销售服务协议，自</w:t>
      </w:r>
      <w:r w:rsidR="00B43CA3" w:rsidRPr="00B43CA3">
        <w:rPr>
          <w:rFonts w:ascii="仿宋_GB2312" w:eastAsia="仿宋_GB2312" w:hAnsi="宋体"/>
          <w:kern w:val="0"/>
          <w:sz w:val="24"/>
          <w:szCs w:val="24"/>
        </w:rPr>
        <w:t>2020年12月31日</w:t>
      </w:r>
      <w:r w:rsidRPr="001B13EC">
        <w:rPr>
          <w:rFonts w:ascii="仿宋_GB2312" w:eastAsia="仿宋_GB2312" w:hAnsi="宋体" w:hint="eastAsia"/>
          <w:kern w:val="0"/>
          <w:sz w:val="24"/>
          <w:szCs w:val="24"/>
        </w:rPr>
        <w:t>起，本公司旗下部分基金在</w:t>
      </w:r>
      <w:r w:rsidR="00292227" w:rsidRPr="00FF40CB">
        <w:rPr>
          <w:rFonts w:ascii="仿宋_GB2312" w:eastAsia="仿宋_GB2312" w:hAnsi="宋体"/>
          <w:kern w:val="0"/>
          <w:sz w:val="24"/>
          <w:szCs w:val="24"/>
        </w:rPr>
        <w:t>南京银行</w:t>
      </w:r>
      <w:r w:rsidRPr="001B13EC">
        <w:rPr>
          <w:rFonts w:ascii="仿宋_GB2312" w:eastAsia="仿宋_GB2312" w:hAnsi="宋体" w:hint="eastAsia"/>
          <w:kern w:val="0"/>
          <w:sz w:val="24"/>
          <w:szCs w:val="24"/>
        </w:rPr>
        <w:t>开通</w:t>
      </w:r>
      <w:r w:rsidR="00B45D66" w:rsidRPr="00B45D66">
        <w:rPr>
          <w:rFonts w:ascii="仿宋_GB2312" w:eastAsia="仿宋_GB2312" w:hAnsi="宋体"/>
          <w:kern w:val="0"/>
          <w:sz w:val="24"/>
          <w:szCs w:val="24"/>
        </w:rPr>
        <w:t>转换</w:t>
      </w:r>
      <w:r w:rsidRPr="001B13EC">
        <w:rPr>
          <w:rFonts w:ascii="仿宋_GB2312" w:eastAsia="仿宋_GB2312" w:hAnsi="宋体" w:hint="eastAsia"/>
          <w:kern w:val="0"/>
          <w:sz w:val="24"/>
          <w:szCs w:val="24"/>
        </w:rPr>
        <w:t>业务。详情如下：</w:t>
      </w:r>
      <w:r w:rsidRPr="001B13EC">
        <w:rPr>
          <w:rFonts w:ascii="仿宋_GB2312" w:eastAsia="仿宋_GB2312" w:hAnsi="宋体"/>
          <w:kern w:val="0"/>
          <w:sz w:val="24"/>
          <w:szCs w:val="24"/>
        </w:rPr>
        <w:t xml:space="preserve"> </w:t>
      </w:r>
    </w:p>
    <w:p w:rsidR="008C7F0E" w:rsidRPr="001B13EC" w:rsidRDefault="008C7F0E" w:rsidP="008C7F0E">
      <w:pPr>
        <w:spacing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一、适用的投资者范围</w:t>
      </w:r>
    </w:p>
    <w:p w:rsidR="008C7F0E" w:rsidRPr="001B13EC" w:rsidRDefault="008C7F0E" w:rsidP="008C7F0E">
      <w:pPr>
        <w:spacing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通过</w:t>
      </w:r>
      <w:r w:rsidR="00752B38" w:rsidRPr="00FF40CB">
        <w:rPr>
          <w:rFonts w:ascii="仿宋_GB2312" w:eastAsia="仿宋_GB2312" w:hAnsi="宋体"/>
          <w:kern w:val="0"/>
          <w:sz w:val="24"/>
          <w:szCs w:val="24"/>
        </w:rPr>
        <w:t>南京银行</w:t>
      </w:r>
      <w:r w:rsidRPr="001B13EC">
        <w:rPr>
          <w:rFonts w:ascii="仿宋_GB2312" w:eastAsia="仿宋_GB2312" w:hAnsi="宋体" w:hint="eastAsia"/>
          <w:kern w:val="0"/>
          <w:sz w:val="24"/>
          <w:szCs w:val="24"/>
        </w:rPr>
        <w:t>指定平台</w:t>
      </w:r>
      <w:r w:rsidR="00F236AF" w:rsidRPr="00F236AF">
        <w:rPr>
          <w:rFonts w:ascii="仿宋_GB2312" w:eastAsia="仿宋_GB2312" w:hAnsi="宋体"/>
          <w:kern w:val="0"/>
          <w:sz w:val="24"/>
          <w:szCs w:val="24"/>
        </w:rPr>
        <w:t>转换</w:t>
      </w:r>
      <w:r w:rsidRPr="001B13EC">
        <w:rPr>
          <w:rFonts w:ascii="仿宋_GB2312" w:eastAsia="仿宋_GB2312" w:hAnsi="宋体" w:hint="eastAsia"/>
          <w:kern w:val="0"/>
          <w:sz w:val="24"/>
          <w:szCs w:val="24"/>
        </w:rPr>
        <w:t>本公司旗下部分基金且符合基金合同约定的投资者。</w:t>
      </w:r>
    </w:p>
    <w:p w:rsidR="008C7F0E" w:rsidRPr="001B13EC" w:rsidRDefault="008C7F0E" w:rsidP="00B42BE6">
      <w:pPr>
        <w:spacing w:afterLines="50"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二、适用的基金范围</w:t>
      </w:r>
    </w:p>
    <w:tbl>
      <w:tblPr>
        <w:tblW w:w="5000" w:type="pct"/>
        <w:tblInd w:w="-147" w:type="dxa"/>
        <w:tblLayout w:type="fixed"/>
        <w:tblLook w:val="04A0"/>
      </w:tblPr>
      <w:tblGrid>
        <w:gridCol w:w="3852"/>
        <w:gridCol w:w="2266"/>
        <w:gridCol w:w="2404"/>
      </w:tblGrid>
      <w:tr w:rsidR="00DB09AC" w:rsidRPr="00700935" w:rsidTr="005A7965">
        <w:trPr>
          <w:trHeight w:val="6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基金名称</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基金代码</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是否开通转换</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天弘云端生活优选灵活配置混合型证券投资基金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001030</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天弘互联网灵活配置混合型证券投资基金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001210</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天弘债券型发起式证券投资基金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A类：420008</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天弘债券型发起式证券投资基金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B类：420108</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天弘周期策略混合型证券投资基金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420005</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天弘安康颐养混合型证券投资基金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A类：420009</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天弘永利债券型证券投资基金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A类：420002</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天弘永利债券型证券投资基金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B类：420102</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天弘永定价值成长混合型证券投资基金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420003</w:t>
            </w:r>
            <w:bookmarkStart w:id="0" w:name="_GoBack"/>
            <w:bookmarkEnd w:id="0"/>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天弘现金管家货币市场基金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A类：420006</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天弘现金管家货币市场基金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B类：420106</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天弘稳利定期开放债券型证券投资基金</w:t>
            </w:r>
            <w:r w:rsidR="00220D9E">
              <w:rPr>
                <w:rFonts w:ascii="仿宋_GB2312" w:eastAsia="仿宋_GB2312" w:hAnsi="宋体" w:hint="eastAsia"/>
                <w:kern w:val="0"/>
                <w:sz w:val="24"/>
                <w:szCs w:val="24"/>
              </w:rPr>
              <w:t>(注</w:t>
            </w:r>
            <w:r w:rsidR="005A7965">
              <w:rPr>
                <w:rFonts w:ascii="仿宋_GB2312" w:eastAsia="仿宋_GB2312" w:hAnsi="宋体" w:hint="eastAsia"/>
                <w:kern w:val="0"/>
                <w:sz w:val="24"/>
                <w:szCs w:val="24"/>
              </w:rPr>
              <w:t>2</w:t>
            </w:r>
            <w:r w:rsidR="00220D9E">
              <w:rPr>
                <w:rFonts w:ascii="仿宋_GB2312" w:eastAsia="仿宋_GB2312" w:hAnsi="宋体" w:hint="eastAsia"/>
                <w:kern w:val="0"/>
                <w:sz w:val="24"/>
                <w:szCs w:val="24"/>
              </w:rPr>
              <w:t>)</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A类：000244</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天弘稳利定期开放债券型证券投资基金</w:t>
            </w:r>
            <w:r w:rsidR="00220D9E">
              <w:rPr>
                <w:rFonts w:ascii="仿宋_GB2312" w:eastAsia="仿宋_GB2312" w:hAnsi="宋体" w:hint="eastAsia"/>
                <w:kern w:val="0"/>
                <w:sz w:val="24"/>
                <w:szCs w:val="24"/>
              </w:rPr>
              <w:t>(注</w:t>
            </w:r>
            <w:r w:rsidR="005A7965">
              <w:rPr>
                <w:rFonts w:ascii="仿宋_GB2312" w:eastAsia="仿宋_GB2312" w:hAnsi="宋体" w:hint="eastAsia"/>
                <w:kern w:val="0"/>
                <w:sz w:val="24"/>
                <w:szCs w:val="24"/>
              </w:rPr>
              <w:t>2</w:t>
            </w:r>
            <w:r w:rsidR="00220D9E">
              <w:rPr>
                <w:rFonts w:ascii="仿宋_GB2312" w:eastAsia="仿宋_GB2312" w:hAnsi="宋体" w:hint="eastAsia"/>
                <w:kern w:val="0"/>
                <w:sz w:val="24"/>
                <w:szCs w:val="24"/>
              </w:rPr>
              <w:t>)</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B类：000245</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r w:rsidR="00DB09AC" w:rsidRPr="00700935" w:rsidTr="005A7965">
        <w:trPr>
          <w:trHeight w:val="340"/>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天弘精选混合型证券投资基金</w:t>
            </w:r>
          </w:p>
        </w:tc>
        <w:tc>
          <w:tcPr>
            <w:tcW w:w="2266" w:type="dxa"/>
            <w:tcBorders>
              <w:top w:val="single" w:sz="4" w:space="0" w:color="auto"/>
              <w:left w:val="nil"/>
              <w:bottom w:val="single" w:sz="4" w:space="0" w:color="auto"/>
              <w:right w:val="single" w:sz="4" w:space="0" w:color="auto"/>
            </w:tcBorders>
            <w:shd w:val="clear" w:color="auto" w:fill="auto"/>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420001</w:t>
            </w:r>
          </w:p>
        </w:tc>
        <w:tc>
          <w:tcPr>
            <w:tcW w:w="2404" w:type="dxa"/>
            <w:tcBorders>
              <w:top w:val="single" w:sz="4" w:space="0" w:color="auto"/>
              <w:left w:val="nil"/>
              <w:bottom w:val="single" w:sz="4" w:space="0" w:color="auto"/>
              <w:right w:val="single" w:sz="4" w:space="0" w:color="auto"/>
            </w:tcBorders>
            <w:vAlign w:val="center"/>
          </w:tcPr>
          <w:p w:rsidR="00DB09AC" w:rsidRPr="00700935" w:rsidRDefault="0060063A"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是</w:t>
            </w:r>
          </w:p>
        </w:tc>
      </w:tr>
    </w:tbl>
    <w:p w:rsidR="00F83895" w:rsidRPr="005A7965" w:rsidRDefault="0060063A" w:rsidP="005A7965">
      <w:pPr>
        <w:spacing w:line="500" w:lineRule="exact"/>
        <w:rPr>
          <w:rFonts w:ascii="仿宋_GB2312" w:eastAsia="仿宋_GB2312" w:hAnsi="宋体"/>
          <w:kern w:val="0"/>
          <w:sz w:val="24"/>
          <w:szCs w:val="24"/>
        </w:rPr>
      </w:pPr>
      <w:r w:rsidRPr="00F83895">
        <w:rPr>
          <w:rFonts w:ascii="仿宋_GB2312" w:eastAsia="仿宋_GB2312" w:hAnsi="宋体" w:hint="eastAsia"/>
          <w:kern w:val="0"/>
          <w:sz w:val="24"/>
          <w:szCs w:val="24"/>
        </w:rPr>
        <w:t>注：1、同一基金的不同基金份额类别之间不得互相转换。具体的转换范围请以南京银行指定平台公示的信息为准。</w:t>
      </w:r>
    </w:p>
    <w:p w:rsidR="00F83895" w:rsidRPr="00F83895" w:rsidRDefault="005A7965" w:rsidP="005A7965">
      <w:pPr>
        <w:spacing w:line="500" w:lineRule="exact"/>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2</w:t>
      </w:r>
      <w:r w:rsidR="0060063A" w:rsidRPr="00F83895">
        <w:rPr>
          <w:rFonts w:ascii="仿宋_GB2312" w:eastAsia="仿宋_GB2312" w:hAnsi="宋体" w:hint="eastAsia"/>
          <w:kern w:val="0"/>
          <w:sz w:val="24"/>
          <w:szCs w:val="24"/>
        </w:rPr>
        <w:t>、本基金以定期开放的方式运作，目前处于封闭期，具体开放申购赎回等</w:t>
      </w:r>
      <w:r w:rsidR="0060063A" w:rsidRPr="00F83895">
        <w:rPr>
          <w:rFonts w:ascii="仿宋_GB2312" w:eastAsia="仿宋_GB2312" w:hAnsi="宋体" w:hint="eastAsia"/>
          <w:kern w:val="0"/>
          <w:sz w:val="24"/>
          <w:szCs w:val="24"/>
        </w:rPr>
        <w:lastRenderedPageBreak/>
        <w:t>业务的时间请以本基金相关法律文件及公告为准。</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三</w:t>
      </w:r>
      <w:r w:rsidRPr="00065730">
        <w:rPr>
          <w:rFonts w:ascii="仿宋_GB2312" w:eastAsia="仿宋_GB2312"/>
          <w:sz w:val="24"/>
          <w:szCs w:val="24"/>
        </w:rPr>
        <w:t>、</w:t>
      </w:r>
      <w:r w:rsidRPr="00065730">
        <w:rPr>
          <w:rFonts w:ascii="仿宋_GB2312" w:eastAsia="仿宋_GB2312" w:hint="eastAsia"/>
          <w:sz w:val="24"/>
          <w:szCs w:val="24"/>
        </w:rPr>
        <w:t>重要提示：</w:t>
      </w:r>
    </w:p>
    <w:p w:rsidR="008C7F0E" w:rsidRPr="00FF2844" w:rsidRDefault="008C7F0E" w:rsidP="00FF2844">
      <w:pPr>
        <w:spacing w:line="500" w:lineRule="exact"/>
        <w:ind w:firstLineChars="200" w:firstLine="480"/>
        <w:rPr>
          <w:rFonts w:ascii="仿宋_GB2312" w:eastAsia="仿宋_GB2312"/>
          <w:sz w:val="24"/>
          <w:szCs w:val="24"/>
        </w:rPr>
      </w:pPr>
      <w:r w:rsidRPr="00FF2844">
        <w:rPr>
          <w:rFonts w:ascii="仿宋_GB2312" w:eastAsia="仿宋_GB2312" w:hint="eastAsia"/>
          <w:sz w:val="24"/>
          <w:szCs w:val="24"/>
        </w:rPr>
        <w:t>1、各基金遵循的转换业务规则详见本公司2014年12月15日披露的《天弘基金管理有限公司关于公司旗下开放式基金转换业务规则说明的公告》。</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sz w:val="24"/>
          <w:szCs w:val="24"/>
        </w:rPr>
        <w:t>2</w:t>
      </w:r>
      <w:r w:rsidRPr="00065730">
        <w:rPr>
          <w:rFonts w:ascii="仿宋_GB2312" w:eastAsia="仿宋_GB2312" w:hint="eastAsia"/>
          <w:sz w:val="24"/>
          <w:szCs w:val="24"/>
        </w:rPr>
        <w:t>、投资者欲了解各基金的详细情况，请仔细阅读各基金的基金合同、招募说明书等法律文件。</w:t>
      </w:r>
    </w:p>
    <w:p w:rsidR="008C7F0E"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sz w:val="24"/>
          <w:szCs w:val="24"/>
        </w:rPr>
        <w:t>3</w:t>
      </w:r>
      <w:r w:rsidRPr="00065730">
        <w:rPr>
          <w:rFonts w:ascii="仿宋_GB2312" w:eastAsia="仿宋_GB2312" w:hint="eastAsia"/>
          <w:sz w:val="24"/>
          <w:szCs w:val="24"/>
        </w:rPr>
        <w:t>、上述相关业务办理规则的具体内容请以</w:t>
      </w:r>
      <w:r w:rsidRPr="00FF2844">
        <w:rPr>
          <w:rFonts w:ascii="仿宋_GB2312" w:eastAsia="仿宋_GB2312" w:hint="eastAsia"/>
          <w:sz w:val="24"/>
          <w:szCs w:val="24"/>
        </w:rPr>
        <w:t>南京银行</w:t>
      </w:r>
      <w:r w:rsidRPr="00065730">
        <w:rPr>
          <w:rFonts w:ascii="仿宋_GB2312" w:eastAsia="仿宋_GB2312" w:hint="eastAsia"/>
          <w:sz w:val="24"/>
          <w:szCs w:val="24"/>
        </w:rPr>
        <w:t>的规定、公告或通知为准。</w:t>
      </w:r>
    </w:p>
    <w:p w:rsidR="008C7F0E" w:rsidRPr="00065730" w:rsidRDefault="008C7F0E" w:rsidP="008C7F0E">
      <w:pPr>
        <w:spacing w:line="500" w:lineRule="exact"/>
        <w:ind w:firstLineChars="200" w:firstLine="480"/>
        <w:rPr>
          <w:rFonts w:ascii="仿宋_GB2312" w:eastAsia="仿宋_GB2312"/>
          <w:sz w:val="24"/>
          <w:szCs w:val="24"/>
        </w:rPr>
      </w:pP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投资者可以通过以下途径咨询有关情况：</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(1)天弘基金管理有限公司</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客服热线：</w:t>
      </w:r>
      <w:r w:rsidRPr="00065730">
        <w:rPr>
          <w:rFonts w:ascii="仿宋_GB2312" w:eastAsia="仿宋_GB2312"/>
          <w:sz w:val="24"/>
          <w:szCs w:val="24"/>
        </w:rPr>
        <w:t>95046</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网站：www.thfund.com.cn</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(2)</w:t>
      </w:r>
      <w:r w:rsidRPr="002E360D">
        <w:rPr>
          <w:rFonts w:ascii="仿宋_GB2312" w:eastAsia="仿宋_GB2312" w:hint="eastAsia"/>
          <w:sz w:val="24"/>
          <w:szCs w:val="24"/>
        </w:rPr>
        <w:t xml:space="preserve"> </w:t>
      </w:r>
      <w:r w:rsidR="002E7DF4" w:rsidRPr="002E7DF4">
        <w:rPr>
          <w:rFonts w:ascii="仿宋_GB2312" w:eastAsia="仿宋_GB2312"/>
          <w:sz w:val="24"/>
          <w:szCs w:val="24"/>
        </w:rPr>
        <w:t>南京银行股份有限公司</w:t>
      </w:r>
    </w:p>
    <w:p w:rsidR="008C7F0E" w:rsidRPr="007921AB"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客服热线：</w:t>
      </w:r>
      <w:r w:rsidR="0072096F" w:rsidRPr="0072096F">
        <w:rPr>
          <w:rFonts w:ascii="仿宋_GB2312" w:eastAsia="仿宋_GB2312"/>
          <w:sz w:val="24"/>
          <w:szCs w:val="24"/>
        </w:rPr>
        <w:t>95302</w:t>
      </w:r>
    </w:p>
    <w:p w:rsidR="008C7F0E" w:rsidRPr="007921AB"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网站：</w:t>
      </w:r>
      <w:r w:rsidR="005D74C8" w:rsidRPr="005D74C8">
        <w:rPr>
          <w:rFonts w:ascii="仿宋_GB2312" w:eastAsia="仿宋_GB2312"/>
          <w:sz w:val="24"/>
          <w:szCs w:val="24"/>
        </w:rPr>
        <w:t>http://www.njcb.com.cn/</w:t>
      </w:r>
    </w:p>
    <w:p w:rsidR="008C7F0E" w:rsidRDefault="008C7F0E" w:rsidP="008C7F0E">
      <w:pPr>
        <w:spacing w:line="500" w:lineRule="exact"/>
        <w:ind w:firstLineChars="200" w:firstLine="480"/>
        <w:rPr>
          <w:rFonts w:ascii="仿宋_GB2312" w:eastAsia="仿宋_GB2312"/>
          <w:sz w:val="24"/>
          <w:szCs w:val="24"/>
        </w:rPr>
      </w:pP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特此公告。</w:t>
      </w:r>
    </w:p>
    <w:p w:rsidR="008C7F0E" w:rsidRPr="00065730" w:rsidRDefault="008C7F0E" w:rsidP="008C7F0E">
      <w:pPr>
        <w:spacing w:line="500" w:lineRule="exact"/>
        <w:rPr>
          <w:rFonts w:ascii="仿宋_GB2312" w:eastAsia="仿宋_GB2312"/>
          <w:sz w:val="24"/>
          <w:szCs w:val="24"/>
        </w:rPr>
      </w:pPr>
    </w:p>
    <w:p w:rsidR="008C7F0E" w:rsidRPr="00065730" w:rsidRDefault="008C7F0E" w:rsidP="008C7F0E">
      <w:pPr>
        <w:spacing w:line="500" w:lineRule="exact"/>
        <w:jc w:val="right"/>
        <w:rPr>
          <w:rFonts w:ascii="仿宋_GB2312" w:eastAsia="仿宋_GB2312"/>
          <w:sz w:val="24"/>
          <w:szCs w:val="24"/>
        </w:rPr>
      </w:pPr>
      <w:r w:rsidRPr="00065730">
        <w:rPr>
          <w:rFonts w:ascii="仿宋_GB2312" w:eastAsia="仿宋_GB2312" w:hint="eastAsia"/>
          <w:sz w:val="24"/>
          <w:szCs w:val="24"/>
        </w:rPr>
        <w:t xml:space="preserve">     天弘基金管理有限公司</w:t>
      </w:r>
    </w:p>
    <w:p w:rsidR="008C7F0E" w:rsidRPr="004E4BA7" w:rsidRDefault="008C7F0E" w:rsidP="008C7F0E">
      <w:pPr>
        <w:spacing w:line="500" w:lineRule="exact"/>
        <w:jc w:val="right"/>
        <w:rPr>
          <w:rFonts w:ascii="仿宋_GB2312" w:eastAsia="仿宋_GB2312"/>
          <w:sz w:val="24"/>
          <w:szCs w:val="24"/>
        </w:rPr>
      </w:pPr>
      <w:r w:rsidRPr="00065730">
        <w:rPr>
          <w:rFonts w:ascii="仿宋_GB2312" w:eastAsia="仿宋_GB2312" w:hint="eastAsia"/>
          <w:sz w:val="24"/>
          <w:szCs w:val="24"/>
        </w:rPr>
        <w:t xml:space="preserve"> </w:t>
      </w:r>
      <w:r w:rsidRPr="008E1587">
        <w:rPr>
          <w:rFonts w:ascii="仿宋_GB2312" w:eastAsia="仿宋_GB2312" w:hint="eastAsia"/>
          <w:sz w:val="24"/>
          <w:szCs w:val="24"/>
        </w:rPr>
        <w:t xml:space="preserve"> </w:t>
      </w:r>
      <w:r w:rsidR="008E1587" w:rsidRPr="008E1587">
        <w:rPr>
          <w:rFonts w:ascii="仿宋_GB2312" w:eastAsia="仿宋_GB2312"/>
          <w:sz w:val="24"/>
          <w:szCs w:val="24"/>
        </w:rPr>
        <w:t>二〇二〇年十二月三十一日</w:t>
      </w:r>
    </w:p>
    <w:p w:rsidR="005B339A" w:rsidRPr="008C7F0E" w:rsidRDefault="005B339A"/>
    <w:sectPr w:rsidR="005B339A" w:rsidRPr="008C7F0E" w:rsidSect="00C013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8B" w:rsidRDefault="00D6688B" w:rsidP="008C7F0E">
      <w:r>
        <w:separator/>
      </w:r>
    </w:p>
  </w:endnote>
  <w:endnote w:type="continuationSeparator" w:id="0">
    <w:p w:rsidR="00D6688B" w:rsidRDefault="00D6688B" w:rsidP="008C7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8B" w:rsidRDefault="00D6688B" w:rsidP="008C7F0E">
      <w:r>
        <w:separator/>
      </w:r>
    </w:p>
  </w:footnote>
  <w:footnote w:type="continuationSeparator" w:id="0">
    <w:p w:rsidR="00D6688B" w:rsidRDefault="00D6688B" w:rsidP="008C7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355"/>
    <w:rsid w:val="00001BF3"/>
    <w:rsid w:val="00073876"/>
    <w:rsid w:val="000773D1"/>
    <w:rsid w:val="000A76BD"/>
    <w:rsid w:val="000C3BD0"/>
    <w:rsid w:val="0015238D"/>
    <w:rsid w:val="00171785"/>
    <w:rsid w:val="001B0710"/>
    <w:rsid w:val="001B13EC"/>
    <w:rsid w:val="00220D9E"/>
    <w:rsid w:val="00250F86"/>
    <w:rsid w:val="002527CD"/>
    <w:rsid w:val="00292227"/>
    <w:rsid w:val="002A76CF"/>
    <w:rsid w:val="002E360D"/>
    <w:rsid w:val="002E7DF4"/>
    <w:rsid w:val="00351328"/>
    <w:rsid w:val="0039083A"/>
    <w:rsid w:val="00396F54"/>
    <w:rsid w:val="00492744"/>
    <w:rsid w:val="0059233B"/>
    <w:rsid w:val="005A7965"/>
    <w:rsid w:val="005B339A"/>
    <w:rsid w:val="005D74C8"/>
    <w:rsid w:val="0060063A"/>
    <w:rsid w:val="00653DF6"/>
    <w:rsid w:val="00663B67"/>
    <w:rsid w:val="00696048"/>
    <w:rsid w:val="006D3C12"/>
    <w:rsid w:val="0072096F"/>
    <w:rsid w:val="00752B38"/>
    <w:rsid w:val="00753996"/>
    <w:rsid w:val="007C6C49"/>
    <w:rsid w:val="008C7F0E"/>
    <w:rsid w:val="008E1587"/>
    <w:rsid w:val="00947B33"/>
    <w:rsid w:val="009E136E"/>
    <w:rsid w:val="00A73132"/>
    <w:rsid w:val="00AA5022"/>
    <w:rsid w:val="00AC5834"/>
    <w:rsid w:val="00B42BE6"/>
    <w:rsid w:val="00B43CA3"/>
    <w:rsid w:val="00B45D66"/>
    <w:rsid w:val="00B82E7F"/>
    <w:rsid w:val="00BF5355"/>
    <w:rsid w:val="00C01354"/>
    <w:rsid w:val="00CA0517"/>
    <w:rsid w:val="00CA33BC"/>
    <w:rsid w:val="00CE2EDF"/>
    <w:rsid w:val="00D63D68"/>
    <w:rsid w:val="00D6688B"/>
    <w:rsid w:val="00D70C9A"/>
    <w:rsid w:val="00DC0322"/>
    <w:rsid w:val="00E60787"/>
    <w:rsid w:val="00E9139C"/>
    <w:rsid w:val="00F236AF"/>
    <w:rsid w:val="00FF4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C7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7F0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C7F0E"/>
    <w:rPr>
      <w:sz w:val="18"/>
      <w:szCs w:val="18"/>
    </w:rPr>
  </w:style>
  <w:style w:type="paragraph" w:styleId="a4">
    <w:name w:val="footer"/>
    <w:basedOn w:val="a"/>
    <w:link w:val="Char0"/>
    <w:rsid w:val="008C7F0E"/>
    <w:pPr>
      <w:tabs>
        <w:tab w:val="center" w:pos="4153"/>
        <w:tab w:val="right" w:pos="8306"/>
      </w:tabs>
      <w:snapToGrid w:val="0"/>
      <w:jc w:val="left"/>
    </w:pPr>
    <w:rPr>
      <w:sz w:val="18"/>
      <w:szCs w:val="18"/>
    </w:rPr>
  </w:style>
  <w:style w:type="character" w:customStyle="1" w:styleId="Char0">
    <w:name w:val="页脚 Char"/>
    <w:link w:val="a4"/>
    <w:rsid w:val="008C7F0E"/>
    <w:rPr>
      <w:sz w:val="18"/>
      <w:szCs w:val="18"/>
    </w:rPr>
  </w:style>
  <w:style w:type="character" w:styleId="a5">
    <w:name w:val="annotation reference"/>
    <w:rsid w:val="008C7F0E"/>
    <w:rPr>
      <w:sz w:val="21"/>
      <w:szCs w:val="21"/>
    </w:rPr>
  </w:style>
  <w:style w:type="paragraph" w:styleId="a6">
    <w:name w:val="annotation text"/>
    <w:basedOn w:val="a"/>
    <w:link w:val="Char1"/>
    <w:rsid w:val="008C7F0E"/>
    <w:pPr>
      <w:jc w:val="left"/>
    </w:pPr>
  </w:style>
  <w:style w:type="character" w:customStyle="1" w:styleId="Char1">
    <w:name w:val="批注文字 Char"/>
    <w:basedOn w:val="a0"/>
    <w:link w:val="a6"/>
    <w:rsid w:val="008C7F0E"/>
  </w:style>
  <w:style w:type="paragraph" w:styleId="a7">
    <w:name w:val="Balloon Text"/>
    <w:basedOn w:val="a"/>
    <w:link w:val="Char2"/>
    <w:rsid w:val="008C7F0E"/>
    <w:rPr>
      <w:sz w:val="18"/>
      <w:szCs w:val="18"/>
    </w:rPr>
  </w:style>
  <w:style w:type="character" w:customStyle="1" w:styleId="Char2">
    <w:name w:val="批注框文本 Char"/>
    <w:link w:val="a7"/>
    <w:rsid w:val="008C7F0E"/>
    <w:rPr>
      <w:sz w:val="18"/>
      <w:szCs w:val="18"/>
    </w:rPr>
  </w:style>
  <w:style w:type="paragraph" w:styleId="HTML">
    <w:name w:val="HTML Preformatted"/>
    <w:basedOn w:val="a"/>
    <w:link w:val="HTMLChar"/>
    <w:rsid w:val="00663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rsid w:val="00663B6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49153218">
      <w:bodyDiv w:val="1"/>
      <w:marLeft w:val="0"/>
      <w:marRight w:val="0"/>
      <w:marTop w:val="0"/>
      <w:marBottom w:val="0"/>
      <w:divBdr>
        <w:top w:val="none" w:sz="0" w:space="0" w:color="auto"/>
        <w:left w:val="none" w:sz="0" w:space="0" w:color="auto"/>
        <w:bottom w:val="none" w:sz="0" w:space="0" w:color="auto"/>
        <w:right w:val="none" w:sz="0" w:space="0" w:color="auto"/>
      </w:divBdr>
    </w:div>
    <w:div w:id="995574200">
      <w:bodyDiv w:val="1"/>
      <w:marLeft w:val="0"/>
      <w:marRight w:val="0"/>
      <w:marTop w:val="0"/>
      <w:marBottom w:val="0"/>
      <w:divBdr>
        <w:top w:val="none" w:sz="0" w:space="0" w:color="auto"/>
        <w:left w:val="none" w:sz="0" w:space="0" w:color="auto"/>
        <w:bottom w:val="none" w:sz="0" w:space="0" w:color="auto"/>
        <w:right w:val="none" w:sz="0" w:space="0" w:color="auto"/>
      </w:divBdr>
    </w:div>
    <w:div w:id="1056710094">
      <w:bodyDiv w:val="1"/>
      <w:marLeft w:val="0"/>
      <w:marRight w:val="0"/>
      <w:marTop w:val="0"/>
      <w:marBottom w:val="0"/>
      <w:divBdr>
        <w:top w:val="none" w:sz="0" w:space="0" w:color="auto"/>
        <w:left w:val="none" w:sz="0" w:space="0" w:color="auto"/>
        <w:bottom w:val="none" w:sz="0" w:space="0" w:color="auto"/>
        <w:right w:val="none" w:sz="0" w:space="0" w:color="auto"/>
      </w:divBdr>
    </w:div>
    <w:div w:id="1345398662">
      <w:bodyDiv w:val="1"/>
      <w:marLeft w:val="0"/>
      <w:marRight w:val="0"/>
      <w:marTop w:val="0"/>
      <w:marBottom w:val="0"/>
      <w:divBdr>
        <w:top w:val="none" w:sz="0" w:space="0" w:color="auto"/>
        <w:left w:val="none" w:sz="0" w:space="0" w:color="auto"/>
        <w:bottom w:val="none" w:sz="0" w:space="0" w:color="auto"/>
        <w:right w:val="none" w:sz="0" w:space="0" w:color="auto"/>
      </w:divBdr>
    </w:div>
    <w:div w:id="1345520749">
      <w:bodyDiv w:val="1"/>
      <w:marLeft w:val="0"/>
      <w:marRight w:val="0"/>
      <w:marTop w:val="0"/>
      <w:marBottom w:val="0"/>
      <w:divBdr>
        <w:top w:val="none" w:sz="0" w:space="0" w:color="auto"/>
        <w:left w:val="none" w:sz="0" w:space="0" w:color="auto"/>
        <w:bottom w:val="none" w:sz="0" w:space="0" w:color="auto"/>
        <w:right w:val="none" w:sz="0" w:space="0" w:color="auto"/>
      </w:divBdr>
    </w:div>
    <w:div w:id="1623880148">
      <w:bodyDiv w:val="1"/>
      <w:marLeft w:val="0"/>
      <w:marRight w:val="0"/>
      <w:marTop w:val="0"/>
      <w:marBottom w:val="0"/>
      <w:divBdr>
        <w:top w:val="none" w:sz="0" w:space="0" w:color="auto"/>
        <w:left w:val="none" w:sz="0" w:space="0" w:color="auto"/>
        <w:bottom w:val="none" w:sz="0" w:space="0" w:color="auto"/>
        <w:right w:val="none" w:sz="0" w:space="0" w:color="auto"/>
      </w:divBdr>
    </w:div>
    <w:div w:id="1642272794">
      <w:bodyDiv w:val="1"/>
      <w:marLeft w:val="0"/>
      <w:marRight w:val="0"/>
      <w:marTop w:val="0"/>
      <w:marBottom w:val="0"/>
      <w:divBdr>
        <w:top w:val="none" w:sz="0" w:space="0" w:color="auto"/>
        <w:left w:val="none" w:sz="0" w:space="0" w:color="auto"/>
        <w:bottom w:val="none" w:sz="0" w:space="0" w:color="auto"/>
        <w:right w:val="none" w:sz="0" w:space="0" w:color="auto"/>
      </w:divBdr>
    </w:div>
    <w:div w:id="1682584576">
      <w:bodyDiv w:val="1"/>
      <w:marLeft w:val="0"/>
      <w:marRight w:val="0"/>
      <w:marTop w:val="0"/>
      <w:marBottom w:val="0"/>
      <w:divBdr>
        <w:top w:val="none" w:sz="0" w:space="0" w:color="auto"/>
        <w:left w:val="none" w:sz="0" w:space="0" w:color="auto"/>
        <w:bottom w:val="none" w:sz="0" w:space="0" w:color="auto"/>
        <w:right w:val="none" w:sz="0" w:space="0" w:color="auto"/>
      </w:divBdr>
    </w:div>
    <w:div w:id="17725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4</DocSecurity>
  <Lines>8</Lines>
  <Paragraphs>2</Paragraphs>
  <ScaleCrop>false</ScaleCrop>
  <Company>Sky123.Org</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张圆辉</dc:creator>
  <cp:keywords/>
  <dc:description/>
  <cp:lastModifiedBy>ZHONGM</cp:lastModifiedBy>
  <cp:revision>2</cp:revision>
  <dcterms:created xsi:type="dcterms:W3CDTF">2020-12-30T16:06:00Z</dcterms:created>
  <dcterms:modified xsi:type="dcterms:W3CDTF">2020-12-30T16:06:00Z</dcterms:modified>
</cp:coreProperties>
</file>