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68" w:rsidRPr="00126200" w:rsidRDefault="00B63A68" w:rsidP="00871ECB">
      <w:pPr>
        <w:autoSpaceDE w:val="0"/>
        <w:autoSpaceDN w:val="0"/>
        <w:adjustRightInd w:val="0"/>
        <w:ind w:firstLineChars="200" w:firstLine="560"/>
        <w:jc w:val="center"/>
        <w:rPr>
          <w:rFonts w:ascii="仿宋" w:eastAsia="仿宋" w:hAnsi="仿宋" w:cs="宋体"/>
          <w:b/>
          <w:color w:val="000000"/>
          <w:kern w:val="0"/>
          <w:sz w:val="28"/>
          <w:szCs w:val="28"/>
        </w:rPr>
      </w:pPr>
      <w:r w:rsidRPr="00126200">
        <w:rPr>
          <w:rFonts w:ascii="仿宋" w:eastAsia="仿宋" w:hAnsi="仿宋" w:cs="宋体" w:hint="eastAsia"/>
          <w:b/>
          <w:color w:val="000000"/>
          <w:kern w:val="0"/>
          <w:sz w:val="28"/>
          <w:szCs w:val="28"/>
        </w:rPr>
        <w:t>泰信基金管理有限公司</w:t>
      </w:r>
    </w:p>
    <w:p w:rsidR="00B63A68" w:rsidRPr="00126200" w:rsidRDefault="00B63A68" w:rsidP="00871ECB">
      <w:pPr>
        <w:autoSpaceDE w:val="0"/>
        <w:autoSpaceDN w:val="0"/>
        <w:adjustRightInd w:val="0"/>
        <w:ind w:firstLineChars="200" w:firstLine="560"/>
        <w:jc w:val="center"/>
        <w:rPr>
          <w:rFonts w:ascii="仿宋" w:eastAsia="仿宋" w:hAnsi="仿宋" w:cs="宋体"/>
          <w:b/>
          <w:color w:val="000000"/>
          <w:kern w:val="0"/>
          <w:sz w:val="28"/>
          <w:szCs w:val="28"/>
        </w:rPr>
      </w:pPr>
      <w:r w:rsidRPr="00126200">
        <w:rPr>
          <w:rFonts w:ascii="仿宋" w:eastAsia="仿宋" w:hAnsi="仿宋" w:cs="宋体" w:hint="eastAsia"/>
          <w:b/>
          <w:color w:val="000000"/>
          <w:kern w:val="0"/>
          <w:sz w:val="28"/>
          <w:szCs w:val="28"/>
        </w:rPr>
        <w:t>关于新增</w:t>
      </w:r>
      <w:r w:rsidR="006519D4" w:rsidRPr="00126200">
        <w:rPr>
          <w:rFonts w:ascii="仿宋" w:eastAsia="仿宋" w:hAnsi="仿宋" w:cs="宋体" w:hint="eastAsia"/>
          <w:b/>
          <w:color w:val="000000"/>
          <w:kern w:val="0"/>
          <w:sz w:val="28"/>
          <w:szCs w:val="28"/>
        </w:rPr>
        <w:t>中证金牛</w:t>
      </w:r>
      <w:r w:rsidR="006519D4" w:rsidRPr="00126200">
        <w:rPr>
          <w:rFonts w:ascii="仿宋" w:eastAsia="仿宋" w:hAnsi="仿宋" w:cs="宋体"/>
          <w:b/>
          <w:color w:val="000000"/>
          <w:kern w:val="0"/>
          <w:sz w:val="28"/>
          <w:szCs w:val="28"/>
        </w:rPr>
        <w:t>(北京)投资咨询有限公司</w:t>
      </w:r>
      <w:r w:rsidRPr="00126200">
        <w:rPr>
          <w:rFonts w:ascii="仿宋" w:eastAsia="仿宋" w:hAnsi="仿宋" w:cs="宋体" w:hint="eastAsia"/>
          <w:b/>
          <w:color w:val="000000"/>
          <w:kern w:val="0"/>
          <w:sz w:val="28"/>
          <w:szCs w:val="28"/>
        </w:rPr>
        <w:t>为销售机构并开通转换</w:t>
      </w:r>
      <w:r w:rsidR="003C0C6A">
        <w:rPr>
          <w:rFonts w:ascii="仿宋" w:eastAsia="仿宋" w:hAnsi="仿宋" w:cs="宋体" w:hint="eastAsia"/>
          <w:b/>
          <w:color w:val="000000"/>
          <w:kern w:val="0"/>
          <w:sz w:val="28"/>
          <w:szCs w:val="28"/>
        </w:rPr>
        <w:t>、定投</w:t>
      </w:r>
      <w:r w:rsidRPr="00126200">
        <w:rPr>
          <w:rFonts w:ascii="仿宋" w:eastAsia="仿宋" w:hAnsi="仿宋" w:cs="宋体" w:hint="eastAsia"/>
          <w:b/>
          <w:color w:val="000000"/>
          <w:kern w:val="0"/>
          <w:sz w:val="28"/>
          <w:szCs w:val="28"/>
        </w:rPr>
        <w:t>业务及参加其申购费率优惠活动的公告</w:t>
      </w:r>
    </w:p>
    <w:p w:rsidR="00126200" w:rsidRDefault="00B63A68" w:rsidP="00126200">
      <w:pPr>
        <w:pStyle w:val="Default"/>
        <w:spacing w:line="360" w:lineRule="auto"/>
        <w:ind w:firstLineChars="200" w:firstLine="480"/>
        <w:rPr>
          <w:rFonts w:ascii="仿宋" w:eastAsia="仿宋" w:hAnsi="仿宋"/>
          <w:szCs w:val="28"/>
        </w:rPr>
      </w:pPr>
      <w:r w:rsidRPr="00126200">
        <w:rPr>
          <w:rFonts w:ascii="仿宋" w:eastAsia="仿宋" w:hAnsi="仿宋" w:hint="eastAsia"/>
          <w:szCs w:val="28"/>
        </w:rPr>
        <w:t>根据泰信基金管理有限公司（以下简称“本公司”）与</w:t>
      </w:r>
      <w:r w:rsidR="006519D4" w:rsidRPr="00126200">
        <w:rPr>
          <w:rFonts w:ascii="仿宋" w:eastAsia="仿宋" w:hAnsi="仿宋" w:hint="eastAsia"/>
          <w:szCs w:val="28"/>
        </w:rPr>
        <w:t>中证金牛</w:t>
      </w:r>
      <w:r w:rsidR="006519D4" w:rsidRPr="00126200">
        <w:rPr>
          <w:rFonts w:ascii="仿宋" w:eastAsia="仿宋" w:hAnsi="仿宋"/>
          <w:szCs w:val="28"/>
        </w:rPr>
        <w:t>(北京)投资咨询有限公司</w:t>
      </w:r>
      <w:r w:rsidRPr="00126200">
        <w:rPr>
          <w:rFonts w:ascii="仿宋" w:eastAsia="仿宋" w:hAnsi="仿宋" w:hint="eastAsia"/>
          <w:szCs w:val="28"/>
        </w:rPr>
        <w:t>（以下简称“</w:t>
      </w:r>
      <w:r w:rsidR="006519D4" w:rsidRPr="00126200">
        <w:rPr>
          <w:rFonts w:ascii="仿宋" w:eastAsia="仿宋" w:hAnsi="仿宋" w:hint="eastAsia"/>
          <w:szCs w:val="28"/>
        </w:rPr>
        <w:t>中证金牛</w:t>
      </w:r>
      <w:r w:rsidRPr="00126200">
        <w:rPr>
          <w:rFonts w:ascii="仿宋" w:eastAsia="仿宋" w:hAnsi="仿宋" w:hint="eastAsia"/>
          <w:szCs w:val="28"/>
        </w:rPr>
        <w:t>”）签署的相关协议，自</w:t>
      </w:r>
      <w:r w:rsidR="00523288">
        <w:rPr>
          <w:rFonts w:ascii="仿宋" w:eastAsia="仿宋" w:hAnsi="仿宋" w:hint="eastAsia"/>
          <w:szCs w:val="28"/>
        </w:rPr>
        <w:t>202</w:t>
      </w:r>
      <w:r w:rsidR="00523288">
        <w:rPr>
          <w:rFonts w:ascii="仿宋" w:eastAsia="仿宋" w:hAnsi="仿宋"/>
          <w:szCs w:val="28"/>
        </w:rPr>
        <w:t>1</w:t>
      </w:r>
      <w:r w:rsidRPr="00126200">
        <w:rPr>
          <w:rFonts w:ascii="仿宋" w:eastAsia="仿宋" w:hAnsi="仿宋" w:hint="eastAsia"/>
          <w:szCs w:val="28"/>
        </w:rPr>
        <w:t>年</w:t>
      </w:r>
      <w:r w:rsidR="00523288">
        <w:rPr>
          <w:rFonts w:ascii="仿宋" w:eastAsia="仿宋" w:hAnsi="仿宋" w:hint="eastAsia"/>
          <w:szCs w:val="28"/>
        </w:rPr>
        <w:t>1</w:t>
      </w:r>
      <w:r w:rsidRPr="00126200">
        <w:rPr>
          <w:rFonts w:ascii="仿宋" w:eastAsia="仿宋" w:hAnsi="仿宋" w:hint="eastAsia"/>
          <w:szCs w:val="28"/>
        </w:rPr>
        <w:t>月</w:t>
      </w:r>
      <w:r w:rsidR="0077452B">
        <w:rPr>
          <w:rFonts w:ascii="仿宋" w:eastAsia="仿宋" w:hAnsi="仿宋" w:hint="eastAsia"/>
          <w:szCs w:val="28"/>
        </w:rPr>
        <w:t>5</w:t>
      </w:r>
      <w:bookmarkStart w:id="0" w:name="_GoBack"/>
      <w:bookmarkEnd w:id="0"/>
      <w:r w:rsidRPr="00126200">
        <w:rPr>
          <w:rFonts w:ascii="仿宋" w:eastAsia="仿宋" w:hAnsi="仿宋" w:hint="eastAsia"/>
          <w:szCs w:val="28"/>
        </w:rPr>
        <w:t>日起本公司旗下部分开放式基金新增</w:t>
      </w:r>
      <w:r w:rsidR="006519D4" w:rsidRPr="00126200">
        <w:rPr>
          <w:rFonts w:ascii="仿宋" w:eastAsia="仿宋" w:hAnsi="仿宋" w:hint="eastAsia"/>
          <w:szCs w:val="28"/>
        </w:rPr>
        <w:t>中证金牛</w:t>
      </w:r>
      <w:r w:rsidRPr="00126200">
        <w:rPr>
          <w:rFonts w:ascii="仿宋" w:eastAsia="仿宋" w:hAnsi="仿宋" w:hint="eastAsia"/>
          <w:szCs w:val="28"/>
        </w:rPr>
        <w:t>为销售机构并开通转换、定投业务及参加其申购费率优惠活动。</w:t>
      </w:r>
    </w:p>
    <w:p w:rsidR="00B63A68" w:rsidRPr="00126200" w:rsidRDefault="00B63A68" w:rsidP="00126200">
      <w:pPr>
        <w:pStyle w:val="Default"/>
        <w:spacing w:line="360" w:lineRule="auto"/>
        <w:ind w:firstLineChars="200" w:firstLine="480"/>
        <w:rPr>
          <w:rFonts w:ascii="仿宋" w:eastAsia="仿宋" w:hAnsi="仿宋"/>
          <w:szCs w:val="28"/>
        </w:rPr>
      </w:pPr>
      <w:r w:rsidRPr="00126200">
        <w:rPr>
          <w:rFonts w:ascii="仿宋" w:eastAsia="仿宋" w:hAnsi="仿宋" w:hint="eastAsia"/>
          <w:szCs w:val="28"/>
        </w:rPr>
        <w:t>具体业务情况如下：</w:t>
      </w:r>
    </w:p>
    <w:p w:rsidR="00B63A68" w:rsidRPr="00126200" w:rsidRDefault="00C74D2B" w:rsidP="00B63A68">
      <w:pPr>
        <w:pStyle w:val="Default"/>
        <w:ind w:firstLineChars="200" w:firstLine="480"/>
        <w:rPr>
          <w:rFonts w:ascii="仿宋" w:eastAsia="仿宋" w:hAnsi="仿宋"/>
          <w:szCs w:val="28"/>
        </w:rPr>
      </w:pPr>
      <w:r>
        <w:rPr>
          <w:rFonts w:ascii="仿宋" w:eastAsia="仿宋" w:hAnsi="仿宋"/>
          <w:noProof/>
          <w:szCs w:val="28"/>
        </w:rPr>
        <w:pict>
          <v:line id="直接连接符 1"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355.5pt,29.9pt" to="356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" strokecolor="black [3200]" strokeweight=".5pt">
            <v:stroke joinstyle="miter"/>
          </v:line>
        </w:pict>
      </w:r>
      <w:r w:rsidR="00B63A68" w:rsidRPr="00126200">
        <w:rPr>
          <w:rFonts w:ascii="仿宋" w:eastAsia="仿宋" w:hAnsi="仿宋" w:hint="eastAsia"/>
          <w:szCs w:val="28"/>
        </w:rPr>
        <w:t>适用基金范围及业务开通情况：</w:t>
      </w:r>
    </w:p>
    <w:tbl>
      <w:tblPr>
        <w:tblW w:w="8212" w:type="dxa"/>
        <w:jc w:val="center"/>
        <w:tblLook w:val="04A0"/>
      </w:tblPr>
      <w:tblGrid>
        <w:gridCol w:w="2625"/>
        <w:gridCol w:w="2460"/>
        <w:gridCol w:w="901"/>
        <w:gridCol w:w="1097"/>
        <w:gridCol w:w="1129"/>
      </w:tblGrid>
      <w:tr w:rsidR="00483099" w:rsidRPr="00126200" w:rsidTr="00440AFD">
        <w:trPr>
          <w:trHeight w:val="270"/>
          <w:jc w:val="center"/>
        </w:trPr>
        <w:tc>
          <w:tcPr>
            <w:tcW w:w="2625" w:type="dxa"/>
            <w:tcBorders>
              <w:top w:val="single" w:sz="4" w:space="0" w:color="auto"/>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基金名称</w:t>
            </w:r>
          </w:p>
        </w:tc>
        <w:tc>
          <w:tcPr>
            <w:tcW w:w="2460" w:type="dxa"/>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基金代码</w:t>
            </w:r>
          </w:p>
        </w:tc>
        <w:tc>
          <w:tcPr>
            <w:tcW w:w="901" w:type="dxa"/>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转换</w:t>
            </w:r>
          </w:p>
        </w:tc>
        <w:tc>
          <w:tcPr>
            <w:tcW w:w="1097" w:type="dxa"/>
            <w:tcBorders>
              <w:top w:val="single" w:sz="4" w:space="0" w:color="auto"/>
              <w:left w:val="nil"/>
              <w:bottom w:val="single" w:sz="4" w:space="0" w:color="auto"/>
              <w:right w:val="nil"/>
            </w:tcBorders>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定投</w:t>
            </w:r>
          </w:p>
        </w:tc>
        <w:tc>
          <w:tcPr>
            <w:tcW w:w="1129" w:type="dxa"/>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费率优惠</w:t>
            </w:r>
          </w:p>
        </w:tc>
      </w:tr>
      <w:tr w:rsidR="00483099" w:rsidRPr="00126200" w:rsidTr="00440AFD">
        <w:trPr>
          <w:trHeight w:val="270"/>
          <w:jc w:val="center"/>
        </w:trPr>
        <w:tc>
          <w:tcPr>
            <w:tcW w:w="2625" w:type="dxa"/>
            <w:tcBorders>
              <w:top w:val="single" w:sz="4" w:space="0" w:color="auto"/>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泰信天天收益货币A</w:t>
            </w:r>
          </w:p>
        </w:tc>
        <w:tc>
          <w:tcPr>
            <w:tcW w:w="2460" w:type="dxa"/>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290001</w:t>
            </w:r>
          </w:p>
        </w:tc>
        <w:tc>
          <w:tcPr>
            <w:tcW w:w="901" w:type="dxa"/>
            <w:vMerge w:val="restart"/>
            <w:tcBorders>
              <w:top w:val="single" w:sz="4" w:space="0" w:color="auto"/>
              <w:left w:val="nil"/>
              <w:bottom w:val="single" w:sz="4" w:space="0" w:color="auto"/>
              <w:right w:val="single" w:sz="4" w:space="0" w:color="auto"/>
            </w:tcBorders>
            <w:vAlign w:val="center"/>
          </w:tcPr>
          <w:p w:rsidR="00483099" w:rsidRPr="00126200" w:rsidRDefault="00483099" w:rsidP="00440AFD">
            <w:pPr>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是</w:t>
            </w:r>
          </w:p>
        </w:tc>
        <w:tc>
          <w:tcPr>
            <w:tcW w:w="1097" w:type="dxa"/>
            <w:tcBorders>
              <w:top w:val="single" w:sz="4" w:space="0" w:color="auto"/>
              <w:left w:val="nil"/>
              <w:bottom w:val="single" w:sz="4" w:space="0" w:color="auto"/>
              <w:right w:val="nil"/>
            </w:tcBorders>
            <w:vAlign w:val="center"/>
          </w:tcPr>
          <w:p w:rsidR="00483099" w:rsidRPr="00126200" w:rsidRDefault="00483099" w:rsidP="00440AFD">
            <w:pPr>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10</w:t>
            </w:r>
          </w:p>
        </w:tc>
        <w:tc>
          <w:tcPr>
            <w:tcW w:w="1129" w:type="dxa"/>
            <w:vMerge w:val="restart"/>
            <w:tcBorders>
              <w:top w:val="single" w:sz="4" w:space="0" w:color="auto"/>
              <w:left w:val="nil"/>
              <w:bottom w:val="single" w:sz="4" w:space="0" w:color="auto"/>
              <w:right w:val="single" w:sz="4" w:space="0" w:color="auto"/>
            </w:tcBorders>
            <w:vAlign w:val="center"/>
          </w:tcPr>
          <w:p w:rsidR="00483099" w:rsidRPr="00126200" w:rsidRDefault="00483099" w:rsidP="009F7FD8">
            <w:pPr>
              <w:jc w:val="left"/>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申购、定投享受费率最低1折优惠,各基金具体折扣后费率及费率优惠活</w:t>
            </w:r>
            <w:r w:rsidRPr="00126200">
              <w:rPr>
                <w:rFonts w:ascii="仿宋" w:eastAsia="仿宋" w:hAnsi="仿宋" w:cs="宋体" w:hint="eastAsia"/>
                <w:color w:val="000000"/>
                <w:kern w:val="0"/>
                <w:sz w:val="24"/>
                <w:szCs w:val="24"/>
              </w:rPr>
              <w:lastRenderedPageBreak/>
              <w:t>动期限以</w:t>
            </w:r>
            <w:r w:rsidR="009F7FD8" w:rsidRPr="00126200">
              <w:rPr>
                <w:rFonts w:ascii="仿宋" w:eastAsia="仿宋" w:hAnsi="仿宋" w:cs="宋体" w:hint="eastAsia"/>
                <w:color w:val="000000"/>
                <w:kern w:val="0"/>
                <w:sz w:val="24"/>
                <w:szCs w:val="24"/>
              </w:rPr>
              <w:t>中证金牛</w:t>
            </w:r>
            <w:r w:rsidRPr="00126200">
              <w:rPr>
                <w:rFonts w:ascii="仿宋" w:eastAsia="仿宋" w:hAnsi="仿宋" w:cs="宋体" w:hint="eastAsia"/>
                <w:color w:val="000000"/>
                <w:kern w:val="0"/>
                <w:sz w:val="24"/>
                <w:szCs w:val="24"/>
              </w:rPr>
              <w:t>公示为准</w:t>
            </w:r>
          </w:p>
        </w:tc>
      </w:tr>
      <w:tr w:rsidR="00483099" w:rsidRPr="00126200" w:rsidTr="00440AFD">
        <w:trPr>
          <w:trHeight w:val="270"/>
          <w:jc w:val="center"/>
        </w:trPr>
        <w:tc>
          <w:tcPr>
            <w:tcW w:w="2625" w:type="dxa"/>
            <w:tcBorders>
              <w:top w:val="single" w:sz="4" w:space="0" w:color="auto"/>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泰信天天收益货币B</w:t>
            </w:r>
          </w:p>
        </w:tc>
        <w:tc>
          <w:tcPr>
            <w:tcW w:w="2460" w:type="dxa"/>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002234</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1097" w:type="dxa"/>
            <w:tcBorders>
              <w:top w:val="single" w:sz="4" w:space="0" w:color="auto"/>
              <w:left w:val="nil"/>
              <w:bottom w:val="single" w:sz="4" w:space="0" w:color="auto"/>
              <w:right w:val="nil"/>
            </w:tcBorders>
            <w:vAlign w:val="center"/>
          </w:tcPr>
          <w:p w:rsidR="00483099" w:rsidRPr="00126200" w:rsidRDefault="00483099" w:rsidP="00440AFD">
            <w:pPr>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否</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泰信先行策略混合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290002</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1097" w:type="dxa"/>
            <w:vMerge w:val="restart"/>
            <w:tcBorders>
              <w:top w:val="single" w:sz="4" w:space="0" w:color="auto"/>
              <w:left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color w:val="000000"/>
                <w:kern w:val="0"/>
                <w:sz w:val="24"/>
                <w:szCs w:val="24"/>
              </w:rPr>
              <w:t>10</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泰信双息双利债券</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290003</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泰信优质生活混合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290004</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泰信优势增长混合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290005</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泰信蓝筹精选混合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290006</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泰信增强收益债券</w:t>
            </w:r>
          </w:p>
        </w:tc>
        <w:tc>
          <w:tcPr>
            <w:tcW w:w="2460" w:type="dxa"/>
            <w:tcBorders>
              <w:top w:val="nil"/>
              <w:left w:val="nil"/>
              <w:bottom w:val="single" w:sz="4" w:space="0" w:color="auto"/>
              <w:right w:val="single" w:sz="4" w:space="0" w:color="auto"/>
            </w:tcBorders>
            <w:vAlign w:val="center"/>
          </w:tcPr>
          <w:p w:rsidR="00126200" w:rsidRDefault="00126200" w:rsidP="00440AFD">
            <w:pPr>
              <w:widowControl/>
              <w:jc w:val="center"/>
              <w:rPr>
                <w:rFonts w:ascii="仿宋" w:eastAsia="仿宋" w:hAnsi="仿宋" w:cs="宋体"/>
                <w:color w:val="000000"/>
                <w:kern w:val="0"/>
                <w:sz w:val="24"/>
                <w:szCs w:val="24"/>
              </w:rPr>
            </w:pPr>
            <w:r>
              <w:rPr>
                <w:rFonts w:ascii="仿宋" w:eastAsia="仿宋" w:hAnsi="仿宋" w:cs="宋体"/>
                <w:color w:val="000000"/>
                <w:kern w:val="0"/>
                <w:sz w:val="24"/>
                <w:szCs w:val="24"/>
              </w:rPr>
              <w:t xml:space="preserve"> </w:t>
            </w:r>
            <w:r w:rsidR="00483099" w:rsidRPr="00126200">
              <w:rPr>
                <w:rFonts w:ascii="仿宋" w:eastAsia="仿宋" w:hAnsi="仿宋" w:cs="宋体" w:hint="eastAsia"/>
                <w:color w:val="000000"/>
                <w:kern w:val="0"/>
                <w:sz w:val="24"/>
                <w:szCs w:val="24"/>
              </w:rPr>
              <w:t>A类：290007</w:t>
            </w:r>
          </w:p>
          <w:p w:rsidR="00483099" w:rsidRPr="00126200" w:rsidRDefault="00126200" w:rsidP="00440AFD">
            <w:pPr>
              <w:widowControl/>
              <w:jc w:val="center"/>
              <w:rPr>
                <w:rFonts w:ascii="仿宋" w:eastAsia="仿宋" w:hAnsi="仿宋" w:cs="宋体"/>
                <w:color w:val="000000"/>
                <w:kern w:val="0"/>
                <w:sz w:val="24"/>
                <w:szCs w:val="24"/>
              </w:rPr>
            </w:pPr>
            <w:r>
              <w:rPr>
                <w:rFonts w:ascii="仿宋" w:eastAsia="仿宋" w:hAnsi="仿宋" w:cs="宋体"/>
                <w:color w:val="000000"/>
                <w:kern w:val="0"/>
                <w:sz w:val="24"/>
                <w:szCs w:val="24"/>
              </w:rPr>
              <w:t xml:space="preserve"> </w:t>
            </w:r>
            <w:r w:rsidR="00483099" w:rsidRPr="00126200">
              <w:rPr>
                <w:rFonts w:ascii="仿宋" w:eastAsia="仿宋" w:hAnsi="仿宋" w:cs="宋体" w:hint="eastAsia"/>
                <w:color w:val="000000"/>
                <w:kern w:val="0"/>
                <w:sz w:val="24"/>
                <w:szCs w:val="24"/>
              </w:rPr>
              <w:t>C类：291007</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泰信发展主题混合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290008</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126200">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lastRenderedPageBreak/>
              <w:t>泰信</w:t>
            </w:r>
            <w:r w:rsidR="00126200" w:rsidRPr="00126200">
              <w:rPr>
                <w:rFonts w:ascii="仿宋" w:eastAsia="仿宋" w:hAnsi="仿宋" w:cs="宋体" w:hint="eastAsia"/>
                <w:color w:val="000000"/>
                <w:kern w:val="0"/>
                <w:sz w:val="24"/>
                <w:szCs w:val="24"/>
              </w:rPr>
              <w:t>债券</w:t>
            </w:r>
            <w:r w:rsidRPr="00126200">
              <w:rPr>
                <w:rFonts w:ascii="仿宋" w:eastAsia="仿宋" w:hAnsi="仿宋" w:cs="宋体" w:hint="eastAsia"/>
                <w:color w:val="000000"/>
                <w:kern w:val="0"/>
                <w:sz w:val="24"/>
                <w:szCs w:val="24"/>
              </w:rPr>
              <w:t>周期回报</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290009</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lastRenderedPageBreak/>
              <w:t>泰信中证200指数</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290010</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left w:val="single" w:sz="4" w:space="0" w:color="auto"/>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泰信基本面400（LOF）</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162907</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color w:val="000000"/>
                <w:kern w:val="0"/>
                <w:sz w:val="24"/>
                <w:szCs w:val="24"/>
              </w:rPr>
              <w:t>500</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泰信中小盘精选混合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290011</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val="restart"/>
            <w:tcBorders>
              <w:top w:val="single" w:sz="4" w:space="0" w:color="auto"/>
              <w:left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color w:val="000000"/>
                <w:kern w:val="0"/>
                <w:sz w:val="24"/>
                <w:szCs w:val="24"/>
              </w:rPr>
              <w:t>10</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泰信行业精选混合A</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290012</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left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泰信现代服务业混合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290014</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left w:val="single" w:sz="4" w:space="0" w:color="auto"/>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泰信鑫益定期开放债券</w:t>
            </w:r>
          </w:p>
        </w:tc>
        <w:tc>
          <w:tcPr>
            <w:tcW w:w="2460" w:type="dxa"/>
            <w:tcBorders>
              <w:top w:val="nil"/>
              <w:left w:val="nil"/>
              <w:bottom w:val="single" w:sz="4" w:space="0" w:color="auto"/>
              <w:right w:val="single" w:sz="4" w:space="0" w:color="auto"/>
            </w:tcBorders>
            <w:vAlign w:val="center"/>
          </w:tcPr>
          <w:p w:rsid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A类：000212</w:t>
            </w:r>
            <w:r w:rsidR="00126200">
              <w:rPr>
                <w:rFonts w:ascii="仿宋" w:eastAsia="仿宋" w:hAnsi="仿宋" w:cs="宋体" w:hint="eastAsia"/>
                <w:color w:val="000000"/>
                <w:kern w:val="0"/>
                <w:sz w:val="24"/>
                <w:szCs w:val="24"/>
              </w:rPr>
              <w:t xml:space="preserve"> </w:t>
            </w:r>
          </w:p>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C类：000213</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否</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泰信国策驱动混合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001569</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1097" w:type="dxa"/>
            <w:tcBorders>
              <w:top w:val="single" w:sz="4" w:space="0" w:color="auto"/>
              <w:left w:val="single" w:sz="4" w:space="0" w:color="auto"/>
              <w:bottom w:val="nil"/>
              <w:right w:val="single" w:sz="4" w:space="0" w:color="auto"/>
            </w:tcBorders>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泰信鑫选混合A</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001970</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1097" w:type="dxa"/>
            <w:tcBorders>
              <w:top w:val="nil"/>
              <w:left w:val="single" w:sz="4" w:space="0" w:color="auto"/>
              <w:bottom w:val="nil"/>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10</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泰信互联网+混合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001978</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1097" w:type="dxa"/>
            <w:tcBorders>
              <w:top w:val="nil"/>
              <w:left w:val="single" w:sz="4" w:space="0" w:color="auto"/>
              <w:bottom w:val="nil"/>
              <w:right w:val="single" w:sz="4" w:space="0" w:color="auto"/>
            </w:tcBorders>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泰信智选成长</w:t>
            </w:r>
            <w:r w:rsidR="00126200">
              <w:rPr>
                <w:rFonts w:ascii="仿宋" w:eastAsia="仿宋" w:hAnsi="仿宋" w:cs="宋体" w:hint="eastAsia"/>
                <w:color w:val="000000"/>
                <w:kern w:val="0"/>
                <w:sz w:val="24"/>
                <w:szCs w:val="24"/>
              </w:rPr>
              <w:t>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003333</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1097" w:type="dxa"/>
            <w:tcBorders>
              <w:top w:val="nil"/>
              <w:left w:val="single" w:sz="4" w:space="0" w:color="auto"/>
              <w:bottom w:val="nil"/>
              <w:right w:val="single" w:sz="4" w:space="0" w:color="auto"/>
            </w:tcBorders>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泰信鑫利混合</w:t>
            </w:r>
          </w:p>
        </w:tc>
        <w:tc>
          <w:tcPr>
            <w:tcW w:w="2460" w:type="dxa"/>
            <w:tcBorders>
              <w:top w:val="nil"/>
              <w:left w:val="nil"/>
              <w:bottom w:val="single" w:sz="4" w:space="0" w:color="auto"/>
              <w:right w:val="single" w:sz="4" w:space="0" w:color="auto"/>
            </w:tcBorders>
            <w:vAlign w:val="center"/>
          </w:tcPr>
          <w:p w:rsidR="003A2374"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A类：004227</w:t>
            </w:r>
          </w:p>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C类：004228</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1097" w:type="dxa"/>
            <w:tcBorders>
              <w:top w:val="nil"/>
              <w:left w:val="single" w:sz="4" w:space="0" w:color="auto"/>
              <w:bottom w:val="nil"/>
              <w:right w:val="single" w:sz="4" w:space="0" w:color="auto"/>
            </w:tcBorders>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r w:rsidR="00483099" w:rsidRPr="00126200" w:rsidTr="00440AFD">
        <w:trPr>
          <w:trHeight w:val="270"/>
          <w:jc w:val="center"/>
        </w:trPr>
        <w:tc>
          <w:tcPr>
            <w:tcW w:w="2625" w:type="dxa"/>
            <w:tcBorders>
              <w:top w:val="nil"/>
              <w:left w:val="single" w:sz="4" w:space="0" w:color="auto"/>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泰信竞争优选混合</w:t>
            </w:r>
          </w:p>
        </w:tc>
        <w:tc>
          <w:tcPr>
            <w:tcW w:w="2460" w:type="dxa"/>
            <w:tcBorders>
              <w:top w:val="nil"/>
              <w:left w:val="nil"/>
              <w:bottom w:val="single" w:sz="4" w:space="0" w:color="auto"/>
              <w:right w:val="single" w:sz="4" w:space="0" w:color="auto"/>
            </w:tcBorders>
            <w:vAlign w:val="center"/>
          </w:tcPr>
          <w:p w:rsidR="00483099" w:rsidRPr="00126200" w:rsidRDefault="00483099" w:rsidP="00440AFD">
            <w:pPr>
              <w:widowControl/>
              <w:jc w:val="center"/>
              <w:rPr>
                <w:rFonts w:ascii="仿宋" w:eastAsia="仿宋" w:hAnsi="仿宋" w:cs="宋体"/>
                <w:color w:val="000000"/>
                <w:kern w:val="0"/>
                <w:sz w:val="24"/>
                <w:szCs w:val="24"/>
              </w:rPr>
            </w:pPr>
            <w:r w:rsidRPr="00126200">
              <w:rPr>
                <w:rFonts w:ascii="仿宋" w:eastAsia="仿宋" w:hAnsi="仿宋" w:cs="宋体" w:hint="eastAsia"/>
                <w:color w:val="000000"/>
                <w:kern w:val="0"/>
                <w:sz w:val="24"/>
                <w:szCs w:val="24"/>
              </w:rPr>
              <w:t>005535</w:t>
            </w: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c>
          <w:tcPr>
            <w:tcW w:w="1097" w:type="dxa"/>
            <w:tcBorders>
              <w:top w:val="nil"/>
              <w:left w:val="single" w:sz="4" w:space="0" w:color="auto"/>
              <w:bottom w:val="single" w:sz="4" w:space="0" w:color="auto"/>
              <w:right w:val="single" w:sz="4" w:space="0" w:color="auto"/>
            </w:tcBorders>
          </w:tcPr>
          <w:p w:rsidR="00483099" w:rsidRPr="00126200" w:rsidRDefault="00483099" w:rsidP="00440AFD">
            <w:pPr>
              <w:widowControl/>
              <w:jc w:val="left"/>
              <w:rPr>
                <w:rFonts w:ascii="仿宋" w:eastAsia="仿宋" w:hAnsi="仿宋" w:cs="宋体"/>
                <w:color w:val="000000"/>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483099" w:rsidRPr="00126200" w:rsidRDefault="00483099" w:rsidP="00440AFD">
            <w:pPr>
              <w:widowControl/>
              <w:jc w:val="left"/>
              <w:rPr>
                <w:rFonts w:ascii="仿宋" w:eastAsia="仿宋" w:hAnsi="仿宋" w:cs="宋体"/>
                <w:color w:val="000000"/>
                <w:kern w:val="0"/>
                <w:sz w:val="24"/>
                <w:szCs w:val="24"/>
              </w:rPr>
            </w:pPr>
          </w:p>
        </w:tc>
      </w:tr>
    </w:tbl>
    <w:p w:rsidR="00B63A68" w:rsidRPr="003A2374" w:rsidRDefault="00B63A68" w:rsidP="00B63A68">
      <w:pPr>
        <w:autoSpaceDE w:val="0"/>
        <w:autoSpaceDN w:val="0"/>
        <w:adjustRightInd w:val="0"/>
        <w:spacing w:line="360" w:lineRule="auto"/>
        <w:jc w:val="left"/>
        <w:rPr>
          <w:rFonts w:ascii="仿宋" w:eastAsia="仿宋" w:hAnsi="仿宋" w:cs="宋体"/>
          <w:color w:val="000000"/>
          <w:kern w:val="0"/>
          <w:sz w:val="24"/>
          <w:szCs w:val="24"/>
        </w:rPr>
      </w:pPr>
      <w:r w:rsidRPr="003A2374">
        <w:rPr>
          <w:rFonts w:ascii="仿宋" w:eastAsia="仿宋" w:hAnsi="仿宋" w:cs="宋体" w:hint="eastAsia"/>
          <w:color w:val="000000"/>
          <w:kern w:val="0"/>
          <w:sz w:val="24"/>
          <w:szCs w:val="24"/>
        </w:rPr>
        <w:t>注：1、泰信鑫益定期开放债券基金为定期开放式基金，不同基金份额类别（A类：000212、C类：000213）之间不得互相转换，本基金现处于封闭期，具体开放申购赎回时间以本公司发布相关业务公告为准。</w:t>
      </w:r>
    </w:p>
    <w:p w:rsidR="00B63A68" w:rsidRPr="003A2374" w:rsidRDefault="00B63A68" w:rsidP="00B63A68">
      <w:pPr>
        <w:autoSpaceDE w:val="0"/>
        <w:autoSpaceDN w:val="0"/>
        <w:adjustRightInd w:val="0"/>
        <w:spacing w:line="360" w:lineRule="auto"/>
        <w:ind w:firstLineChars="200" w:firstLine="480"/>
        <w:jc w:val="left"/>
        <w:rPr>
          <w:rFonts w:ascii="仿宋" w:eastAsia="仿宋" w:hAnsi="仿宋" w:cs="宋体"/>
          <w:color w:val="000000"/>
          <w:kern w:val="0"/>
          <w:sz w:val="24"/>
          <w:szCs w:val="24"/>
        </w:rPr>
      </w:pPr>
      <w:r w:rsidRPr="003A2374">
        <w:rPr>
          <w:rFonts w:ascii="仿宋" w:eastAsia="仿宋" w:hAnsi="仿宋" w:cs="宋体" w:hint="eastAsia"/>
          <w:color w:val="000000"/>
          <w:kern w:val="0"/>
          <w:sz w:val="24"/>
          <w:szCs w:val="24"/>
        </w:rPr>
        <w:t>2、泰信鑫利混合型证券投资基金不同基金份额类别（A类：004227、C类:004228）之间暂时不得互相转换。</w:t>
      </w:r>
    </w:p>
    <w:p w:rsidR="00B63A68" w:rsidRPr="003A2374" w:rsidRDefault="00B63A68" w:rsidP="00B63A68">
      <w:pPr>
        <w:autoSpaceDE w:val="0"/>
        <w:autoSpaceDN w:val="0"/>
        <w:adjustRightInd w:val="0"/>
        <w:spacing w:line="360" w:lineRule="auto"/>
        <w:ind w:firstLineChars="200" w:firstLine="480"/>
        <w:jc w:val="left"/>
        <w:rPr>
          <w:rFonts w:ascii="仿宋" w:eastAsia="仿宋" w:hAnsi="仿宋" w:cs="宋体"/>
          <w:color w:val="000000"/>
          <w:kern w:val="0"/>
          <w:sz w:val="24"/>
          <w:szCs w:val="24"/>
        </w:rPr>
      </w:pPr>
      <w:r w:rsidRPr="003A2374">
        <w:rPr>
          <w:rFonts w:ascii="仿宋" w:eastAsia="仿宋" w:hAnsi="仿宋" w:cs="宋体" w:hint="eastAsia"/>
          <w:color w:val="000000"/>
          <w:kern w:val="0"/>
          <w:sz w:val="24"/>
          <w:szCs w:val="24"/>
        </w:rPr>
        <w:t>3、泰信天天收益货币A（290001）与泰信天天收益货币B（002234）之间不得互相转换。</w:t>
      </w:r>
    </w:p>
    <w:p w:rsidR="00483099" w:rsidRPr="003A2374" w:rsidRDefault="00483099" w:rsidP="00B63A68">
      <w:pPr>
        <w:autoSpaceDE w:val="0"/>
        <w:autoSpaceDN w:val="0"/>
        <w:adjustRightInd w:val="0"/>
        <w:spacing w:line="360" w:lineRule="auto"/>
        <w:ind w:firstLineChars="200" w:firstLine="480"/>
        <w:jc w:val="left"/>
        <w:rPr>
          <w:rFonts w:ascii="仿宋" w:eastAsia="仿宋" w:hAnsi="仿宋" w:cs="宋体"/>
          <w:color w:val="000000"/>
          <w:kern w:val="0"/>
          <w:sz w:val="24"/>
          <w:szCs w:val="24"/>
        </w:rPr>
      </w:pPr>
      <w:r w:rsidRPr="003A2374">
        <w:rPr>
          <w:rFonts w:ascii="仿宋" w:eastAsia="仿宋" w:hAnsi="仿宋" w:cs="宋体"/>
          <w:color w:val="000000"/>
          <w:kern w:val="0"/>
          <w:sz w:val="24"/>
          <w:szCs w:val="24"/>
        </w:rPr>
        <w:lastRenderedPageBreak/>
        <w:t>4、</w:t>
      </w:r>
      <w:r w:rsidRPr="003A2374">
        <w:rPr>
          <w:rFonts w:ascii="仿宋" w:eastAsia="仿宋" w:hAnsi="仿宋" w:cs="宋体" w:hint="eastAsia"/>
          <w:color w:val="000000"/>
          <w:kern w:val="0"/>
          <w:sz w:val="24"/>
          <w:szCs w:val="24"/>
        </w:rPr>
        <w:t>除泰信天天收益货币B（002234）和泰信基本面400</w:t>
      </w:r>
      <w:r w:rsidR="003A2374">
        <w:rPr>
          <w:rFonts w:ascii="仿宋" w:eastAsia="仿宋" w:hAnsi="仿宋" w:cs="宋体" w:hint="eastAsia"/>
          <w:color w:val="000000"/>
          <w:kern w:val="0"/>
          <w:sz w:val="24"/>
          <w:szCs w:val="24"/>
        </w:rPr>
        <w:t>指数</w:t>
      </w:r>
      <w:r w:rsidRPr="003A2374">
        <w:rPr>
          <w:rFonts w:ascii="仿宋" w:eastAsia="仿宋" w:hAnsi="仿宋" w:cs="宋体" w:hint="eastAsia"/>
          <w:color w:val="000000"/>
          <w:kern w:val="0"/>
          <w:sz w:val="24"/>
          <w:szCs w:val="24"/>
        </w:rPr>
        <w:t>LOF（162907）之外，其他基金的普通申购起点金额均调整为10元。</w:t>
      </w:r>
    </w:p>
    <w:p w:rsidR="00B63A68" w:rsidRPr="00126200" w:rsidRDefault="00B63A68" w:rsidP="00B63A68">
      <w:pPr>
        <w:pStyle w:val="Default"/>
        <w:ind w:firstLineChars="200" w:firstLine="560"/>
        <w:rPr>
          <w:rFonts w:ascii="仿宋" w:eastAsia="仿宋" w:hAnsi="仿宋"/>
          <w:sz w:val="28"/>
          <w:szCs w:val="28"/>
        </w:rPr>
      </w:pPr>
      <w:r w:rsidRPr="00126200">
        <w:rPr>
          <w:rFonts w:ascii="仿宋" w:eastAsia="仿宋" w:hAnsi="仿宋" w:hint="eastAsia"/>
          <w:sz w:val="28"/>
          <w:szCs w:val="28"/>
        </w:rPr>
        <w:t>二、具体费率优惠情况</w:t>
      </w:r>
    </w:p>
    <w:p w:rsidR="00B63A68" w:rsidRPr="00126200" w:rsidRDefault="00B63A68" w:rsidP="00B63A68">
      <w:pPr>
        <w:pStyle w:val="Default"/>
        <w:ind w:firstLineChars="200" w:firstLine="560"/>
        <w:rPr>
          <w:rFonts w:ascii="仿宋" w:eastAsia="仿宋" w:hAnsi="仿宋"/>
          <w:sz w:val="28"/>
          <w:szCs w:val="28"/>
        </w:rPr>
      </w:pPr>
      <w:r w:rsidRPr="00126200">
        <w:rPr>
          <w:rFonts w:ascii="仿宋" w:eastAsia="仿宋" w:hAnsi="仿宋" w:hint="eastAsia"/>
          <w:sz w:val="28"/>
          <w:szCs w:val="28"/>
        </w:rPr>
        <w:t>投资者通过</w:t>
      </w:r>
      <w:r w:rsidR="006519D4" w:rsidRPr="00126200">
        <w:rPr>
          <w:rFonts w:ascii="仿宋" w:eastAsia="仿宋" w:hAnsi="仿宋" w:hint="eastAsia"/>
          <w:sz w:val="28"/>
          <w:szCs w:val="28"/>
        </w:rPr>
        <w:t>中证金牛</w:t>
      </w:r>
      <w:r w:rsidRPr="00126200">
        <w:rPr>
          <w:rFonts w:ascii="仿宋" w:eastAsia="仿宋" w:hAnsi="仿宋" w:hint="eastAsia"/>
          <w:sz w:val="28"/>
          <w:szCs w:val="28"/>
        </w:rPr>
        <w:t>的交易系统进行申购及定投上述基金的（仅限场外、前端模式），享受费率最低1折优惠，各基金具体折扣后费率及费率优惠活动期限以</w:t>
      </w:r>
      <w:r w:rsidR="006519D4" w:rsidRPr="00126200">
        <w:rPr>
          <w:rFonts w:ascii="仿宋" w:eastAsia="仿宋" w:hAnsi="仿宋" w:hint="eastAsia"/>
          <w:sz w:val="28"/>
          <w:szCs w:val="28"/>
        </w:rPr>
        <w:t>中证金牛</w:t>
      </w:r>
      <w:r w:rsidRPr="00126200">
        <w:rPr>
          <w:rFonts w:ascii="仿宋" w:eastAsia="仿宋" w:hAnsi="仿宋" w:hint="eastAsia"/>
          <w:sz w:val="28"/>
          <w:szCs w:val="28"/>
        </w:rPr>
        <w:t>公示为准。若原申购费率是固定费用的，则按固定费用执行，不再享有费率折扣。</w:t>
      </w:r>
    </w:p>
    <w:p w:rsidR="00B63A68" w:rsidRPr="00126200" w:rsidRDefault="00B63A68" w:rsidP="00B63A68">
      <w:pPr>
        <w:pStyle w:val="Default"/>
        <w:ind w:firstLineChars="200" w:firstLine="560"/>
        <w:rPr>
          <w:rFonts w:ascii="仿宋" w:eastAsia="仿宋" w:hAnsi="仿宋"/>
          <w:sz w:val="28"/>
          <w:szCs w:val="28"/>
        </w:rPr>
      </w:pPr>
      <w:r w:rsidRPr="00126200">
        <w:rPr>
          <w:rFonts w:ascii="仿宋" w:eastAsia="仿宋" w:hAnsi="仿宋" w:hint="eastAsia"/>
          <w:sz w:val="28"/>
          <w:szCs w:val="28"/>
        </w:rPr>
        <w:t>三、基金转换业务规则</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1.基金转换是指投资者在持有本公司发行的任一开放式基金后，可将其持有的基金份额直接转换成本公司管理的其它开放式基金的基金份额，而不需要先赎回已持有的基金份额，再申购目标基金的一种业务模式。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2.基金转换只能在同一销售机构进行。转换的两只基金必须都是该销售人代理的同一基金管理人管理的、在同一注册登记人处注册且已开通转换业务的基金。</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3.前端收费模式的开放式基金只能转换到前端收费模式的其他基金，后端收费模式的开放式基金可以转换到前端收费模式或后端收费模式的其他基金。</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4.投资者办理基金转换业务时，转出方的基金必须处于可赎回状态，转入方的基金必须处于可申购状态。</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5.基金转换的目标基金份额按新交易计算持有时间。基金转出视为赎回，转入视为申购。正常情况下，基金注册与过户登记人将在T+1</w:t>
      </w:r>
      <w:r w:rsidRPr="00126200">
        <w:rPr>
          <w:rFonts w:ascii="仿宋" w:eastAsia="仿宋" w:hAnsi="仿宋" w:hint="eastAsia"/>
          <w:sz w:val="28"/>
          <w:szCs w:val="28"/>
        </w:rPr>
        <w:lastRenderedPageBreak/>
        <w:t>日对投资者T日的基金转换业务申请进行有效性确认。在T＋2日后（包括该日）投资者可向销售机构查询基金转换的成交情况。基金转换后可赎回的时间为T＋2日后（包括该日）。</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6.基金分红时再投资的份额可在权益登记日的T＋2日提交基金转换申请。</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7.基金转换采取未知价法，即以申请受理当日各转出、转入基金的单位资产净值为基础进行计算。</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8. 基金转换费用由转出基金的赎回费、转出和转入基金的申购费补差构成。</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9.基金转换的具体计算公式如下：</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①转出金额=转出基金份额×转出基金T日基金份额净值</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Calibri" w:eastAsia="仿宋" w:hAnsi="Calibri" w:cs="Calibri"/>
          <w:sz w:val="28"/>
          <w:szCs w:val="28"/>
        </w:rPr>
        <w:t> </w:t>
      </w:r>
      <w:r w:rsidRPr="00126200">
        <w:rPr>
          <w:rFonts w:ascii="仿宋" w:eastAsia="仿宋" w:hAnsi="仿宋" w:hint="eastAsia"/>
          <w:sz w:val="28"/>
          <w:szCs w:val="28"/>
        </w:rPr>
        <w:t>②转出基金赎回费用=转出金额×转出基金赎回费率</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Calibri" w:eastAsia="仿宋" w:hAnsi="Calibri" w:cs="Calibri"/>
          <w:sz w:val="28"/>
          <w:szCs w:val="28"/>
        </w:rPr>
        <w:t> </w:t>
      </w:r>
      <w:r w:rsidRPr="00126200">
        <w:rPr>
          <w:rFonts w:ascii="仿宋" w:eastAsia="仿宋" w:hAnsi="仿宋" w:hint="eastAsia"/>
          <w:sz w:val="28"/>
          <w:szCs w:val="28"/>
        </w:rPr>
        <w:t>③转入金额=转出金额-转出基金赎回费用</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Calibri" w:eastAsia="仿宋" w:hAnsi="Calibri" w:cs="Calibri"/>
          <w:sz w:val="28"/>
          <w:szCs w:val="28"/>
        </w:rPr>
        <w:t> </w:t>
      </w:r>
      <w:r w:rsidRPr="00126200">
        <w:rPr>
          <w:rFonts w:ascii="仿宋" w:eastAsia="仿宋" w:hAnsi="仿宋" w:hint="eastAsia"/>
          <w:sz w:val="28"/>
          <w:szCs w:val="28"/>
        </w:rPr>
        <w:t>④转入基金申购费=转入金额/(1+转入基金申购费率)×转入基金申购费率</w:t>
      </w:r>
    </w:p>
    <w:p w:rsidR="00B63A68" w:rsidRPr="00126200" w:rsidRDefault="00B63A68" w:rsidP="00B63A68">
      <w:pPr>
        <w:autoSpaceDE w:val="0"/>
        <w:autoSpaceDN w:val="0"/>
        <w:adjustRightInd w:val="0"/>
        <w:ind w:firstLineChars="300" w:firstLine="840"/>
        <w:jc w:val="left"/>
        <w:rPr>
          <w:rFonts w:ascii="仿宋" w:eastAsia="仿宋" w:hAnsi="仿宋"/>
          <w:sz w:val="28"/>
          <w:szCs w:val="28"/>
        </w:rPr>
      </w:pPr>
      <w:r w:rsidRPr="00126200">
        <w:rPr>
          <w:rFonts w:ascii="仿宋" w:eastAsia="仿宋" w:hAnsi="仿宋" w:hint="eastAsia"/>
          <w:sz w:val="28"/>
          <w:szCs w:val="28"/>
        </w:rPr>
        <w:t>若转入基金申购费适用固定费用,则转入基金申购费=转入基金固定申购费</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Calibri" w:eastAsia="仿宋" w:hAnsi="Calibri" w:cs="Calibri"/>
          <w:sz w:val="28"/>
          <w:szCs w:val="28"/>
        </w:rPr>
        <w:t> </w:t>
      </w:r>
      <w:r w:rsidRPr="00126200">
        <w:rPr>
          <w:rFonts w:ascii="仿宋" w:eastAsia="仿宋" w:hAnsi="仿宋" w:hint="eastAsia"/>
          <w:sz w:val="28"/>
          <w:szCs w:val="28"/>
        </w:rPr>
        <w:t>⑤转出基金申购费=转入金额/(1+转出基金申购费率)×转出基金申购费率</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Calibri" w:eastAsia="仿宋" w:hAnsi="Calibri" w:cs="Calibri"/>
          <w:sz w:val="28"/>
          <w:szCs w:val="28"/>
        </w:rPr>
        <w:t> </w:t>
      </w:r>
      <w:r w:rsidRPr="00126200">
        <w:rPr>
          <w:rFonts w:ascii="仿宋" w:eastAsia="仿宋" w:hAnsi="仿宋" w:hint="eastAsia"/>
          <w:sz w:val="28"/>
          <w:szCs w:val="28"/>
        </w:rPr>
        <w:t>若转出基金申购费适用固定费用,则转出基金申购费=转出基金固定申购费</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 xml:space="preserve">⑥补差费用=Max{(转入基金申购费-转出基金申购费)，0} </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⑦净转入金额=转入金额-补差费用</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⑧转入份额=净转入金额/转入基金T日基金份额净值</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注：公式中的“转出基金申购费”是在本次转换过程中按照转入金额重新计算的费用，仅用于计算补差费用，非转出基金份额在申购时实际支付的费用。</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例:某投资者欲将10万份泰信周期回报债券型证券投资基金（以下简称“泰信周期回报债券”）（持有7天-365天内）转换为泰信中小盘精选混合型证券投资基金（以下简称“泰信中小盘精选混合”）。泰信周期回报债券对应申请日份额净值假设为1.020元,对应申购费率为0.8%,对应赎回费率为0.1% 。泰信中小盘精选混合对应申请日份额净值假设为1.500元,对应申购费率为1.5% 。则该次转换投资者可得到的泰信中小盘精选混合份额计算方法为：</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①转出金额=100,000.00×1.020=102,000.00元</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②转出基金赎回费用=102,000.00×0.1%=102.00元</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③转入金额=102,000.00-102.00=101,898.00元</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④转入基金申购费=101,898.00/(1+1.5%)×1.5%=1,505.88元</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⑤转出基金申购费=101,898.00/(1+0.8%)×0.8%=808.71元</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⑥补差费用=转入基金申购费-转出基金申购费</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=1,505.88-808.71=697.17元</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⑦净转入金额=101,898.00-697.17=101,200.83元</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⑧转入份额=101,200.83/1.500=67,467.22份</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10.投资者采用“份额转换”的原则提交申请。基金转出份额必须是可用份额，并遵循“先进先出”的原则。已冻结份额不得申请转换。</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11.各基金的转换申请时间以其《基金合同》及《招募说明书》的相关规定为准，当日的转换申请可以在15:00以前在销售商处撤销，超过交易时间的申请作失败或下一日申请处理。</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12.基金转出的份额限制以其《基金合同》及《招募说明书》的相关规定为准，单笔转入申请不受转入基金最低申购限额限制。</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13.单个开放日基金净赎回份额及净转换转出申请份额之和超出上一开放日基金总份额的10%时，为巨额赎回（个别基金比例是否构成巨额赎回以具体的基金合同为准）。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14.出现下列情况之一时，基金管理人可以暂停基金转换业务：</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（1）不可抗力的原因导致基金无法正常运作。</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（2）证券交易场所在交易时间非正常停市，导致基金管理人无法计算当日基金份额净值。</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（3）因市场剧烈波动或其他原因而出现连续巨额赎回，基金管理人认为有必要暂停接受该基金份额转出申请。</w:t>
      </w:r>
    </w:p>
    <w:p w:rsidR="00B63A68" w:rsidRPr="00126200" w:rsidRDefault="00B63A68" w:rsidP="00B63A68">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（4）法律、法规、规章规定的其他情形或其他在《基金合同》、《招募说明书》已载明并获中国证监会批准的特殊情形。</w:t>
      </w:r>
    </w:p>
    <w:p w:rsidR="003A2374" w:rsidRPr="003A2374" w:rsidRDefault="00B63A68" w:rsidP="003A2374">
      <w:pPr>
        <w:autoSpaceDE w:val="0"/>
        <w:autoSpaceDN w:val="0"/>
        <w:adjustRightInd w:val="0"/>
        <w:ind w:firstLineChars="200" w:firstLine="560"/>
        <w:jc w:val="left"/>
        <w:rPr>
          <w:rFonts w:ascii="仿宋" w:eastAsia="仿宋" w:hAnsi="仿宋"/>
          <w:sz w:val="28"/>
          <w:szCs w:val="28"/>
        </w:rPr>
      </w:pPr>
      <w:r w:rsidRPr="00126200">
        <w:rPr>
          <w:rFonts w:ascii="仿宋" w:eastAsia="仿宋" w:hAnsi="仿宋" w:hint="eastAsia"/>
          <w:sz w:val="28"/>
          <w:szCs w:val="28"/>
        </w:rPr>
        <w:t>（5）</w:t>
      </w:r>
      <w:r w:rsidR="003A2374" w:rsidRPr="003A2374">
        <w:rPr>
          <w:rFonts w:ascii="仿宋" w:eastAsia="仿宋" w:hAnsi="仿宋" w:hint="eastAsia"/>
          <w:sz w:val="28"/>
          <w:szCs w:val="28"/>
        </w:rPr>
        <w:t>发生上述情形之一的，基金管理人应立即向证监会备案并于规定期限内在证监会指定媒介上刊登暂停公告。重新开放基金转换时，基金管理人应在证监会指定媒介上刊登重新开放基金转换的公告。</w:t>
      </w:r>
    </w:p>
    <w:p w:rsidR="00B63A68" w:rsidRPr="00126200"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126200">
        <w:rPr>
          <w:rFonts w:ascii="仿宋" w:eastAsia="仿宋" w:hAnsi="仿宋" w:cs="仿宋_GB2312" w:hint="eastAsia"/>
          <w:kern w:val="0"/>
          <w:sz w:val="28"/>
          <w:szCs w:val="28"/>
        </w:rPr>
        <w:t>四、其他事项</w:t>
      </w:r>
    </w:p>
    <w:p w:rsidR="00B63A68" w:rsidRPr="00126200"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126200">
        <w:rPr>
          <w:rFonts w:ascii="仿宋" w:eastAsia="仿宋" w:hAnsi="仿宋" w:cs="仿宋_GB2312" w:hint="eastAsia"/>
          <w:kern w:val="0"/>
          <w:sz w:val="28"/>
          <w:szCs w:val="28"/>
        </w:rPr>
        <w:t>1.投资者欲了解各基金产品的详细情况，请仔细阅读各基金的基金合同、招募说明书等法律文件。</w:t>
      </w:r>
    </w:p>
    <w:p w:rsidR="00B63A68" w:rsidRPr="00126200"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126200">
        <w:rPr>
          <w:rFonts w:ascii="仿宋" w:eastAsia="仿宋" w:hAnsi="仿宋" w:cs="仿宋_GB2312" w:hint="eastAsia"/>
          <w:kern w:val="0"/>
          <w:sz w:val="28"/>
          <w:szCs w:val="28"/>
        </w:rPr>
        <w:t>2.风险提示：本公司承诺以诚实信用、勤勉尽责的原则管理和运用基金财产，但不保证基金一定盈利，也不保证最低收益。投资者投资于本公司管理的基金时应认真阅读基金合同、招募说明书等文件。</w:t>
      </w:r>
    </w:p>
    <w:p w:rsidR="00B63A68" w:rsidRPr="00126200"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126200">
        <w:rPr>
          <w:rFonts w:ascii="仿宋" w:eastAsia="仿宋" w:hAnsi="仿宋" w:cs="仿宋_GB2312" w:hint="eastAsia"/>
          <w:kern w:val="0"/>
          <w:sz w:val="28"/>
          <w:szCs w:val="28"/>
        </w:rPr>
        <w:t>五、投资者可通过以下途径了解或咨询相关情况</w:t>
      </w:r>
    </w:p>
    <w:p w:rsidR="00B63A68" w:rsidRPr="00126200"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126200">
        <w:rPr>
          <w:rFonts w:ascii="仿宋" w:eastAsia="仿宋" w:hAnsi="仿宋" w:cs="仿宋_GB2312" w:hint="eastAsia"/>
          <w:kern w:val="0"/>
          <w:sz w:val="28"/>
          <w:szCs w:val="28"/>
        </w:rPr>
        <w:t>1、泰信基金管理有限公司</w:t>
      </w:r>
    </w:p>
    <w:p w:rsidR="00B63A68" w:rsidRPr="00126200"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126200">
        <w:rPr>
          <w:rFonts w:ascii="仿宋" w:eastAsia="仿宋" w:hAnsi="仿宋" w:cs="仿宋_GB2312" w:hint="eastAsia"/>
          <w:kern w:val="0"/>
          <w:sz w:val="28"/>
          <w:szCs w:val="28"/>
        </w:rPr>
        <w:t>客服电话：400-888-5988 021-38784566</w:t>
      </w:r>
    </w:p>
    <w:p w:rsidR="00B63A68" w:rsidRPr="00126200"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126200">
        <w:rPr>
          <w:rFonts w:ascii="仿宋" w:eastAsia="仿宋" w:hAnsi="仿宋" w:cs="仿宋_GB2312" w:hint="eastAsia"/>
          <w:kern w:val="0"/>
          <w:sz w:val="28"/>
          <w:szCs w:val="28"/>
        </w:rPr>
        <w:t>网址：</w:t>
      </w:r>
      <w:hyperlink r:id="rId6" w:history="1">
        <w:r w:rsidRPr="00126200">
          <w:rPr>
            <w:rStyle w:val="a3"/>
            <w:rFonts w:ascii="仿宋" w:eastAsia="仿宋" w:hAnsi="仿宋" w:cs="仿宋_GB2312" w:hint="eastAsia"/>
            <w:color w:val="auto"/>
            <w:kern w:val="0"/>
            <w:sz w:val="28"/>
            <w:szCs w:val="28"/>
            <w:u w:val="none"/>
          </w:rPr>
          <w:t>www.ftfund.com</w:t>
        </w:r>
      </w:hyperlink>
    </w:p>
    <w:p w:rsidR="00B63A68" w:rsidRPr="00126200"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126200">
        <w:rPr>
          <w:rFonts w:ascii="仿宋" w:eastAsia="仿宋" w:hAnsi="仿宋" w:cs="仿宋_GB2312" w:hint="eastAsia"/>
          <w:kern w:val="0"/>
          <w:sz w:val="28"/>
          <w:szCs w:val="28"/>
        </w:rPr>
        <w:t>2、</w:t>
      </w:r>
      <w:r w:rsidR="006519D4" w:rsidRPr="00126200">
        <w:rPr>
          <w:rFonts w:ascii="仿宋" w:eastAsia="仿宋" w:hAnsi="仿宋" w:cs="仿宋_GB2312" w:hint="eastAsia"/>
          <w:kern w:val="0"/>
          <w:sz w:val="28"/>
          <w:szCs w:val="28"/>
        </w:rPr>
        <w:t>中证金牛</w:t>
      </w:r>
      <w:r w:rsidR="006519D4" w:rsidRPr="00126200">
        <w:rPr>
          <w:rFonts w:ascii="仿宋" w:eastAsia="仿宋" w:hAnsi="仿宋" w:cs="仿宋_GB2312"/>
          <w:kern w:val="0"/>
          <w:sz w:val="28"/>
          <w:szCs w:val="28"/>
        </w:rPr>
        <w:t>(北京)投资咨询有限公司</w:t>
      </w:r>
    </w:p>
    <w:p w:rsidR="00B63A68" w:rsidRPr="00126200"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126200">
        <w:rPr>
          <w:rFonts w:ascii="仿宋" w:eastAsia="仿宋" w:hAnsi="仿宋" w:cs="仿宋_GB2312" w:hint="eastAsia"/>
          <w:kern w:val="0"/>
          <w:sz w:val="28"/>
          <w:szCs w:val="28"/>
        </w:rPr>
        <w:t>客服电话：400</w:t>
      </w:r>
      <w:r w:rsidR="00A53444" w:rsidRPr="00126200">
        <w:rPr>
          <w:rFonts w:ascii="仿宋" w:eastAsia="仿宋" w:hAnsi="仿宋" w:cs="仿宋_GB2312"/>
          <w:kern w:val="0"/>
          <w:sz w:val="28"/>
          <w:szCs w:val="28"/>
        </w:rPr>
        <w:t>8</w:t>
      </w:r>
      <w:r w:rsidRPr="00126200">
        <w:rPr>
          <w:rFonts w:ascii="仿宋" w:eastAsia="仿宋" w:hAnsi="仿宋" w:cs="仿宋_GB2312" w:hint="eastAsia"/>
          <w:kern w:val="0"/>
          <w:sz w:val="28"/>
          <w:szCs w:val="28"/>
        </w:rPr>
        <w:t>-</w:t>
      </w:r>
      <w:r w:rsidR="00A53444" w:rsidRPr="00126200">
        <w:rPr>
          <w:rFonts w:ascii="仿宋" w:eastAsia="仿宋" w:hAnsi="仿宋" w:cs="仿宋_GB2312"/>
          <w:kern w:val="0"/>
          <w:sz w:val="28"/>
          <w:szCs w:val="28"/>
        </w:rPr>
        <w:t>90</w:t>
      </w:r>
      <w:r w:rsidRPr="00126200">
        <w:rPr>
          <w:rFonts w:ascii="仿宋" w:eastAsia="仿宋" w:hAnsi="仿宋" w:cs="仿宋_GB2312"/>
          <w:kern w:val="0"/>
          <w:sz w:val="28"/>
          <w:szCs w:val="28"/>
        </w:rPr>
        <w:t>9</w:t>
      </w:r>
      <w:r w:rsidRPr="00126200">
        <w:rPr>
          <w:rFonts w:ascii="仿宋" w:eastAsia="仿宋" w:hAnsi="仿宋" w:cs="仿宋_GB2312" w:hint="eastAsia"/>
          <w:kern w:val="0"/>
          <w:sz w:val="28"/>
          <w:szCs w:val="28"/>
        </w:rPr>
        <w:t>-</w:t>
      </w:r>
      <w:r w:rsidRPr="00126200">
        <w:rPr>
          <w:rFonts w:ascii="仿宋" w:eastAsia="仿宋" w:hAnsi="仿宋" w:cs="仿宋_GB2312"/>
          <w:kern w:val="0"/>
          <w:sz w:val="28"/>
          <w:szCs w:val="28"/>
        </w:rPr>
        <w:t>9</w:t>
      </w:r>
      <w:r w:rsidR="005746BC" w:rsidRPr="00126200">
        <w:rPr>
          <w:rFonts w:ascii="仿宋" w:eastAsia="仿宋" w:hAnsi="仿宋" w:cs="仿宋_GB2312"/>
          <w:kern w:val="0"/>
          <w:sz w:val="28"/>
          <w:szCs w:val="28"/>
        </w:rPr>
        <w:t>9</w:t>
      </w:r>
      <w:r w:rsidRPr="00126200">
        <w:rPr>
          <w:rFonts w:ascii="仿宋" w:eastAsia="仿宋" w:hAnsi="仿宋" w:cs="仿宋_GB2312"/>
          <w:kern w:val="0"/>
          <w:sz w:val="28"/>
          <w:szCs w:val="28"/>
        </w:rPr>
        <w:t>8</w:t>
      </w:r>
    </w:p>
    <w:p w:rsidR="006519D4" w:rsidRPr="003A2374"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3A2374">
        <w:rPr>
          <w:rFonts w:ascii="仿宋" w:eastAsia="仿宋" w:hAnsi="仿宋" w:cs="仿宋_GB2312" w:hint="eastAsia"/>
          <w:kern w:val="0"/>
          <w:sz w:val="28"/>
          <w:szCs w:val="28"/>
        </w:rPr>
        <w:t>网址：</w:t>
      </w:r>
      <w:hyperlink r:id="rId7" w:history="1">
        <w:r w:rsidR="006519D4" w:rsidRPr="003A2374">
          <w:rPr>
            <w:rStyle w:val="a3"/>
            <w:rFonts w:ascii="仿宋" w:eastAsia="仿宋" w:hAnsi="仿宋" w:cs="仿宋_GB2312"/>
            <w:color w:val="auto"/>
            <w:kern w:val="0"/>
            <w:sz w:val="28"/>
            <w:szCs w:val="28"/>
            <w:u w:val="none"/>
          </w:rPr>
          <w:t>www.jnlc.com</w:t>
        </w:r>
      </w:hyperlink>
    </w:p>
    <w:p w:rsidR="00B63A68" w:rsidRPr="00126200" w:rsidRDefault="00B63A68" w:rsidP="00B63A68">
      <w:pPr>
        <w:autoSpaceDE w:val="0"/>
        <w:autoSpaceDN w:val="0"/>
        <w:adjustRightInd w:val="0"/>
        <w:ind w:firstLineChars="200" w:firstLine="560"/>
        <w:jc w:val="left"/>
        <w:rPr>
          <w:rFonts w:ascii="仿宋" w:eastAsia="仿宋" w:hAnsi="仿宋" w:cs="仿宋_GB2312"/>
          <w:kern w:val="0"/>
          <w:sz w:val="28"/>
          <w:szCs w:val="28"/>
        </w:rPr>
      </w:pPr>
      <w:r w:rsidRPr="00126200">
        <w:rPr>
          <w:rFonts w:ascii="仿宋" w:eastAsia="仿宋" w:hAnsi="仿宋" w:cs="仿宋_GB2312" w:hint="eastAsia"/>
          <w:kern w:val="0"/>
          <w:sz w:val="28"/>
          <w:szCs w:val="28"/>
        </w:rPr>
        <w:t>特此公告。</w:t>
      </w:r>
    </w:p>
    <w:p w:rsidR="00B63A68" w:rsidRPr="00126200" w:rsidRDefault="00B63A68" w:rsidP="00B63A68">
      <w:pPr>
        <w:autoSpaceDE w:val="0"/>
        <w:autoSpaceDN w:val="0"/>
        <w:adjustRightInd w:val="0"/>
        <w:jc w:val="right"/>
        <w:rPr>
          <w:rFonts w:ascii="仿宋" w:eastAsia="仿宋" w:hAnsi="仿宋" w:cs="仿宋_GB2312"/>
          <w:kern w:val="0"/>
          <w:sz w:val="28"/>
          <w:szCs w:val="28"/>
        </w:rPr>
      </w:pPr>
      <w:r w:rsidRPr="00126200">
        <w:rPr>
          <w:rFonts w:ascii="仿宋" w:eastAsia="仿宋" w:hAnsi="仿宋" w:cs="仿宋_GB2312" w:hint="eastAsia"/>
          <w:kern w:val="0"/>
          <w:sz w:val="28"/>
          <w:szCs w:val="28"/>
        </w:rPr>
        <w:t xml:space="preserve">　 　 泰信基金管理有限公司</w:t>
      </w:r>
    </w:p>
    <w:p w:rsidR="00B63A68" w:rsidRPr="00126200" w:rsidRDefault="00B63A68" w:rsidP="00B63A68">
      <w:pPr>
        <w:ind w:right="140"/>
        <w:jc w:val="right"/>
        <w:rPr>
          <w:rFonts w:ascii="仿宋" w:eastAsia="仿宋" w:hAnsi="仿宋"/>
        </w:rPr>
      </w:pPr>
      <w:r w:rsidRPr="00126200">
        <w:rPr>
          <w:rFonts w:ascii="仿宋" w:eastAsia="仿宋" w:hAnsi="仿宋" w:cs="仿宋_GB2312" w:hint="eastAsia"/>
          <w:kern w:val="0"/>
          <w:sz w:val="28"/>
          <w:szCs w:val="28"/>
        </w:rPr>
        <w:t>2020年</w:t>
      </w:r>
      <w:r w:rsidR="006519D4" w:rsidRPr="00126200">
        <w:rPr>
          <w:rFonts w:ascii="仿宋" w:eastAsia="仿宋" w:hAnsi="仿宋" w:cs="仿宋_GB2312"/>
          <w:kern w:val="0"/>
          <w:sz w:val="28"/>
          <w:szCs w:val="28"/>
        </w:rPr>
        <w:t>12</w:t>
      </w:r>
      <w:r w:rsidRPr="00126200">
        <w:rPr>
          <w:rFonts w:ascii="仿宋" w:eastAsia="仿宋" w:hAnsi="仿宋" w:cs="仿宋_GB2312" w:hint="eastAsia"/>
          <w:kern w:val="0"/>
          <w:sz w:val="28"/>
          <w:szCs w:val="28"/>
        </w:rPr>
        <w:t>月</w:t>
      </w:r>
      <w:r w:rsidR="00814DA7">
        <w:rPr>
          <w:rFonts w:ascii="仿宋" w:eastAsia="仿宋" w:hAnsi="仿宋" w:cs="仿宋_GB2312"/>
          <w:kern w:val="0"/>
          <w:sz w:val="28"/>
          <w:szCs w:val="28"/>
        </w:rPr>
        <w:t>30</w:t>
      </w:r>
      <w:r w:rsidRPr="00126200">
        <w:rPr>
          <w:rFonts w:ascii="仿宋" w:eastAsia="仿宋" w:hAnsi="仿宋" w:cs="仿宋_GB2312" w:hint="eastAsia"/>
          <w:kern w:val="0"/>
          <w:sz w:val="28"/>
          <w:szCs w:val="28"/>
        </w:rPr>
        <w:t>日</w:t>
      </w:r>
    </w:p>
    <w:p w:rsidR="00B63A68" w:rsidRPr="00126200" w:rsidRDefault="00B63A68" w:rsidP="00B63A68">
      <w:pPr>
        <w:rPr>
          <w:rFonts w:ascii="仿宋" w:eastAsia="仿宋" w:hAnsi="仿宋"/>
        </w:rPr>
      </w:pPr>
    </w:p>
    <w:p w:rsidR="00B63A68" w:rsidRPr="00126200" w:rsidRDefault="00B63A68" w:rsidP="00B63A68">
      <w:pPr>
        <w:rPr>
          <w:rFonts w:ascii="仿宋" w:eastAsia="仿宋" w:hAnsi="仿宋"/>
        </w:rPr>
      </w:pPr>
    </w:p>
    <w:p w:rsidR="007D39B0" w:rsidRPr="00126200" w:rsidRDefault="007D39B0">
      <w:pPr>
        <w:rPr>
          <w:rFonts w:ascii="仿宋" w:eastAsia="仿宋" w:hAnsi="仿宋"/>
        </w:rPr>
      </w:pPr>
    </w:p>
    <w:sectPr w:rsidR="007D39B0" w:rsidRPr="00126200" w:rsidSect="00C74D2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B3" w:rsidRDefault="00EB5CB3" w:rsidP="005746BC">
      <w:r>
        <w:separator/>
      </w:r>
    </w:p>
  </w:endnote>
  <w:endnote w:type="continuationSeparator" w:id="0">
    <w:p w:rsidR="00EB5CB3" w:rsidRDefault="00EB5CB3" w:rsidP="005746B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954720"/>
      <w:docPartObj>
        <w:docPartGallery w:val="Page Numbers (Bottom of Page)"/>
        <w:docPartUnique/>
      </w:docPartObj>
    </w:sdtPr>
    <w:sdtContent>
      <w:p w:rsidR="00A26958" w:rsidRDefault="00C74D2B">
        <w:pPr>
          <w:pStyle w:val="a6"/>
          <w:jc w:val="center"/>
        </w:pPr>
        <w:r>
          <w:fldChar w:fldCharType="begin"/>
        </w:r>
        <w:r w:rsidR="00A26958">
          <w:instrText>PAGE   \* MERGEFORMAT</w:instrText>
        </w:r>
        <w:r>
          <w:fldChar w:fldCharType="separate"/>
        </w:r>
        <w:r w:rsidR="00871ECB" w:rsidRPr="00871ECB">
          <w:rPr>
            <w:noProof/>
            <w:lang w:val="zh-CN"/>
          </w:rPr>
          <w:t>1</w:t>
        </w:r>
        <w:r>
          <w:fldChar w:fldCharType="end"/>
        </w:r>
      </w:p>
    </w:sdtContent>
  </w:sdt>
  <w:p w:rsidR="00A26958" w:rsidRDefault="00A269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B3" w:rsidRDefault="00EB5CB3" w:rsidP="005746BC">
      <w:r>
        <w:separator/>
      </w:r>
    </w:p>
  </w:footnote>
  <w:footnote w:type="continuationSeparator" w:id="0">
    <w:p w:rsidR="00EB5CB3" w:rsidRDefault="00EB5CB3" w:rsidP="00574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475"/>
    <w:rsid w:val="00126200"/>
    <w:rsid w:val="001728CD"/>
    <w:rsid w:val="001E235F"/>
    <w:rsid w:val="002364B7"/>
    <w:rsid w:val="003A2374"/>
    <w:rsid w:val="003C0C6A"/>
    <w:rsid w:val="00483099"/>
    <w:rsid w:val="005115CD"/>
    <w:rsid w:val="00523288"/>
    <w:rsid w:val="005746BC"/>
    <w:rsid w:val="006519D4"/>
    <w:rsid w:val="006C2201"/>
    <w:rsid w:val="0077452B"/>
    <w:rsid w:val="00786119"/>
    <w:rsid w:val="007D39B0"/>
    <w:rsid w:val="00814DA7"/>
    <w:rsid w:val="0082737E"/>
    <w:rsid w:val="00867DDD"/>
    <w:rsid w:val="00871ECB"/>
    <w:rsid w:val="009F7FD8"/>
    <w:rsid w:val="00A26958"/>
    <w:rsid w:val="00A53444"/>
    <w:rsid w:val="00B63A68"/>
    <w:rsid w:val="00C33475"/>
    <w:rsid w:val="00C53538"/>
    <w:rsid w:val="00C74D2B"/>
    <w:rsid w:val="00E4740E"/>
    <w:rsid w:val="00E77BDB"/>
    <w:rsid w:val="00EB5CB3"/>
    <w:rsid w:val="00F30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3A68"/>
    <w:rPr>
      <w:color w:val="0000FF"/>
      <w:u w:val="single"/>
    </w:rPr>
  </w:style>
  <w:style w:type="paragraph" w:styleId="a4">
    <w:name w:val="List Paragraph"/>
    <w:basedOn w:val="a"/>
    <w:uiPriority w:val="34"/>
    <w:qFormat/>
    <w:rsid w:val="00B63A68"/>
    <w:pPr>
      <w:ind w:firstLineChars="200" w:firstLine="420"/>
    </w:pPr>
  </w:style>
  <w:style w:type="paragraph" w:customStyle="1" w:styleId="Default">
    <w:name w:val="Default"/>
    <w:rsid w:val="00B63A68"/>
    <w:pPr>
      <w:widowControl w:val="0"/>
      <w:autoSpaceDE w:val="0"/>
      <w:autoSpaceDN w:val="0"/>
      <w:adjustRightInd w:val="0"/>
    </w:pPr>
    <w:rPr>
      <w:rFonts w:ascii="仿宋_GB2312" w:eastAsia="仿宋_GB2312" w:cs="仿宋_GB2312"/>
      <w:color w:val="000000"/>
      <w:kern w:val="0"/>
      <w:sz w:val="24"/>
      <w:szCs w:val="24"/>
    </w:rPr>
  </w:style>
  <w:style w:type="character" w:customStyle="1" w:styleId="UnresolvedMention">
    <w:name w:val="Unresolved Mention"/>
    <w:basedOn w:val="a0"/>
    <w:uiPriority w:val="99"/>
    <w:semiHidden/>
    <w:unhideWhenUsed/>
    <w:rsid w:val="006519D4"/>
    <w:rPr>
      <w:color w:val="605E5C"/>
      <w:shd w:val="clear" w:color="auto" w:fill="E1DFDD"/>
    </w:rPr>
  </w:style>
  <w:style w:type="paragraph" w:styleId="a5">
    <w:name w:val="header"/>
    <w:basedOn w:val="a"/>
    <w:link w:val="Char"/>
    <w:uiPriority w:val="99"/>
    <w:unhideWhenUsed/>
    <w:rsid w:val="00574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46BC"/>
    <w:rPr>
      <w:sz w:val="18"/>
      <w:szCs w:val="18"/>
    </w:rPr>
  </w:style>
  <w:style w:type="paragraph" w:styleId="a6">
    <w:name w:val="footer"/>
    <w:basedOn w:val="a"/>
    <w:link w:val="Char0"/>
    <w:uiPriority w:val="99"/>
    <w:unhideWhenUsed/>
    <w:rsid w:val="005746BC"/>
    <w:pPr>
      <w:tabs>
        <w:tab w:val="center" w:pos="4153"/>
        <w:tab w:val="right" w:pos="8306"/>
      </w:tabs>
      <w:snapToGrid w:val="0"/>
      <w:jc w:val="left"/>
    </w:pPr>
    <w:rPr>
      <w:sz w:val="18"/>
      <w:szCs w:val="18"/>
    </w:rPr>
  </w:style>
  <w:style w:type="character" w:customStyle="1" w:styleId="Char0">
    <w:name w:val="页脚 Char"/>
    <w:basedOn w:val="a0"/>
    <w:link w:val="a6"/>
    <w:uiPriority w:val="99"/>
    <w:rsid w:val="005746BC"/>
    <w:rPr>
      <w:sz w:val="18"/>
      <w:szCs w:val="18"/>
    </w:rPr>
  </w:style>
  <w:style w:type="paragraph" w:styleId="a7">
    <w:name w:val="Balloon Text"/>
    <w:basedOn w:val="a"/>
    <w:link w:val="Char1"/>
    <w:uiPriority w:val="99"/>
    <w:semiHidden/>
    <w:unhideWhenUsed/>
    <w:rsid w:val="00E77BDB"/>
    <w:rPr>
      <w:sz w:val="18"/>
      <w:szCs w:val="18"/>
    </w:rPr>
  </w:style>
  <w:style w:type="character" w:customStyle="1" w:styleId="Char1">
    <w:name w:val="批注框文本 Char"/>
    <w:basedOn w:val="a0"/>
    <w:link w:val="a7"/>
    <w:uiPriority w:val="99"/>
    <w:semiHidden/>
    <w:rsid w:val="00E77BDB"/>
    <w:rPr>
      <w:sz w:val="18"/>
      <w:szCs w:val="18"/>
    </w:rPr>
  </w:style>
</w:styles>
</file>

<file path=word/webSettings.xml><?xml version="1.0" encoding="utf-8"?>
<w:webSettings xmlns:r="http://schemas.openxmlformats.org/officeDocument/2006/relationships" xmlns:w="http://schemas.openxmlformats.org/wordprocessingml/2006/main">
  <w:divs>
    <w:div w:id="14727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nl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fu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3135</Characters>
  <Application>Microsoft Office Word</Application>
  <DocSecurity>4</DocSecurity>
  <Lines>26</Lines>
  <Paragraphs>7</Paragraphs>
  <ScaleCrop>false</ScaleCrop>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Mofey</dc:creator>
  <cp:keywords/>
  <dc:description/>
  <cp:lastModifiedBy>ZHONGM</cp:lastModifiedBy>
  <cp:revision>2</cp:revision>
  <cp:lastPrinted>2020-12-29T01:05:00Z</cp:lastPrinted>
  <dcterms:created xsi:type="dcterms:W3CDTF">2020-12-29T16:27:00Z</dcterms:created>
  <dcterms:modified xsi:type="dcterms:W3CDTF">2020-12-29T16:27:00Z</dcterms:modified>
</cp:coreProperties>
</file>