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FC" w:rsidRDefault="00973D95" w:rsidP="009113FC">
      <w:pPr>
        <w:jc w:val="center"/>
        <w:rPr>
          <w:rFonts w:ascii="黑体" w:eastAsia="黑体" w:hAnsi="黑体" w:cs="Times New Roman"/>
          <w:sz w:val="36"/>
          <w:szCs w:val="20"/>
        </w:rPr>
      </w:pPr>
      <w:r w:rsidRPr="00F62EDE">
        <w:rPr>
          <w:rFonts w:ascii="黑体" w:eastAsia="黑体" w:hAnsi="黑体" w:cs="Times New Roman" w:hint="eastAsia"/>
          <w:sz w:val="36"/>
          <w:szCs w:val="20"/>
        </w:rPr>
        <w:t>关于中融国证钢铁行业指数分级证券投资基金</w:t>
      </w:r>
    </w:p>
    <w:p w:rsidR="009113FC" w:rsidRDefault="00973D95" w:rsidP="009113FC">
      <w:pPr>
        <w:jc w:val="center"/>
        <w:rPr>
          <w:rFonts w:ascii="黑体" w:eastAsia="黑体" w:hAnsi="黑体" w:cs="Times New Roman"/>
          <w:sz w:val="36"/>
          <w:szCs w:val="20"/>
        </w:rPr>
      </w:pPr>
      <w:r w:rsidRPr="00F62EDE">
        <w:rPr>
          <w:rFonts w:ascii="黑体" w:eastAsia="黑体" w:hAnsi="黑体" w:cs="Times New Roman" w:hint="eastAsia"/>
          <w:sz w:val="36"/>
          <w:szCs w:val="20"/>
        </w:rPr>
        <w:t>之钢铁A份额及钢铁B份额终止运作</w:t>
      </w:r>
    </w:p>
    <w:p w:rsidR="00B40F2E" w:rsidRPr="00B40F2E" w:rsidRDefault="00973D95" w:rsidP="009113FC">
      <w:pPr>
        <w:jc w:val="center"/>
        <w:rPr>
          <w:rFonts w:ascii="黑体" w:eastAsia="黑体" w:hAnsi="黑体" w:cs="Times New Roman"/>
          <w:sz w:val="36"/>
          <w:szCs w:val="20"/>
        </w:rPr>
      </w:pPr>
      <w:r w:rsidRPr="00F62EDE">
        <w:rPr>
          <w:rFonts w:ascii="黑体" w:eastAsia="黑体" w:hAnsi="黑体" w:cs="Times New Roman" w:hint="eastAsia"/>
          <w:sz w:val="36"/>
          <w:szCs w:val="20"/>
        </w:rPr>
        <w:t>的特别风险提示公告</w:t>
      </w:r>
    </w:p>
    <w:p w:rsidR="00973D95" w:rsidRPr="00F62EDE" w:rsidRDefault="00973D95" w:rsidP="0017171B">
      <w:pPr>
        <w:spacing w:beforeLines="50"/>
        <w:ind w:firstLineChars="200" w:firstLine="640"/>
        <w:rPr>
          <w:rFonts w:ascii="仿宋" w:eastAsia="仿宋" w:hAnsi="仿宋"/>
          <w:sz w:val="32"/>
          <w:szCs w:val="32"/>
        </w:rPr>
      </w:pPr>
      <w:r w:rsidRPr="00F62EDE">
        <w:rPr>
          <w:rFonts w:ascii="仿宋" w:eastAsia="仿宋" w:hAnsi="仿宋" w:cs="Times New Roman" w:hint="eastAsia"/>
          <w:sz w:val="32"/>
          <w:szCs w:val="32"/>
        </w:rPr>
        <w:t>根据《</w:t>
      </w:r>
      <w:r w:rsidR="000B331C" w:rsidRPr="00F62EDE">
        <w:rPr>
          <w:rFonts w:ascii="仿宋" w:eastAsia="仿宋" w:hAnsi="仿宋" w:cs="Times New Roman" w:hint="eastAsia"/>
          <w:sz w:val="32"/>
          <w:szCs w:val="32"/>
        </w:rPr>
        <w:t>关于中融国证钢铁行业指数分级证券投资基金之钢铁A份额及钢铁B份额终止运作、终止上市并修改基金合同的公告</w:t>
      </w:r>
      <w:r w:rsidRPr="00F62EDE">
        <w:rPr>
          <w:rFonts w:ascii="仿宋" w:eastAsia="仿宋" w:hAnsi="仿宋" w:cs="Times New Roman" w:hint="eastAsia"/>
          <w:sz w:val="32"/>
          <w:szCs w:val="32"/>
        </w:rPr>
        <w:t>》，中融国证钢铁行业指数分级证券投资基金</w:t>
      </w:r>
      <w:r w:rsidR="001D2B37" w:rsidRPr="00F62EDE">
        <w:rPr>
          <w:rFonts w:ascii="仿宋" w:eastAsia="仿宋" w:hAnsi="仿宋" w:cs="Times New Roman" w:hint="eastAsia"/>
          <w:sz w:val="32"/>
          <w:szCs w:val="32"/>
        </w:rPr>
        <w:t>（</w:t>
      </w:r>
      <w:r w:rsidRPr="00F62EDE">
        <w:rPr>
          <w:rFonts w:ascii="仿宋" w:eastAsia="仿宋" w:hAnsi="仿宋" w:cs="Times New Roman" w:hint="eastAsia"/>
          <w:sz w:val="32"/>
          <w:szCs w:val="32"/>
        </w:rPr>
        <w:t>以下简称</w:t>
      </w:r>
      <w:r w:rsidRPr="00F62EDE">
        <w:rPr>
          <w:rFonts w:ascii="仿宋" w:eastAsia="仿宋" w:hAnsi="仿宋" w:cs="Times New Roman"/>
          <w:sz w:val="32"/>
          <w:szCs w:val="32"/>
        </w:rPr>
        <w:t>“</w:t>
      </w:r>
      <w:r w:rsidRPr="00F62EDE">
        <w:rPr>
          <w:rFonts w:ascii="仿宋" w:eastAsia="仿宋" w:hAnsi="仿宋" w:cs="Times New Roman" w:hint="eastAsia"/>
          <w:sz w:val="32"/>
          <w:szCs w:val="32"/>
        </w:rPr>
        <w:t>本基金</w:t>
      </w:r>
      <w:r w:rsidRPr="00F62EDE">
        <w:rPr>
          <w:rFonts w:ascii="仿宋" w:eastAsia="仿宋" w:hAnsi="仿宋" w:cs="Times New Roman"/>
          <w:sz w:val="32"/>
          <w:szCs w:val="32"/>
        </w:rPr>
        <w:t>”</w:t>
      </w:r>
      <w:r w:rsidRPr="00F62EDE">
        <w:rPr>
          <w:rFonts w:ascii="仿宋" w:eastAsia="仿宋" w:hAnsi="仿宋" w:hint="eastAsia"/>
          <w:color w:val="000000"/>
          <w:sz w:val="32"/>
          <w:szCs w:val="32"/>
        </w:rPr>
        <w:t>，</w:t>
      </w:r>
      <w:r w:rsidR="00CC292A" w:rsidRPr="00F62EDE">
        <w:rPr>
          <w:rFonts w:ascii="仿宋" w:eastAsia="仿宋" w:hAnsi="仿宋"/>
          <w:sz w:val="32"/>
          <w:szCs w:val="32"/>
        </w:rPr>
        <w:t>中融钢铁份额</w:t>
      </w:r>
      <w:r w:rsidR="00D346C4" w:rsidRPr="00F62EDE">
        <w:rPr>
          <w:rFonts w:ascii="仿宋" w:eastAsia="仿宋" w:hAnsi="仿宋" w:hint="eastAsia"/>
          <w:sz w:val="32"/>
          <w:szCs w:val="32"/>
        </w:rPr>
        <w:t>（</w:t>
      </w:r>
      <w:r w:rsidR="00D346C4" w:rsidRPr="00F62EDE">
        <w:rPr>
          <w:rFonts w:ascii="仿宋" w:eastAsia="仿宋" w:hAnsi="仿宋"/>
          <w:sz w:val="32"/>
          <w:szCs w:val="32"/>
        </w:rPr>
        <w:t>基础份额</w:t>
      </w:r>
      <w:r w:rsidR="00D346C4" w:rsidRPr="00F62EDE">
        <w:rPr>
          <w:rFonts w:ascii="仿宋" w:eastAsia="仿宋" w:hAnsi="仿宋" w:hint="eastAsia"/>
          <w:sz w:val="32"/>
          <w:szCs w:val="32"/>
        </w:rPr>
        <w:t>）</w:t>
      </w:r>
      <w:r w:rsidR="007B2AA2" w:rsidRPr="00F62EDE">
        <w:rPr>
          <w:rFonts w:ascii="仿宋" w:eastAsia="仿宋" w:hAnsi="仿宋" w:hint="eastAsia"/>
          <w:sz w:val="32"/>
          <w:szCs w:val="32"/>
        </w:rPr>
        <w:t>，</w:t>
      </w:r>
      <w:r w:rsidR="00CC292A" w:rsidRPr="00F62EDE">
        <w:rPr>
          <w:rFonts w:ascii="仿宋" w:eastAsia="仿宋" w:hAnsi="仿宋"/>
          <w:sz w:val="32"/>
          <w:szCs w:val="32"/>
        </w:rPr>
        <w:t>场内简称：钢铁</w:t>
      </w:r>
      <w:r w:rsidRPr="00F62EDE">
        <w:rPr>
          <w:rFonts w:ascii="仿宋" w:eastAsia="仿宋" w:hAnsi="仿宋"/>
          <w:sz w:val="32"/>
          <w:szCs w:val="32"/>
        </w:rPr>
        <w:t>母基，基金代码：</w:t>
      </w:r>
      <w:r w:rsidR="00CC292A" w:rsidRPr="00F62EDE">
        <w:rPr>
          <w:rFonts w:ascii="仿宋" w:eastAsia="仿宋" w:hAnsi="仿宋"/>
          <w:sz w:val="32"/>
          <w:szCs w:val="32"/>
        </w:rPr>
        <w:t>168203</w:t>
      </w:r>
      <w:r w:rsidR="00D346C4" w:rsidRPr="00F62EDE">
        <w:rPr>
          <w:rFonts w:ascii="仿宋" w:eastAsia="仿宋" w:hAnsi="仿宋" w:hint="eastAsia"/>
          <w:sz w:val="32"/>
          <w:szCs w:val="32"/>
        </w:rPr>
        <w:t>）</w:t>
      </w:r>
      <w:r w:rsidR="00D346C4" w:rsidRPr="00F62EDE">
        <w:rPr>
          <w:rFonts w:ascii="仿宋" w:eastAsia="仿宋" w:hAnsi="仿宋" w:cs="Times New Roman" w:hint="eastAsia"/>
          <w:sz w:val="32"/>
          <w:szCs w:val="32"/>
        </w:rPr>
        <w:t>之钢铁A份额</w:t>
      </w:r>
      <w:r w:rsidR="00D346C4" w:rsidRPr="00F62EDE">
        <w:rPr>
          <w:rFonts w:ascii="仿宋" w:eastAsia="仿宋" w:hAnsi="仿宋" w:hint="eastAsia"/>
          <w:sz w:val="32"/>
          <w:szCs w:val="32"/>
        </w:rPr>
        <w:t>（</w:t>
      </w:r>
      <w:r w:rsidRPr="00F62EDE">
        <w:rPr>
          <w:rFonts w:ascii="仿宋" w:eastAsia="仿宋" w:hAnsi="仿宋"/>
          <w:sz w:val="32"/>
          <w:szCs w:val="32"/>
        </w:rPr>
        <w:t>场内简称：钢铁A，基金代码：15028</w:t>
      </w:r>
      <w:r w:rsidR="00CC292A" w:rsidRPr="00F62EDE">
        <w:rPr>
          <w:rFonts w:ascii="仿宋" w:eastAsia="仿宋" w:hAnsi="仿宋"/>
          <w:sz w:val="32"/>
          <w:szCs w:val="32"/>
        </w:rPr>
        <w:t>7</w:t>
      </w:r>
      <w:r w:rsidR="00D346C4" w:rsidRPr="00F62EDE">
        <w:rPr>
          <w:rFonts w:ascii="仿宋" w:eastAsia="仿宋" w:hAnsi="仿宋" w:hint="eastAsia"/>
          <w:sz w:val="32"/>
          <w:szCs w:val="32"/>
        </w:rPr>
        <w:t>）和</w:t>
      </w:r>
      <w:r w:rsidRPr="00F62EDE">
        <w:rPr>
          <w:rFonts w:ascii="仿宋" w:eastAsia="仿宋" w:hAnsi="仿宋"/>
          <w:sz w:val="32"/>
          <w:szCs w:val="32"/>
        </w:rPr>
        <w:t>钢铁B</w:t>
      </w:r>
      <w:r w:rsidR="003916C8" w:rsidRPr="00F62EDE">
        <w:rPr>
          <w:rFonts w:ascii="仿宋" w:eastAsia="仿宋" w:hAnsi="仿宋" w:hint="eastAsia"/>
          <w:sz w:val="32"/>
          <w:szCs w:val="32"/>
        </w:rPr>
        <w:t>份额</w:t>
      </w:r>
      <w:r w:rsidR="00D346C4" w:rsidRPr="00F62EDE">
        <w:rPr>
          <w:rFonts w:ascii="仿宋" w:eastAsia="仿宋" w:hAnsi="仿宋" w:hint="eastAsia"/>
          <w:sz w:val="32"/>
          <w:szCs w:val="32"/>
        </w:rPr>
        <w:t>（场</w:t>
      </w:r>
      <w:r w:rsidRPr="00F62EDE">
        <w:rPr>
          <w:rFonts w:ascii="仿宋" w:eastAsia="仿宋" w:hAnsi="仿宋"/>
          <w:sz w:val="32"/>
          <w:szCs w:val="32"/>
        </w:rPr>
        <w:t>内简称：钢铁B，基金代码：1502</w:t>
      </w:r>
      <w:r w:rsidR="00CC292A" w:rsidRPr="00F62EDE">
        <w:rPr>
          <w:rFonts w:ascii="仿宋" w:eastAsia="仿宋" w:hAnsi="仿宋"/>
          <w:sz w:val="32"/>
          <w:szCs w:val="32"/>
        </w:rPr>
        <w:t>88</w:t>
      </w:r>
      <w:r w:rsidR="00B40F2E" w:rsidRPr="00F62EDE">
        <w:rPr>
          <w:rFonts w:ascii="仿宋" w:eastAsia="仿宋" w:hAnsi="仿宋" w:hint="eastAsia"/>
          <w:sz w:val="32"/>
          <w:szCs w:val="32"/>
        </w:rPr>
        <w:t>）</w:t>
      </w:r>
      <w:r w:rsidRPr="00F62EDE">
        <w:rPr>
          <w:rFonts w:ascii="仿宋" w:eastAsia="仿宋" w:hAnsi="仿宋" w:cs="Times New Roman" w:hint="eastAsia"/>
          <w:sz w:val="32"/>
          <w:szCs w:val="32"/>
        </w:rPr>
        <w:t>的终止上市日为</w:t>
      </w:r>
      <w:r w:rsidRPr="00F62EDE">
        <w:rPr>
          <w:rFonts w:ascii="仿宋" w:eastAsia="仿宋" w:hAnsi="仿宋" w:cs="Times New Roman"/>
          <w:sz w:val="32"/>
          <w:szCs w:val="32"/>
        </w:rPr>
        <w:t>2021</w:t>
      </w:r>
      <w:r w:rsidRPr="00F62EDE">
        <w:rPr>
          <w:rFonts w:ascii="仿宋" w:eastAsia="仿宋" w:hAnsi="仿宋" w:cs="Times New Roman" w:hint="eastAsia"/>
          <w:sz w:val="32"/>
          <w:szCs w:val="32"/>
        </w:rPr>
        <w:t>年</w:t>
      </w:r>
      <w:r w:rsidRPr="00F62EDE">
        <w:rPr>
          <w:rFonts w:ascii="仿宋" w:eastAsia="仿宋" w:hAnsi="仿宋" w:cs="Times New Roman"/>
          <w:sz w:val="32"/>
          <w:szCs w:val="32"/>
        </w:rPr>
        <w:t>1</w:t>
      </w:r>
      <w:r w:rsidRPr="00F62EDE">
        <w:rPr>
          <w:rFonts w:ascii="仿宋" w:eastAsia="仿宋" w:hAnsi="仿宋" w:cs="Times New Roman" w:hint="eastAsia"/>
          <w:sz w:val="32"/>
          <w:szCs w:val="32"/>
        </w:rPr>
        <w:t>月</w:t>
      </w:r>
      <w:r w:rsidRPr="00F62EDE">
        <w:rPr>
          <w:rFonts w:ascii="仿宋" w:eastAsia="仿宋" w:hAnsi="仿宋" w:cs="Times New Roman"/>
          <w:sz w:val="32"/>
          <w:szCs w:val="32"/>
        </w:rPr>
        <w:t>4</w:t>
      </w:r>
      <w:r w:rsidRPr="00F62EDE">
        <w:rPr>
          <w:rFonts w:ascii="仿宋" w:eastAsia="仿宋" w:hAnsi="仿宋" w:cs="Times New Roman" w:hint="eastAsia"/>
          <w:sz w:val="32"/>
          <w:szCs w:val="32"/>
        </w:rPr>
        <w:t>日（最后交易日为</w:t>
      </w:r>
      <w:r w:rsidRPr="00F62EDE">
        <w:rPr>
          <w:rFonts w:ascii="仿宋" w:eastAsia="仿宋" w:hAnsi="仿宋" w:cs="Times New Roman"/>
          <w:sz w:val="32"/>
          <w:szCs w:val="32"/>
        </w:rPr>
        <w:t>2020</w:t>
      </w:r>
      <w:r w:rsidRPr="00F62EDE">
        <w:rPr>
          <w:rFonts w:ascii="仿宋" w:eastAsia="仿宋" w:hAnsi="仿宋" w:cs="Times New Roman" w:hint="eastAsia"/>
          <w:sz w:val="32"/>
          <w:szCs w:val="32"/>
        </w:rPr>
        <w:t>年1</w:t>
      </w:r>
      <w:r w:rsidRPr="00F62EDE">
        <w:rPr>
          <w:rFonts w:ascii="仿宋" w:eastAsia="仿宋" w:hAnsi="仿宋" w:cs="Times New Roman"/>
          <w:sz w:val="32"/>
          <w:szCs w:val="32"/>
        </w:rPr>
        <w:t>2</w:t>
      </w:r>
      <w:r w:rsidRPr="00F62EDE">
        <w:rPr>
          <w:rFonts w:ascii="仿宋" w:eastAsia="仿宋" w:hAnsi="仿宋" w:cs="Times New Roman" w:hint="eastAsia"/>
          <w:sz w:val="32"/>
          <w:szCs w:val="32"/>
        </w:rPr>
        <w:t>月</w:t>
      </w:r>
      <w:r w:rsidRPr="00F62EDE">
        <w:rPr>
          <w:rFonts w:ascii="仿宋" w:eastAsia="仿宋" w:hAnsi="仿宋" w:cs="Times New Roman"/>
          <w:sz w:val="32"/>
          <w:szCs w:val="32"/>
        </w:rPr>
        <w:t>31</w:t>
      </w:r>
      <w:r w:rsidRPr="00F62EDE">
        <w:rPr>
          <w:rFonts w:ascii="仿宋" w:eastAsia="仿宋" w:hAnsi="仿宋" w:cs="Times New Roman" w:hint="eastAsia"/>
          <w:sz w:val="32"/>
          <w:szCs w:val="32"/>
        </w:rPr>
        <w:t>日），</w:t>
      </w:r>
      <w:r w:rsidR="00D346C4" w:rsidRPr="00F62EDE">
        <w:rPr>
          <w:rFonts w:ascii="仿宋" w:eastAsia="仿宋" w:hAnsi="仿宋" w:cs="Times New Roman" w:hint="eastAsia"/>
          <w:sz w:val="32"/>
          <w:szCs w:val="32"/>
        </w:rPr>
        <w:t>基金</w:t>
      </w:r>
      <w:r w:rsidRPr="00F62EDE">
        <w:rPr>
          <w:rFonts w:ascii="仿宋" w:eastAsia="仿宋" w:hAnsi="仿宋" w:cs="Times New Roman" w:hint="eastAsia"/>
          <w:sz w:val="32"/>
          <w:szCs w:val="32"/>
        </w:rPr>
        <w:t>份额折算基准日为</w:t>
      </w:r>
      <w:r w:rsidRPr="00F62EDE">
        <w:rPr>
          <w:rFonts w:ascii="仿宋" w:eastAsia="仿宋" w:hAnsi="仿宋" w:cs="Times New Roman"/>
          <w:sz w:val="32"/>
          <w:szCs w:val="32"/>
        </w:rPr>
        <w:t>2020</w:t>
      </w:r>
      <w:r w:rsidRPr="00F62EDE">
        <w:rPr>
          <w:rFonts w:ascii="仿宋" w:eastAsia="仿宋" w:hAnsi="仿宋" w:cs="Times New Roman" w:hint="eastAsia"/>
          <w:sz w:val="32"/>
          <w:szCs w:val="32"/>
        </w:rPr>
        <w:t>年1</w:t>
      </w:r>
      <w:r w:rsidRPr="00F62EDE">
        <w:rPr>
          <w:rFonts w:ascii="仿宋" w:eastAsia="仿宋" w:hAnsi="仿宋" w:cs="Times New Roman"/>
          <w:sz w:val="32"/>
          <w:szCs w:val="32"/>
        </w:rPr>
        <w:t>2</w:t>
      </w:r>
      <w:r w:rsidRPr="00F62EDE">
        <w:rPr>
          <w:rFonts w:ascii="仿宋" w:eastAsia="仿宋" w:hAnsi="仿宋" w:cs="Times New Roman" w:hint="eastAsia"/>
          <w:sz w:val="32"/>
          <w:szCs w:val="32"/>
        </w:rPr>
        <w:t>月</w:t>
      </w:r>
      <w:r w:rsidRPr="00F62EDE">
        <w:rPr>
          <w:rFonts w:ascii="仿宋" w:eastAsia="仿宋" w:hAnsi="仿宋" w:cs="Times New Roman"/>
          <w:sz w:val="32"/>
          <w:szCs w:val="32"/>
        </w:rPr>
        <w:t>31</w:t>
      </w:r>
      <w:r w:rsidR="00D346C4" w:rsidRPr="00F62EDE">
        <w:rPr>
          <w:rFonts w:ascii="仿宋" w:eastAsia="仿宋" w:hAnsi="仿宋" w:cs="Times New Roman" w:hint="eastAsia"/>
          <w:sz w:val="32"/>
          <w:szCs w:val="32"/>
        </w:rPr>
        <w:t>日。以基金份额折算基准日日终</w:t>
      </w:r>
      <w:r w:rsidR="00CD053C" w:rsidRPr="00F62EDE">
        <w:rPr>
          <w:rFonts w:ascii="仿宋" w:eastAsia="仿宋" w:hAnsi="仿宋" w:cs="Times New Roman" w:hint="eastAsia"/>
          <w:sz w:val="32"/>
          <w:szCs w:val="32"/>
        </w:rPr>
        <w:t>中融钢铁</w:t>
      </w:r>
      <w:r w:rsidRPr="00F62EDE">
        <w:rPr>
          <w:rFonts w:ascii="仿宋" w:eastAsia="仿宋" w:hAnsi="仿宋" w:cs="Times New Roman" w:hint="eastAsia"/>
          <w:sz w:val="32"/>
          <w:szCs w:val="32"/>
        </w:rPr>
        <w:t>份额的基金份额净值为基准，钢铁A份额和钢铁B份额按照各自的基金份额参考净值折算成场内</w:t>
      </w:r>
      <w:r w:rsidR="001660B8" w:rsidRPr="00F62EDE">
        <w:rPr>
          <w:rFonts w:ascii="仿宋" w:eastAsia="仿宋" w:hAnsi="仿宋" w:cs="Times New Roman" w:hint="eastAsia"/>
          <w:sz w:val="32"/>
          <w:szCs w:val="32"/>
        </w:rPr>
        <w:t>中融钢铁</w:t>
      </w:r>
      <w:r w:rsidRPr="00F62EDE">
        <w:rPr>
          <w:rFonts w:ascii="仿宋" w:eastAsia="仿宋" w:hAnsi="仿宋" w:cs="Times New Roman" w:hint="eastAsia"/>
          <w:sz w:val="32"/>
          <w:szCs w:val="32"/>
        </w:rPr>
        <w:t>份额。</w:t>
      </w:r>
    </w:p>
    <w:p w:rsidR="00973D95" w:rsidRPr="00F62EDE" w:rsidRDefault="00973D95" w:rsidP="00973D95">
      <w:pPr>
        <w:ind w:firstLineChars="200" w:firstLine="640"/>
        <w:rPr>
          <w:rFonts w:ascii="仿宋" w:eastAsia="仿宋" w:hAnsi="仿宋" w:cs="Times New Roman"/>
          <w:sz w:val="32"/>
          <w:szCs w:val="32"/>
        </w:rPr>
      </w:pPr>
      <w:r w:rsidRPr="00F62EDE">
        <w:rPr>
          <w:rFonts w:ascii="仿宋" w:eastAsia="仿宋" w:hAnsi="仿宋" w:cs="Times New Roman" w:hint="eastAsia"/>
          <w:sz w:val="32"/>
          <w:szCs w:val="32"/>
        </w:rPr>
        <w:t>针对本基金之钢铁A份额和钢铁B份额终止运作</w:t>
      </w:r>
      <w:r w:rsidR="00D346C4" w:rsidRPr="00F62EDE">
        <w:rPr>
          <w:rFonts w:ascii="仿宋" w:eastAsia="仿宋" w:hAnsi="仿宋" w:cs="Times New Roman" w:hint="eastAsia"/>
          <w:sz w:val="32"/>
          <w:szCs w:val="32"/>
        </w:rPr>
        <w:t>、</w:t>
      </w:r>
      <w:r w:rsidR="00D346C4" w:rsidRPr="00F62EDE">
        <w:rPr>
          <w:rFonts w:ascii="仿宋" w:eastAsia="仿宋" w:hAnsi="仿宋" w:cs="Times New Roman"/>
          <w:sz w:val="32"/>
          <w:szCs w:val="32"/>
        </w:rPr>
        <w:t>终止上市</w:t>
      </w:r>
      <w:r w:rsidRPr="00F62EDE">
        <w:rPr>
          <w:rFonts w:ascii="仿宋" w:eastAsia="仿宋" w:hAnsi="仿宋" w:cs="Times New Roman" w:hint="eastAsia"/>
          <w:sz w:val="32"/>
          <w:szCs w:val="32"/>
        </w:rPr>
        <w:t>的相关安排，基金管理人特别提示如下事项，敬请投资者关注：</w:t>
      </w:r>
    </w:p>
    <w:p w:rsidR="00FD481E" w:rsidRPr="00F62EDE" w:rsidRDefault="00973D95" w:rsidP="00D1282F">
      <w:pPr>
        <w:spacing w:line="360" w:lineRule="auto"/>
        <w:ind w:firstLineChars="200" w:firstLine="640"/>
        <w:rPr>
          <w:rFonts w:ascii="仿宋" w:eastAsia="仿宋" w:hAnsi="仿宋" w:cs="Times New Roman"/>
          <w:sz w:val="32"/>
          <w:szCs w:val="32"/>
        </w:rPr>
      </w:pPr>
      <w:r w:rsidRPr="00F62EDE">
        <w:rPr>
          <w:rFonts w:ascii="仿宋" w:eastAsia="仿宋" w:hAnsi="仿宋"/>
          <w:color w:val="000000"/>
          <w:sz w:val="32"/>
          <w:szCs w:val="32"/>
        </w:rPr>
        <w:t>1</w:t>
      </w:r>
      <w:r w:rsidRPr="00F62EDE">
        <w:rPr>
          <w:rFonts w:ascii="仿宋" w:eastAsia="仿宋" w:hAnsi="仿宋" w:hint="eastAsia"/>
          <w:color w:val="000000"/>
          <w:sz w:val="32"/>
          <w:szCs w:val="32"/>
        </w:rPr>
        <w:t>、</w:t>
      </w:r>
      <w:r w:rsidR="00FD481E" w:rsidRPr="00F62EDE">
        <w:rPr>
          <w:rFonts w:ascii="仿宋" w:eastAsia="仿宋" w:hAnsi="仿宋" w:hint="eastAsia"/>
          <w:color w:val="000000"/>
          <w:sz w:val="32"/>
          <w:szCs w:val="32"/>
        </w:rPr>
        <w:t>基金份额折算基准日前（含基金份额折算基准日），</w:t>
      </w:r>
      <w:r w:rsidR="006B4066" w:rsidRPr="00F62EDE">
        <w:rPr>
          <w:rFonts w:ascii="仿宋" w:eastAsia="仿宋" w:hAnsi="仿宋" w:cs="Times New Roman" w:hint="eastAsia"/>
          <w:sz w:val="32"/>
          <w:szCs w:val="32"/>
        </w:rPr>
        <w:t>钢铁A份额和钢铁B份额仍可正常交易，</w:t>
      </w:r>
      <w:r w:rsidR="00FD481E" w:rsidRPr="00F62EDE">
        <w:rPr>
          <w:rFonts w:ascii="仿宋" w:eastAsia="仿宋" w:hAnsi="仿宋" w:cs="Times New Roman" w:hint="eastAsia"/>
          <w:sz w:val="32"/>
          <w:szCs w:val="32"/>
        </w:rPr>
        <w:t>期间</w:t>
      </w:r>
      <w:r w:rsidR="00FD481E" w:rsidRPr="00F62EDE">
        <w:rPr>
          <w:rFonts w:ascii="仿宋" w:eastAsia="仿宋" w:hAnsi="仿宋" w:cs="Times New Roman"/>
          <w:sz w:val="32"/>
          <w:szCs w:val="32"/>
        </w:rPr>
        <w:t>敬请投资者高度关注</w:t>
      </w:r>
      <w:r w:rsidR="00FD481E" w:rsidRPr="00F62EDE">
        <w:rPr>
          <w:rFonts w:ascii="仿宋" w:eastAsia="仿宋" w:hAnsi="仿宋" w:cs="Times New Roman" w:hint="eastAsia"/>
          <w:sz w:val="32"/>
          <w:szCs w:val="32"/>
        </w:rPr>
        <w:t>以下风险</w:t>
      </w:r>
      <w:r w:rsidR="00FD481E" w:rsidRPr="00F62EDE">
        <w:rPr>
          <w:rFonts w:ascii="仿宋" w:eastAsia="仿宋" w:hAnsi="仿宋" w:cs="Times New Roman"/>
          <w:sz w:val="32"/>
          <w:szCs w:val="32"/>
        </w:rPr>
        <w:t>：</w:t>
      </w:r>
    </w:p>
    <w:p w:rsidR="006B4066" w:rsidRPr="00F62EDE" w:rsidRDefault="00FD481E" w:rsidP="00D1282F">
      <w:pPr>
        <w:spacing w:line="360" w:lineRule="auto"/>
        <w:ind w:firstLineChars="200" w:firstLine="640"/>
        <w:rPr>
          <w:sz w:val="24"/>
          <w:szCs w:val="28"/>
        </w:rPr>
      </w:pPr>
      <w:r w:rsidRPr="00F62EDE">
        <w:rPr>
          <w:rFonts w:ascii="仿宋" w:eastAsia="仿宋" w:hAnsi="仿宋" w:cs="Times New Roman" w:hint="eastAsia"/>
          <w:sz w:val="32"/>
          <w:szCs w:val="32"/>
        </w:rPr>
        <w:t>（1）</w:t>
      </w:r>
      <w:r w:rsidR="006B4066" w:rsidRPr="00F62EDE">
        <w:rPr>
          <w:rFonts w:ascii="仿宋" w:eastAsia="仿宋" w:hAnsi="仿宋" w:cs="Times New Roman" w:hint="eastAsia"/>
          <w:sz w:val="32"/>
          <w:szCs w:val="32"/>
        </w:rPr>
        <w:t>钢铁A份额和钢铁B份额的折溢价率可能发生较大变化。</w:t>
      </w:r>
      <w:r w:rsidR="006B4066" w:rsidRPr="00F62EDE">
        <w:rPr>
          <w:rFonts w:ascii="仿宋" w:eastAsia="仿宋" w:hAnsi="仿宋" w:cs="Times New Roman" w:hint="eastAsia"/>
          <w:b/>
          <w:sz w:val="32"/>
          <w:szCs w:val="32"/>
        </w:rPr>
        <w:t>投资者如以溢价买入或持有，在钢铁A份额和钢铁</w:t>
      </w:r>
      <w:r w:rsidR="006B4066" w:rsidRPr="00F62EDE">
        <w:rPr>
          <w:rFonts w:ascii="仿宋" w:eastAsia="仿宋" w:hAnsi="仿宋" w:cs="Times New Roman" w:hint="eastAsia"/>
          <w:b/>
          <w:sz w:val="32"/>
          <w:szCs w:val="32"/>
        </w:rPr>
        <w:lastRenderedPageBreak/>
        <w:t>B</w:t>
      </w:r>
      <w:r w:rsidRPr="00F62EDE">
        <w:rPr>
          <w:rFonts w:ascii="仿宋" w:eastAsia="仿宋" w:hAnsi="仿宋" w:cs="Times New Roman" w:hint="eastAsia"/>
          <w:b/>
          <w:sz w:val="32"/>
          <w:szCs w:val="32"/>
        </w:rPr>
        <w:t>份额折算为中融钢铁份额后，可能遭受因溢价消失带来的较大损失</w:t>
      </w:r>
      <w:r w:rsidRPr="00F62EDE">
        <w:rPr>
          <w:rFonts w:ascii="仿宋" w:eastAsia="仿宋" w:hAnsi="仿宋" w:cs="Times New Roman" w:hint="eastAsia"/>
          <w:sz w:val="32"/>
          <w:szCs w:val="32"/>
        </w:rPr>
        <w:t>（具体</w:t>
      </w:r>
      <w:r w:rsidRPr="00F62EDE">
        <w:rPr>
          <w:rFonts w:ascii="仿宋" w:eastAsia="仿宋" w:hAnsi="仿宋" w:cs="Times New Roman"/>
          <w:sz w:val="32"/>
          <w:szCs w:val="32"/>
        </w:rPr>
        <w:t>折算方式及示例详见本公告第</w:t>
      </w:r>
      <w:r w:rsidRPr="00F62EDE">
        <w:rPr>
          <w:rFonts w:ascii="仿宋" w:eastAsia="仿宋" w:hAnsi="仿宋" w:cs="Times New Roman" w:hint="eastAsia"/>
          <w:sz w:val="32"/>
          <w:szCs w:val="32"/>
        </w:rPr>
        <w:t>4条）。</w:t>
      </w:r>
      <w:r w:rsidR="006B4066" w:rsidRPr="00F62EDE">
        <w:rPr>
          <w:rFonts w:ascii="仿宋" w:eastAsia="仿宋" w:hAnsi="仿宋" w:cs="Times New Roman" w:hint="eastAsia"/>
          <w:sz w:val="32"/>
          <w:szCs w:val="32"/>
        </w:rPr>
        <w:t>敬请投资者关注市场交易价格与</w:t>
      </w:r>
      <w:r w:rsidR="00221720" w:rsidRPr="00F62EDE">
        <w:rPr>
          <w:rFonts w:ascii="仿宋" w:eastAsia="仿宋" w:hAnsi="仿宋" w:cs="Times New Roman" w:hint="eastAsia"/>
          <w:sz w:val="32"/>
          <w:szCs w:val="32"/>
        </w:rPr>
        <w:t>折溢价所带来的风险</w:t>
      </w:r>
      <w:r w:rsidR="006B4066" w:rsidRPr="00F62EDE">
        <w:rPr>
          <w:rFonts w:ascii="仿宋" w:eastAsia="仿宋" w:hAnsi="仿宋" w:cs="Times New Roman" w:hint="eastAsia"/>
          <w:sz w:val="32"/>
          <w:szCs w:val="32"/>
        </w:rPr>
        <w:t>。</w:t>
      </w:r>
    </w:p>
    <w:p w:rsidR="00973D95" w:rsidRPr="00F62EDE" w:rsidRDefault="00973D95" w:rsidP="00973D95">
      <w:pPr>
        <w:wordWrap w:val="0"/>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投资者应密切关注钢铁A</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与钢铁B</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的基金份额参考净值变化情况，可通过本公司网站（</w:t>
      </w:r>
      <w:r w:rsidRPr="00F62EDE">
        <w:rPr>
          <w:rFonts w:ascii="仿宋" w:eastAsia="仿宋" w:hAnsi="仿宋"/>
          <w:color w:val="000000"/>
          <w:sz w:val="32"/>
          <w:szCs w:val="32"/>
        </w:rPr>
        <w:t>http://www.zrfunds.com.cn/</w:t>
      </w:r>
      <w:r w:rsidRPr="00F62EDE">
        <w:rPr>
          <w:rFonts w:ascii="仿宋" w:eastAsia="仿宋" w:hAnsi="仿宋" w:hint="eastAsia"/>
          <w:color w:val="000000"/>
          <w:sz w:val="32"/>
          <w:szCs w:val="32"/>
        </w:rPr>
        <w:t>）等方式进行查询。</w:t>
      </w:r>
    </w:p>
    <w:p w:rsidR="00973D95" w:rsidRPr="007562E4" w:rsidRDefault="00FD481E" w:rsidP="007562E4">
      <w:pPr>
        <w:spacing w:line="360" w:lineRule="auto"/>
        <w:ind w:firstLineChars="200" w:firstLine="640"/>
        <w:rPr>
          <w:rFonts w:ascii="仿宋" w:eastAsia="仿宋" w:hAnsi="仿宋"/>
          <w:sz w:val="32"/>
          <w:szCs w:val="32"/>
        </w:rPr>
      </w:pPr>
      <w:r w:rsidRPr="00F62EDE">
        <w:rPr>
          <w:rFonts w:ascii="仿宋" w:eastAsia="仿宋" w:hAnsi="仿宋" w:hint="eastAsia"/>
          <w:sz w:val="32"/>
          <w:szCs w:val="32"/>
        </w:rPr>
        <w:t>（2）</w:t>
      </w:r>
      <w:r w:rsidR="00973D95" w:rsidRPr="00F62EDE">
        <w:rPr>
          <w:rFonts w:ascii="仿宋" w:eastAsia="仿宋" w:hAnsi="仿宋" w:hint="eastAsia"/>
          <w:sz w:val="32"/>
          <w:szCs w:val="32"/>
        </w:rPr>
        <w:t>钢铁A</w:t>
      </w:r>
      <w:r w:rsidR="00973D95" w:rsidRPr="00F62EDE">
        <w:rPr>
          <w:rFonts w:ascii="仿宋" w:eastAsia="仿宋" w:hAnsi="仿宋"/>
          <w:color w:val="000000"/>
          <w:sz w:val="32"/>
          <w:szCs w:val="32"/>
        </w:rPr>
        <w:t>份额具有低预期风险、预期收益相对稳定的特征，</w:t>
      </w:r>
      <w:r w:rsidR="00973D95" w:rsidRPr="00F62EDE">
        <w:rPr>
          <w:rFonts w:ascii="仿宋" w:eastAsia="仿宋" w:hAnsi="仿宋" w:hint="eastAsia"/>
          <w:color w:val="000000"/>
          <w:sz w:val="32"/>
          <w:szCs w:val="32"/>
        </w:rPr>
        <w:t>分级运作期内按基金合同约定获得相应年基准收益，</w:t>
      </w:r>
      <w:r w:rsidR="00973D95" w:rsidRPr="00F62EDE">
        <w:rPr>
          <w:rFonts w:ascii="仿宋" w:eastAsia="仿宋" w:hAnsi="仿宋"/>
          <w:color w:val="000000"/>
          <w:sz w:val="32"/>
          <w:szCs w:val="32"/>
        </w:rPr>
        <w:t>但在份额折算后，</w:t>
      </w:r>
      <w:r w:rsidR="00973D95" w:rsidRPr="00F62EDE">
        <w:rPr>
          <w:rFonts w:ascii="仿宋" w:eastAsia="仿宋" w:hAnsi="仿宋" w:hint="eastAsia"/>
          <w:sz w:val="32"/>
          <w:szCs w:val="32"/>
        </w:rPr>
        <w:t>钢铁A</w:t>
      </w:r>
      <w:r w:rsidR="00973D95" w:rsidRPr="00F62EDE">
        <w:rPr>
          <w:rFonts w:ascii="仿宋" w:eastAsia="仿宋" w:hAnsi="仿宋"/>
          <w:color w:val="000000"/>
          <w:sz w:val="32"/>
          <w:szCs w:val="32"/>
        </w:rPr>
        <w:t>份额的持有人将持有具有较高预期风险、较高预期收益特征的</w:t>
      </w:r>
      <w:r w:rsidR="001660B8" w:rsidRPr="00F62EDE">
        <w:rPr>
          <w:rFonts w:ascii="仿宋" w:eastAsia="仿宋" w:hAnsi="仿宋" w:hint="eastAsia"/>
          <w:color w:val="000000"/>
          <w:sz w:val="32"/>
          <w:szCs w:val="32"/>
        </w:rPr>
        <w:t>中融钢铁</w:t>
      </w:r>
      <w:r w:rsidR="00973D95" w:rsidRPr="00F62EDE">
        <w:rPr>
          <w:rFonts w:ascii="仿宋" w:eastAsia="仿宋" w:hAnsi="仿宋"/>
          <w:color w:val="000000"/>
          <w:sz w:val="32"/>
          <w:szCs w:val="32"/>
        </w:rPr>
        <w:t>份额，</w:t>
      </w:r>
      <w:r w:rsidR="00973D95" w:rsidRPr="00F62EDE">
        <w:rPr>
          <w:rFonts w:ascii="仿宋" w:eastAsia="仿宋" w:hAnsi="仿宋" w:hint="eastAsia"/>
          <w:color w:val="000000"/>
          <w:sz w:val="32"/>
          <w:szCs w:val="32"/>
        </w:rPr>
        <w:t>基金份额风险收益特征将因折算而发生较大变化。</w:t>
      </w:r>
      <w:r w:rsidR="00973D95" w:rsidRPr="00F62EDE">
        <w:rPr>
          <w:rFonts w:ascii="仿宋" w:eastAsia="仿宋" w:hAnsi="仿宋"/>
          <w:b/>
          <w:color w:val="000000"/>
          <w:sz w:val="32"/>
          <w:szCs w:val="32"/>
        </w:rPr>
        <w:t>由于</w:t>
      </w:r>
      <w:r w:rsidR="001660B8" w:rsidRPr="00F62EDE">
        <w:rPr>
          <w:rFonts w:ascii="仿宋" w:eastAsia="仿宋" w:hAnsi="仿宋" w:hint="eastAsia"/>
          <w:b/>
          <w:color w:val="000000"/>
          <w:sz w:val="32"/>
          <w:szCs w:val="32"/>
        </w:rPr>
        <w:t>中融钢铁</w:t>
      </w:r>
      <w:r w:rsidR="00973D95" w:rsidRPr="00F62EDE">
        <w:rPr>
          <w:rFonts w:ascii="仿宋" w:eastAsia="仿宋" w:hAnsi="仿宋"/>
          <w:b/>
          <w:color w:val="000000"/>
          <w:sz w:val="32"/>
          <w:szCs w:val="32"/>
        </w:rPr>
        <w:t>份额为跟踪</w:t>
      </w:r>
      <w:r w:rsidR="00A45772" w:rsidRPr="00F62EDE">
        <w:rPr>
          <w:rFonts w:ascii="仿宋" w:eastAsia="仿宋" w:hAnsi="仿宋"/>
          <w:b/>
          <w:color w:val="000000"/>
          <w:sz w:val="32"/>
          <w:szCs w:val="32"/>
        </w:rPr>
        <w:t>国证</w:t>
      </w:r>
      <w:r w:rsidR="003916C8" w:rsidRPr="00F62EDE">
        <w:rPr>
          <w:rFonts w:ascii="仿宋" w:eastAsia="仿宋" w:hAnsi="仿宋" w:hint="eastAsia"/>
          <w:b/>
          <w:color w:val="000000"/>
          <w:sz w:val="32"/>
          <w:szCs w:val="32"/>
        </w:rPr>
        <w:t>钢铁</w:t>
      </w:r>
      <w:r w:rsidR="00A45772" w:rsidRPr="00F62EDE">
        <w:rPr>
          <w:rFonts w:ascii="仿宋" w:eastAsia="仿宋" w:hAnsi="仿宋" w:hint="eastAsia"/>
          <w:b/>
          <w:color w:val="000000"/>
          <w:sz w:val="32"/>
          <w:szCs w:val="32"/>
        </w:rPr>
        <w:t>行业</w:t>
      </w:r>
      <w:r w:rsidR="00973D95" w:rsidRPr="00F62EDE">
        <w:rPr>
          <w:rFonts w:ascii="仿宋" w:eastAsia="仿宋" w:hAnsi="仿宋" w:hint="eastAsia"/>
          <w:b/>
          <w:color w:val="000000"/>
          <w:sz w:val="32"/>
          <w:szCs w:val="32"/>
        </w:rPr>
        <w:t>指数的基础份额，</w:t>
      </w:r>
      <w:r w:rsidR="00973D95" w:rsidRPr="00F62EDE">
        <w:rPr>
          <w:rFonts w:ascii="仿宋" w:eastAsia="仿宋" w:hAnsi="仿宋"/>
          <w:b/>
          <w:color w:val="000000"/>
          <w:sz w:val="32"/>
          <w:szCs w:val="32"/>
        </w:rPr>
        <w:t>其份额净值将随标的指数的涨跌而变化，原</w:t>
      </w:r>
      <w:r w:rsidR="00973D95" w:rsidRPr="00F62EDE">
        <w:rPr>
          <w:rFonts w:ascii="仿宋" w:eastAsia="仿宋" w:hAnsi="仿宋" w:hint="eastAsia"/>
          <w:b/>
          <w:sz w:val="32"/>
          <w:szCs w:val="32"/>
        </w:rPr>
        <w:t>钢铁A</w:t>
      </w:r>
      <w:r w:rsidR="00973D95" w:rsidRPr="00F62EDE">
        <w:rPr>
          <w:rFonts w:ascii="仿宋" w:eastAsia="仿宋" w:hAnsi="仿宋"/>
          <w:b/>
          <w:color w:val="000000"/>
          <w:sz w:val="32"/>
          <w:szCs w:val="32"/>
        </w:rPr>
        <w:t>份额持有人将承担因市场下跌而遭受损失的风险。</w:t>
      </w:r>
    </w:p>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hint="eastAsia"/>
          <w:sz w:val="32"/>
          <w:szCs w:val="32"/>
        </w:rPr>
        <w:t>钢铁B</w:t>
      </w:r>
      <w:r w:rsidRPr="00F62EDE">
        <w:rPr>
          <w:rFonts w:ascii="仿宋" w:eastAsia="仿宋" w:hAnsi="仿宋"/>
          <w:color w:val="000000"/>
          <w:sz w:val="32"/>
          <w:szCs w:val="32"/>
        </w:rPr>
        <w:t>份额具有一定的杠杆属性，具有高预期风险、预期收益相对较高的特征，但在份额折算后，</w:t>
      </w:r>
      <w:r w:rsidRPr="00F62EDE">
        <w:rPr>
          <w:rFonts w:ascii="仿宋" w:eastAsia="仿宋" w:hAnsi="仿宋" w:hint="eastAsia"/>
          <w:sz w:val="32"/>
          <w:szCs w:val="32"/>
        </w:rPr>
        <w:t>钢铁B</w:t>
      </w:r>
      <w:r w:rsidRPr="00F62EDE">
        <w:rPr>
          <w:rFonts w:ascii="仿宋" w:eastAsia="仿宋" w:hAnsi="仿宋"/>
          <w:color w:val="000000"/>
          <w:sz w:val="32"/>
          <w:szCs w:val="32"/>
        </w:rPr>
        <w:t>份额的持有人将持有具有较高预期风险、较高预期收益特征的</w:t>
      </w:r>
      <w:r w:rsidR="001660B8" w:rsidRPr="00F62EDE">
        <w:rPr>
          <w:rFonts w:ascii="仿宋" w:eastAsia="仿宋" w:hAnsi="仿宋" w:hint="eastAsia"/>
          <w:color w:val="000000"/>
          <w:sz w:val="32"/>
          <w:szCs w:val="32"/>
        </w:rPr>
        <w:t>中融钢铁</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基金份额风险收益特征将因折算而发生较大变化。</w:t>
      </w:r>
      <w:r w:rsidRPr="00F62EDE">
        <w:rPr>
          <w:rFonts w:ascii="仿宋" w:eastAsia="仿宋" w:hAnsi="仿宋"/>
          <w:color w:val="000000"/>
          <w:sz w:val="32"/>
          <w:szCs w:val="32"/>
        </w:rPr>
        <w:t>由于</w:t>
      </w:r>
      <w:r w:rsidR="001660B8" w:rsidRPr="00F62EDE">
        <w:rPr>
          <w:rFonts w:ascii="仿宋" w:eastAsia="仿宋" w:hAnsi="仿宋" w:hint="eastAsia"/>
          <w:color w:val="000000"/>
          <w:sz w:val="32"/>
          <w:szCs w:val="32"/>
        </w:rPr>
        <w:t>中融钢铁</w:t>
      </w:r>
      <w:r w:rsidRPr="00F62EDE">
        <w:rPr>
          <w:rFonts w:ascii="仿宋" w:eastAsia="仿宋" w:hAnsi="仿宋"/>
          <w:color w:val="000000"/>
          <w:sz w:val="32"/>
          <w:szCs w:val="32"/>
        </w:rPr>
        <w:t>份额为跟踪</w:t>
      </w:r>
      <w:r w:rsidR="00407FA1" w:rsidRPr="00F62EDE">
        <w:rPr>
          <w:rFonts w:ascii="仿宋" w:eastAsia="仿宋" w:hAnsi="仿宋" w:hint="eastAsia"/>
          <w:color w:val="000000"/>
          <w:sz w:val="32"/>
          <w:szCs w:val="32"/>
        </w:rPr>
        <w:t>国证钢铁行业</w:t>
      </w:r>
      <w:r w:rsidRPr="00F62EDE">
        <w:rPr>
          <w:rFonts w:ascii="仿宋" w:eastAsia="仿宋" w:hAnsi="仿宋" w:hint="eastAsia"/>
          <w:color w:val="000000"/>
          <w:sz w:val="32"/>
          <w:szCs w:val="32"/>
        </w:rPr>
        <w:t>指数的基础份额</w:t>
      </w:r>
      <w:r w:rsidRPr="00F62EDE">
        <w:rPr>
          <w:rFonts w:ascii="仿宋" w:eastAsia="仿宋" w:hAnsi="仿宋"/>
          <w:color w:val="000000"/>
          <w:sz w:val="32"/>
          <w:szCs w:val="32"/>
        </w:rPr>
        <w:t>，没有杠杆特征，其基金份额净值将随标的指数的涨跌而变化，不会形成杠杆性收益或损失，但原</w:t>
      </w:r>
      <w:r w:rsidRPr="00F62EDE">
        <w:rPr>
          <w:rFonts w:ascii="仿宋" w:eastAsia="仿宋" w:hAnsi="仿宋" w:hint="eastAsia"/>
          <w:sz w:val="32"/>
          <w:szCs w:val="32"/>
        </w:rPr>
        <w:t>钢铁B</w:t>
      </w:r>
      <w:r w:rsidRPr="00F62EDE">
        <w:rPr>
          <w:rFonts w:ascii="仿宋" w:eastAsia="仿宋" w:hAnsi="仿宋"/>
          <w:color w:val="000000"/>
          <w:sz w:val="32"/>
          <w:szCs w:val="32"/>
        </w:rPr>
        <w:t>份额持有人仍需承担因市场下跌而遭受损失的风险。</w:t>
      </w:r>
    </w:p>
    <w:p w:rsidR="00E4244B" w:rsidRPr="00F62EDE" w:rsidRDefault="00E4244B" w:rsidP="00E4244B">
      <w:pPr>
        <w:pStyle w:val="Default"/>
        <w:spacing w:line="360" w:lineRule="auto"/>
        <w:ind w:firstLineChars="200" w:firstLine="640"/>
        <w:jc w:val="both"/>
        <w:rPr>
          <w:rFonts w:ascii="仿宋" w:eastAsia="仿宋" w:hAnsi="仿宋"/>
          <w:sz w:val="32"/>
          <w:szCs w:val="32"/>
        </w:rPr>
      </w:pPr>
      <w:r w:rsidRPr="00F62EDE">
        <w:rPr>
          <w:rFonts w:ascii="仿宋" w:eastAsia="仿宋" w:hAnsi="仿宋" w:cs="Times New Roman"/>
          <w:kern w:val="2"/>
          <w:sz w:val="32"/>
          <w:szCs w:val="32"/>
        </w:rPr>
        <w:lastRenderedPageBreak/>
        <w:t>2</w:t>
      </w:r>
      <w:r w:rsidRPr="00F62EDE">
        <w:rPr>
          <w:rFonts w:ascii="仿宋" w:eastAsia="仿宋" w:hAnsi="仿宋" w:cs="Times New Roman" w:hint="eastAsia"/>
          <w:kern w:val="2"/>
          <w:sz w:val="32"/>
          <w:szCs w:val="32"/>
        </w:rPr>
        <w:t>、</w:t>
      </w:r>
      <w:r w:rsidRPr="00F62EDE">
        <w:rPr>
          <w:rFonts w:ascii="仿宋" w:eastAsia="仿宋" w:hAnsi="仿宋" w:hint="eastAsia"/>
          <w:sz w:val="32"/>
          <w:szCs w:val="32"/>
        </w:rPr>
        <w:t>钢铁A</w:t>
      </w:r>
      <w:r w:rsidRPr="00F62EDE">
        <w:rPr>
          <w:rFonts w:ascii="仿宋" w:eastAsia="仿宋" w:hAnsi="仿宋"/>
          <w:sz w:val="32"/>
          <w:szCs w:val="32"/>
        </w:rPr>
        <w:t>份额</w:t>
      </w:r>
      <w:r w:rsidRPr="00F62EDE">
        <w:rPr>
          <w:rFonts w:ascii="仿宋" w:eastAsia="仿宋" w:hAnsi="仿宋" w:hint="eastAsia"/>
          <w:sz w:val="32"/>
          <w:szCs w:val="32"/>
        </w:rPr>
        <w:t>与钢铁B</w:t>
      </w:r>
      <w:r w:rsidRPr="00F62EDE">
        <w:rPr>
          <w:rFonts w:ascii="仿宋" w:eastAsia="仿宋" w:hAnsi="仿宋"/>
          <w:sz w:val="32"/>
          <w:szCs w:val="32"/>
        </w:rPr>
        <w:t>份额折算为</w:t>
      </w:r>
      <w:r w:rsidRPr="00F62EDE">
        <w:rPr>
          <w:rFonts w:ascii="仿宋" w:eastAsia="仿宋" w:hAnsi="仿宋" w:hint="eastAsia"/>
          <w:sz w:val="32"/>
          <w:szCs w:val="32"/>
        </w:rPr>
        <w:t>场内中融钢铁</w:t>
      </w:r>
      <w:r w:rsidRPr="00F62EDE">
        <w:rPr>
          <w:rFonts w:ascii="仿宋" w:eastAsia="仿宋" w:hAnsi="仿宋"/>
          <w:sz w:val="32"/>
          <w:szCs w:val="32"/>
        </w:rPr>
        <w:t>份额前，</w:t>
      </w:r>
      <w:r w:rsidRPr="00F62EDE">
        <w:rPr>
          <w:rFonts w:ascii="仿宋" w:eastAsia="仿宋" w:hAnsi="仿宋" w:hint="eastAsia"/>
          <w:sz w:val="32"/>
          <w:szCs w:val="32"/>
        </w:rPr>
        <w:t>钢铁A份额与钢铁B份额</w:t>
      </w:r>
      <w:r w:rsidRPr="00F62EDE">
        <w:rPr>
          <w:rFonts w:ascii="仿宋" w:eastAsia="仿宋" w:hAnsi="仿宋"/>
          <w:sz w:val="32"/>
          <w:szCs w:val="32"/>
        </w:rPr>
        <w:t>的持有人有两种方式退出：</w:t>
      </w:r>
    </w:p>
    <w:p w:rsidR="00E4244B" w:rsidRPr="00F62EDE" w:rsidRDefault="00E4244B" w:rsidP="00E4244B">
      <w:pPr>
        <w:pStyle w:val="Default"/>
        <w:spacing w:line="360" w:lineRule="auto"/>
        <w:ind w:firstLineChars="200" w:firstLine="640"/>
        <w:jc w:val="both"/>
        <w:rPr>
          <w:rFonts w:ascii="仿宋" w:eastAsia="仿宋" w:hAnsi="仿宋"/>
          <w:sz w:val="32"/>
          <w:szCs w:val="32"/>
        </w:rPr>
      </w:pPr>
      <w:r w:rsidRPr="00F62EDE">
        <w:rPr>
          <w:rFonts w:ascii="仿宋" w:eastAsia="仿宋" w:hAnsi="仿宋" w:hint="eastAsia"/>
          <w:sz w:val="32"/>
          <w:szCs w:val="32"/>
        </w:rPr>
        <w:t>（1）</w:t>
      </w:r>
      <w:r w:rsidRPr="00F62EDE">
        <w:rPr>
          <w:rFonts w:ascii="仿宋" w:eastAsia="仿宋" w:hAnsi="仿宋"/>
          <w:sz w:val="32"/>
          <w:szCs w:val="32"/>
        </w:rPr>
        <w:t>在场内按市价卖出基金份额；</w:t>
      </w:r>
    </w:p>
    <w:p w:rsidR="00E4244B" w:rsidRPr="00F62EDE" w:rsidRDefault="00E4244B" w:rsidP="00E4244B">
      <w:pPr>
        <w:pStyle w:val="Default"/>
        <w:spacing w:line="360" w:lineRule="auto"/>
        <w:ind w:firstLineChars="200" w:firstLine="640"/>
        <w:jc w:val="both"/>
        <w:rPr>
          <w:rFonts w:ascii="仿宋" w:eastAsia="仿宋" w:hAnsi="仿宋" w:cs="Times New Roman"/>
          <w:kern w:val="2"/>
          <w:sz w:val="32"/>
          <w:szCs w:val="32"/>
        </w:rPr>
      </w:pPr>
      <w:r w:rsidRPr="00F62EDE">
        <w:rPr>
          <w:rFonts w:ascii="仿宋" w:eastAsia="仿宋" w:hAnsi="仿宋" w:hint="eastAsia"/>
          <w:sz w:val="32"/>
          <w:szCs w:val="32"/>
        </w:rPr>
        <w:t>（2）</w:t>
      </w:r>
      <w:r w:rsidRPr="00F62EDE">
        <w:rPr>
          <w:rFonts w:ascii="仿宋" w:eastAsia="仿宋" w:hAnsi="仿宋"/>
          <w:sz w:val="32"/>
          <w:szCs w:val="32"/>
        </w:rPr>
        <w:t>在场内买入等量的对应份额（即</w:t>
      </w:r>
      <w:r w:rsidRPr="00F62EDE">
        <w:rPr>
          <w:rFonts w:ascii="仿宋" w:eastAsia="仿宋" w:hAnsi="仿宋" w:hint="eastAsia"/>
          <w:sz w:val="32"/>
          <w:szCs w:val="32"/>
        </w:rPr>
        <w:t>钢铁A份额</w:t>
      </w:r>
      <w:r w:rsidRPr="00F62EDE">
        <w:rPr>
          <w:rFonts w:ascii="仿宋" w:eastAsia="仿宋" w:hAnsi="仿宋"/>
          <w:sz w:val="32"/>
          <w:szCs w:val="32"/>
        </w:rPr>
        <w:t>持有人买入等量的</w:t>
      </w:r>
      <w:r w:rsidRPr="00F62EDE">
        <w:rPr>
          <w:rFonts w:ascii="仿宋" w:eastAsia="仿宋" w:hAnsi="仿宋" w:hint="eastAsia"/>
          <w:sz w:val="32"/>
          <w:szCs w:val="32"/>
        </w:rPr>
        <w:t>钢铁B份额</w:t>
      </w:r>
      <w:r w:rsidRPr="00F62EDE">
        <w:rPr>
          <w:rFonts w:ascii="仿宋" w:eastAsia="仿宋" w:hAnsi="仿宋"/>
          <w:sz w:val="32"/>
          <w:szCs w:val="32"/>
        </w:rPr>
        <w:t>，或者</w:t>
      </w:r>
      <w:r w:rsidRPr="00F62EDE">
        <w:rPr>
          <w:rFonts w:ascii="仿宋" w:eastAsia="仿宋" w:hAnsi="仿宋" w:hint="eastAsia"/>
          <w:sz w:val="32"/>
          <w:szCs w:val="32"/>
        </w:rPr>
        <w:t>钢铁B份额</w:t>
      </w:r>
      <w:r w:rsidRPr="00F62EDE">
        <w:rPr>
          <w:rFonts w:ascii="仿宋" w:eastAsia="仿宋" w:hAnsi="仿宋"/>
          <w:sz w:val="32"/>
          <w:szCs w:val="32"/>
        </w:rPr>
        <w:t>持有人买入等量的</w:t>
      </w:r>
      <w:r w:rsidRPr="00F62EDE">
        <w:rPr>
          <w:rFonts w:ascii="仿宋" w:eastAsia="仿宋" w:hAnsi="仿宋" w:hint="eastAsia"/>
          <w:sz w:val="32"/>
          <w:szCs w:val="32"/>
        </w:rPr>
        <w:t>钢铁A份额</w:t>
      </w:r>
      <w:r w:rsidRPr="00F62EDE">
        <w:rPr>
          <w:rFonts w:ascii="仿宋" w:eastAsia="仿宋" w:hAnsi="仿宋"/>
          <w:sz w:val="32"/>
          <w:szCs w:val="32"/>
        </w:rPr>
        <w:t>），合并为</w:t>
      </w:r>
      <w:r w:rsidRPr="00F62EDE">
        <w:rPr>
          <w:rFonts w:ascii="仿宋" w:eastAsia="仿宋" w:hAnsi="仿宋" w:hint="eastAsia"/>
          <w:sz w:val="32"/>
          <w:szCs w:val="32"/>
        </w:rPr>
        <w:t>场内中融钢铁</w:t>
      </w:r>
      <w:r w:rsidRPr="00F62EDE">
        <w:rPr>
          <w:rFonts w:ascii="仿宋" w:eastAsia="仿宋" w:hAnsi="仿宋"/>
          <w:sz w:val="32"/>
          <w:szCs w:val="32"/>
        </w:rPr>
        <w:t>份额，按照</w:t>
      </w:r>
      <w:r w:rsidRPr="00F62EDE">
        <w:rPr>
          <w:rFonts w:ascii="仿宋" w:eastAsia="仿宋" w:hAnsi="仿宋" w:hint="eastAsia"/>
          <w:sz w:val="32"/>
          <w:szCs w:val="32"/>
        </w:rPr>
        <w:t>中融钢铁</w:t>
      </w:r>
      <w:r w:rsidRPr="00F62EDE">
        <w:rPr>
          <w:rFonts w:ascii="仿宋" w:eastAsia="仿宋" w:hAnsi="仿宋"/>
          <w:sz w:val="32"/>
          <w:szCs w:val="32"/>
        </w:rPr>
        <w:t>份额的基金份额净值申请场内赎回或转托管至场外后申请赎回。</w:t>
      </w:r>
    </w:p>
    <w:p w:rsidR="00E4244B" w:rsidRPr="00F62EDE" w:rsidRDefault="00E4244B" w:rsidP="00E4244B">
      <w:pPr>
        <w:spacing w:line="360" w:lineRule="auto"/>
        <w:ind w:firstLineChars="200" w:firstLine="640"/>
        <w:rPr>
          <w:rFonts w:ascii="仿宋" w:eastAsia="仿宋" w:hAnsi="仿宋"/>
          <w:b/>
          <w:color w:val="000000"/>
          <w:sz w:val="32"/>
          <w:szCs w:val="32"/>
        </w:rPr>
      </w:pPr>
      <w:r w:rsidRPr="00F62EDE">
        <w:rPr>
          <w:rFonts w:ascii="仿宋" w:eastAsia="仿宋" w:hAnsi="仿宋" w:hint="eastAsia"/>
          <w:color w:val="000000"/>
          <w:sz w:val="32"/>
          <w:szCs w:val="32"/>
        </w:rPr>
        <w:t>3、由于钢铁A</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与钢铁B</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的持有人可能通过选择场内卖出</w:t>
      </w:r>
      <w:r w:rsidRPr="00F62EDE">
        <w:rPr>
          <w:rFonts w:ascii="仿宋" w:eastAsia="仿宋" w:hAnsi="仿宋"/>
          <w:color w:val="000000"/>
          <w:sz w:val="32"/>
          <w:szCs w:val="32"/>
        </w:rPr>
        <w:t>或</w:t>
      </w:r>
      <w:r w:rsidRPr="00F62EDE">
        <w:rPr>
          <w:rFonts w:ascii="仿宋" w:eastAsia="仿宋" w:hAnsi="仿宋" w:hint="eastAsia"/>
          <w:color w:val="000000"/>
          <w:sz w:val="32"/>
          <w:szCs w:val="32"/>
        </w:rPr>
        <w:t>合并</w:t>
      </w:r>
      <w:r w:rsidRPr="00F62EDE">
        <w:rPr>
          <w:rFonts w:ascii="仿宋" w:eastAsia="仿宋" w:hAnsi="仿宋"/>
          <w:color w:val="000000"/>
          <w:sz w:val="32"/>
          <w:szCs w:val="32"/>
        </w:rPr>
        <w:t>赎回等</w:t>
      </w:r>
      <w:r w:rsidRPr="00F62EDE">
        <w:rPr>
          <w:rFonts w:ascii="仿宋" w:eastAsia="仿宋" w:hAnsi="仿宋" w:hint="eastAsia"/>
          <w:color w:val="000000"/>
          <w:sz w:val="32"/>
          <w:szCs w:val="32"/>
        </w:rPr>
        <w:t>方式退出，场内份额数量可能发生较大下降，可能出现场内流动性不足的情况，</w:t>
      </w:r>
      <w:r w:rsidRPr="00F62EDE">
        <w:rPr>
          <w:rFonts w:ascii="仿宋" w:eastAsia="仿宋" w:hAnsi="仿宋" w:hint="eastAsia"/>
          <w:b/>
          <w:color w:val="000000"/>
          <w:sz w:val="32"/>
          <w:szCs w:val="32"/>
        </w:rPr>
        <w:t>请投资者注意流动性风险。</w:t>
      </w:r>
    </w:p>
    <w:p w:rsidR="00E4244B" w:rsidRPr="00F62EDE" w:rsidRDefault="00E4244B" w:rsidP="009B13B7">
      <w:pPr>
        <w:pStyle w:val="Default"/>
        <w:spacing w:line="360" w:lineRule="auto"/>
        <w:ind w:firstLineChars="200" w:firstLine="640"/>
        <w:jc w:val="both"/>
        <w:rPr>
          <w:rFonts w:ascii="仿宋" w:eastAsia="仿宋" w:hAnsi="仿宋"/>
          <w:sz w:val="32"/>
          <w:szCs w:val="32"/>
        </w:rPr>
      </w:pPr>
      <w:r w:rsidRPr="00F62EDE">
        <w:rPr>
          <w:rFonts w:ascii="仿宋" w:eastAsia="仿宋" w:hAnsi="仿宋" w:cs="Times New Roman"/>
          <w:kern w:val="2"/>
          <w:sz w:val="32"/>
          <w:szCs w:val="32"/>
        </w:rPr>
        <w:t>4</w:t>
      </w:r>
      <w:r w:rsidR="00973D95" w:rsidRPr="00F62EDE">
        <w:rPr>
          <w:rFonts w:ascii="仿宋" w:eastAsia="仿宋" w:hAnsi="仿宋" w:cs="Times New Roman" w:hint="eastAsia"/>
          <w:kern w:val="2"/>
          <w:sz w:val="32"/>
          <w:szCs w:val="32"/>
        </w:rPr>
        <w:t>、</w:t>
      </w:r>
      <w:r w:rsidR="00973D95" w:rsidRPr="00F62EDE">
        <w:rPr>
          <w:rFonts w:ascii="仿宋" w:eastAsia="仿宋" w:hAnsi="仿宋"/>
          <w:sz w:val="32"/>
          <w:szCs w:val="32"/>
        </w:rPr>
        <w:t>在份额折算基准日日终，以</w:t>
      </w:r>
      <w:r w:rsidR="001660B8" w:rsidRPr="00F62EDE">
        <w:rPr>
          <w:rFonts w:ascii="仿宋" w:eastAsia="仿宋" w:hAnsi="仿宋" w:hint="eastAsia"/>
          <w:sz w:val="32"/>
          <w:szCs w:val="32"/>
        </w:rPr>
        <w:t>中融钢铁</w:t>
      </w:r>
      <w:r w:rsidR="00973D95" w:rsidRPr="00F62EDE">
        <w:rPr>
          <w:rFonts w:ascii="仿宋" w:eastAsia="仿宋" w:hAnsi="仿宋"/>
          <w:sz w:val="32"/>
          <w:szCs w:val="32"/>
        </w:rPr>
        <w:t>份额的基金份额净值为基准，</w:t>
      </w:r>
      <w:r w:rsidR="00973D95" w:rsidRPr="00F62EDE">
        <w:rPr>
          <w:rFonts w:ascii="仿宋" w:eastAsia="仿宋" w:hAnsi="仿宋" w:hint="eastAsia"/>
          <w:sz w:val="32"/>
          <w:szCs w:val="32"/>
        </w:rPr>
        <w:t>钢铁A</w:t>
      </w:r>
      <w:r w:rsidR="00973D95" w:rsidRPr="00F62EDE">
        <w:rPr>
          <w:rFonts w:ascii="仿宋" w:eastAsia="仿宋" w:hAnsi="仿宋"/>
          <w:sz w:val="32"/>
          <w:szCs w:val="32"/>
        </w:rPr>
        <w:t>份额</w:t>
      </w:r>
      <w:r w:rsidR="00973D95" w:rsidRPr="00F62EDE">
        <w:rPr>
          <w:rFonts w:ascii="仿宋" w:eastAsia="仿宋" w:hAnsi="仿宋" w:hint="eastAsia"/>
          <w:sz w:val="32"/>
          <w:szCs w:val="32"/>
        </w:rPr>
        <w:t>、钢铁B</w:t>
      </w:r>
      <w:r w:rsidR="00973D95" w:rsidRPr="00F62EDE">
        <w:rPr>
          <w:rFonts w:ascii="仿宋" w:eastAsia="仿宋" w:hAnsi="仿宋"/>
          <w:sz w:val="32"/>
          <w:szCs w:val="32"/>
        </w:rPr>
        <w:t>份额按照各自的</w:t>
      </w:r>
      <w:r w:rsidR="00973D95" w:rsidRPr="00F62EDE">
        <w:rPr>
          <w:rFonts w:ascii="仿宋" w:eastAsia="仿宋" w:hAnsi="仿宋"/>
          <w:b/>
          <w:sz w:val="32"/>
          <w:szCs w:val="32"/>
        </w:rPr>
        <w:t>基金份额参考净值（而不是二级市场价格）</w:t>
      </w:r>
      <w:r w:rsidR="00973D95" w:rsidRPr="00F62EDE">
        <w:rPr>
          <w:rFonts w:ascii="仿宋" w:eastAsia="仿宋" w:hAnsi="仿宋"/>
          <w:sz w:val="32"/>
          <w:szCs w:val="32"/>
        </w:rPr>
        <w:t>折算成场内</w:t>
      </w:r>
      <w:r w:rsidR="001660B8" w:rsidRPr="00F62EDE">
        <w:rPr>
          <w:rFonts w:ascii="仿宋" w:eastAsia="仿宋" w:hAnsi="仿宋" w:hint="eastAsia"/>
          <w:sz w:val="32"/>
          <w:szCs w:val="32"/>
        </w:rPr>
        <w:t>中融钢铁</w:t>
      </w:r>
      <w:r w:rsidR="00973D95" w:rsidRPr="00F62EDE">
        <w:rPr>
          <w:rFonts w:ascii="仿宋" w:eastAsia="仿宋" w:hAnsi="仿宋"/>
          <w:sz w:val="32"/>
          <w:szCs w:val="32"/>
        </w:rPr>
        <w:t>份额</w:t>
      </w:r>
      <w:r w:rsidRPr="00F62EDE">
        <w:rPr>
          <w:rFonts w:ascii="仿宋" w:eastAsia="仿宋" w:hAnsi="仿宋" w:hint="eastAsia"/>
          <w:sz w:val="32"/>
          <w:szCs w:val="32"/>
        </w:rPr>
        <w:t>。</w:t>
      </w:r>
      <w:r w:rsidRPr="00F62EDE">
        <w:rPr>
          <w:rFonts w:ascii="仿宋" w:eastAsia="仿宋" w:hAnsi="仿宋" w:hint="eastAsia"/>
          <w:b/>
          <w:sz w:val="32"/>
          <w:szCs w:val="32"/>
        </w:rPr>
        <w:t>折算前存在溢价交易的基金份额的持有人将会因为溢价的消失而造成损失。</w:t>
      </w:r>
    </w:p>
    <w:p w:rsidR="00E4244B" w:rsidRPr="00F62EDE" w:rsidRDefault="00E4244B" w:rsidP="00E4244B">
      <w:pPr>
        <w:pStyle w:val="Default"/>
        <w:spacing w:line="360" w:lineRule="auto"/>
        <w:ind w:firstLineChars="200" w:firstLine="640"/>
        <w:jc w:val="both"/>
        <w:rPr>
          <w:rFonts w:ascii="仿宋" w:eastAsia="仿宋" w:hAnsi="仿宋"/>
          <w:b/>
          <w:sz w:val="32"/>
          <w:szCs w:val="32"/>
        </w:rPr>
      </w:pPr>
      <w:r w:rsidRPr="00F62EDE">
        <w:rPr>
          <w:rFonts w:ascii="仿宋" w:eastAsia="仿宋" w:hAnsi="仿宋" w:hint="eastAsia"/>
          <w:sz w:val="32"/>
          <w:szCs w:val="32"/>
        </w:rPr>
        <w:t>钢铁A份额和钢铁B份额基金份额持有人持有的折算后场内中融钢铁份额取整计算（最小单位为1份），不足1份的零碎份额的处理方式按照中国证券登记结算有限责任公司的相关规则处理，折算后的基金份额以登记结算机构最终确认的数据为准。</w:t>
      </w:r>
      <w:r w:rsidRPr="00F62EDE">
        <w:rPr>
          <w:rFonts w:ascii="仿宋" w:eastAsia="仿宋" w:hAnsi="仿宋" w:hint="eastAsia"/>
          <w:b/>
          <w:sz w:val="32"/>
          <w:szCs w:val="32"/>
        </w:rPr>
        <w:t>由于基金份额数取整计算产生的误差，基金份额持有人将面临其所持基金资产净值减小的风险，对于持有份额数极少的</w:t>
      </w:r>
      <w:r w:rsidR="0037433B" w:rsidRPr="00F62EDE">
        <w:rPr>
          <w:rFonts w:ascii="仿宋" w:eastAsia="仿宋" w:hAnsi="仿宋" w:hint="eastAsia"/>
          <w:b/>
          <w:sz w:val="32"/>
          <w:szCs w:val="32"/>
        </w:rPr>
        <w:t>钢铁A</w:t>
      </w:r>
      <w:r w:rsidRPr="00F62EDE">
        <w:rPr>
          <w:rFonts w:ascii="仿宋" w:eastAsia="仿宋" w:hAnsi="仿宋" w:hint="eastAsia"/>
          <w:b/>
          <w:sz w:val="32"/>
          <w:szCs w:val="32"/>
        </w:rPr>
        <w:t>份额、</w:t>
      </w:r>
      <w:r w:rsidR="0037433B" w:rsidRPr="00F62EDE">
        <w:rPr>
          <w:rFonts w:ascii="仿宋" w:eastAsia="仿宋" w:hAnsi="仿宋" w:hint="eastAsia"/>
          <w:b/>
          <w:sz w:val="32"/>
          <w:szCs w:val="32"/>
        </w:rPr>
        <w:t>钢铁</w:t>
      </w:r>
      <w:r w:rsidRPr="00F62EDE">
        <w:rPr>
          <w:rFonts w:ascii="仿宋" w:eastAsia="仿宋" w:hAnsi="仿宋" w:hint="eastAsia"/>
          <w:b/>
          <w:sz w:val="32"/>
          <w:szCs w:val="32"/>
        </w:rPr>
        <w:t>B份额持有人，将面临持有的基金份额折算后份额数不足一份而被计入基金资产的风险。</w:t>
      </w:r>
    </w:p>
    <w:p w:rsidR="00973D95" w:rsidRPr="00F62EDE" w:rsidRDefault="00973D95" w:rsidP="0017171B">
      <w:pPr>
        <w:pStyle w:val="Default"/>
        <w:spacing w:line="360" w:lineRule="auto"/>
        <w:ind w:firstLineChars="200" w:firstLine="640"/>
        <w:jc w:val="both"/>
        <w:rPr>
          <w:rFonts w:ascii="仿宋" w:eastAsia="仿宋" w:hAnsi="仿宋" w:cs="Times New Roman"/>
          <w:kern w:val="2"/>
          <w:sz w:val="32"/>
          <w:szCs w:val="32"/>
        </w:rPr>
      </w:pPr>
      <w:r w:rsidRPr="00F62EDE">
        <w:rPr>
          <w:rFonts w:ascii="仿宋" w:eastAsia="仿宋" w:hAnsi="仿宋" w:hint="eastAsia"/>
          <w:b/>
          <w:sz w:val="32"/>
          <w:szCs w:val="32"/>
        </w:rPr>
        <w:t>钢铁A</w:t>
      </w:r>
      <w:r w:rsidRPr="00F62EDE">
        <w:rPr>
          <w:rFonts w:ascii="仿宋" w:eastAsia="仿宋" w:hAnsi="仿宋"/>
          <w:b/>
          <w:sz w:val="32"/>
          <w:szCs w:val="32"/>
        </w:rPr>
        <w:t>份额</w:t>
      </w:r>
      <w:r w:rsidRPr="00F62EDE">
        <w:rPr>
          <w:rFonts w:ascii="仿宋" w:eastAsia="仿宋" w:hAnsi="仿宋" w:hint="eastAsia"/>
          <w:b/>
          <w:sz w:val="32"/>
          <w:szCs w:val="32"/>
        </w:rPr>
        <w:t>与钢铁B</w:t>
      </w:r>
      <w:r w:rsidRPr="00F62EDE">
        <w:rPr>
          <w:rFonts w:ascii="仿宋" w:eastAsia="仿宋" w:hAnsi="仿宋"/>
          <w:b/>
          <w:sz w:val="32"/>
          <w:szCs w:val="32"/>
        </w:rPr>
        <w:t>份额的基金份额持有人持有的基金份额数量将会在折算后发生变化</w:t>
      </w:r>
      <w:r w:rsidRPr="00F62EDE">
        <w:rPr>
          <w:rFonts w:ascii="仿宋" w:eastAsia="仿宋" w:hAnsi="仿宋" w:hint="eastAsia"/>
          <w:b/>
          <w:sz w:val="32"/>
          <w:szCs w:val="32"/>
        </w:rPr>
        <w:t>，</w:t>
      </w:r>
      <w:r w:rsidRPr="00F62EDE">
        <w:rPr>
          <w:rFonts w:ascii="仿宋" w:eastAsia="仿宋" w:hAnsi="仿宋"/>
          <w:sz w:val="32"/>
          <w:szCs w:val="32"/>
        </w:rPr>
        <w:t>示例如下</w:t>
      </w:r>
      <w:r w:rsidRPr="00F62EDE">
        <w:rPr>
          <w:rFonts w:ascii="仿宋" w:eastAsia="仿宋" w:hAnsi="仿宋" w:hint="eastAsia"/>
          <w:sz w:val="32"/>
          <w:szCs w:val="32"/>
        </w:rPr>
        <w:t>：</w:t>
      </w:r>
    </w:p>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color w:val="000000"/>
          <w:sz w:val="32"/>
          <w:szCs w:val="32"/>
        </w:rPr>
        <w:t>假设份额折算基准日</w:t>
      </w:r>
      <w:r w:rsidR="001660B8" w:rsidRPr="00F62EDE">
        <w:rPr>
          <w:rFonts w:ascii="仿宋" w:eastAsia="仿宋" w:hAnsi="仿宋" w:hint="eastAsia"/>
          <w:color w:val="000000"/>
          <w:sz w:val="32"/>
          <w:szCs w:val="32"/>
        </w:rPr>
        <w:t>中融钢铁</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的基金份额净值</w:t>
      </w:r>
      <w:r w:rsidRPr="00F62EDE">
        <w:rPr>
          <w:rFonts w:ascii="仿宋" w:eastAsia="仿宋" w:hAnsi="仿宋"/>
          <w:color w:val="000000"/>
          <w:sz w:val="32"/>
          <w:szCs w:val="32"/>
        </w:rPr>
        <w:t>、</w:t>
      </w:r>
      <w:r w:rsidRPr="00F62EDE">
        <w:rPr>
          <w:rFonts w:ascii="仿宋" w:eastAsia="仿宋" w:hAnsi="仿宋" w:hint="eastAsia"/>
          <w:sz w:val="32"/>
          <w:szCs w:val="32"/>
        </w:rPr>
        <w:t>钢铁A</w:t>
      </w:r>
      <w:r w:rsidRPr="00F62EDE">
        <w:rPr>
          <w:rFonts w:ascii="仿宋" w:eastAsia="仿宋" w:hAnsi="仿宋"/>
          <w:color w:val="000000"/>
          <w:sz w:val="32"/>
          <w:szCs w:val="32"/>
        </w:rPr>
        <w:t>份额</w:t>
      </w:r>
      <w:r w:rsidRPr="00F62EDE">
        <w:rPr>
          <w:rFonts w:ascii="仿宋" w:eastAsia="仿宋" w:hAnsi="仿宋" w:hint="eastAsia"/>
          <w:sz w:val="32"/>
          <w:szCs w:val="32"/>
        </w:rPr>
        <w:t>与钢铁B</w:t>
      </w:r>
      <w:r w:rsidRPr="00F62EDE">
        <w:rPr>
          <w:rFonts w:ascii="仿宋" w:eastAsia="仿宋" w:hAnsi="仿宋"/>
          <w:color w:val="000000"/>
          <w:sz w:val="32"/>
          <w:szCs w:val="32"/>
        </w:rPr>
        <w:t>份额的基金份额参考净值的分别为：0.900元、1.010元、0.790元，投资者甲、乙、丙分别持有场内</w:t>
      </w:r>
      <w:r w:rsidR="001660B8" w:rsidRPr="00F62EDE">
        <w:rPr>
          <w:rFonts w:ascii="仿宋" w:eastAsia="仿宋" w:hAnsi="仿宋" w:hint="eastAsia"/>
          <w:color w:val="000000"/>
          <w:sz w:val="32"/>
          <w:szCs w:val="32"/>
        </w:rPr>
        <w:t>中融钢铁</w:t>
      </w:r>
      <w:r w:rsidRPr="00F62EDE">
        <w:rPr>
          <w:rFonts w:ascii="仿宋" w:eastAsia="仿宋" w:hAnsi="仿宋"/>
          <w:color w:val="000000"/>
          <w:sz w:val="32"/>
          <w:szCs w:val="32"/>
        </w:rPr>
        <w:t>份额、</w:t>
      </w:r>
      <w:r w:rsidRPr="00F62EDE">
        <w:rPr>
          <w:rFonts w:ascii="仿宋" w:eastAsia="仿宋" w:hAnsi="仿宋" w:hint="eastAsia"/>
          <w:sz w:val="32"/>
          <w:szCs w:val="32"/>
        </w:rPr>
        <w:t>钢铁A</w:t>
      </w:r>
      <w:r w:rsidRPr="00F62EDE">
        <w:rPr>
          <w:rFonts w:ascii="仿宋" w:eastAsia="仿宋" w:hAnsi="仿宋"/>
          <w:color w:val="000000"/>
          <w:sz w:val="32"/>
          <w:szCs w:val="32"/>
        </w:rPr>
        <w:t>份额</w:t>
      </w:r>
      <w:r w:rsidRPr="00F62EDE">
        <w:rPr>
          <w:rFonts w:ascii="仿宋" w:eastAsia="仿宋" w:hAnsi="仿宋" w:hint="eastAsia"/>
          <w:sz w:val="32"/>
          <w:szCs w:val="32"/>
        </w:rPr>
        <w:t>、钢铁B</w:t>
      </w:r>
      <w:r w:rsidRPr="00F62EDE">
        <w:rPr>
          <w:rFonts w:ascii="仿宋" w:eastAsia="仿宋" w:hAnsi="仿宋"/>
          <w:color w:val="000000"/>
          <w:sz w:val="32"/>
          <w:szCs w:val="32"/>
        </w:rPr>
        <w:t>份额各100,000份，其所持基金份额的变化如下表所示：</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281"/>
        <w:gridCol w:w="1275"/>
        <w:gridCol w:w="2268"/>
        <w:gridCol w:w="1276"/>
        <w:gridCol w:w="2552"/>
      </w:tblGrid>
      <w:tr w:rsidR="000729D6" w:rsidRPr="00F62EDE" w:rsidTr="005B3649">
        <w:trPr>
          <w:trHeight w:val="300"/>
          <w:jc w:val="center"/>
        </w:trPr>
        <w:tc>
          <w:tcPr>
            <w:tcW w:w="1555" w:type="dxa"/>
            <w:vMerge w:val="restart"/>
            <w:shd w:val="clear" w:color="auto" w:fill="auto"/>
            <w:noWrap/>
            <w:vAlign w:val="center"/>
          </w:tcPr>
          <w:p w:rsidR="000729D6" w:rsidRPr="00F62EDE" w:rsidRDefault="0010125E" w:rsidP="0097349D">
            <w:pPr>
              <w:widowControl/>
              <w:rPr>
                <w:rFonts w:ascii="仿宋" w:eastAsia="仿宋" w:hAnsi="仿宋" w:cs="宋体"/>
                <w:bCs/>
                <w:color w:val="000000"/>
                <w:kern w:val="0"/>
                <w:sz w:val="24"/>
                <w:szCs w:val="24"/>
              </w:rPr>
            </w:pPr>
            <w:r w:rsidRPr="00F62EDE">
              <w:rPr>
                <w:rFonts w:ascii="仿宋" w:eastAsia="仿宋" w:hAnsi="仿宋" w:cs="宋体" w:hint="eastAsia"/>
                <w:bCs/>
                <w:color w:val="000000"/>
                <w:kern w:val="0"/>
                <w:sz w:val="24"/>
                <w:szCs w:val="24"/>
              </w:rPr>
              <w:t>基金份额</w:t>
            </w:r>
          </w:p>
        </w:tc>
        <w:tc>
          <w:tcPr>
            <w:tcW w:w="2556" w:type="dxa"/>
            <w:gridSpan w:val="2"/>
            <w:shd w:val="clear" w:color="auto" w:fill="auto"/>
            <w:noWrap/>
            <w:vAlign w:val="center"/>
          </w:tcPr>
          <w:p w:rsidR="000729D6" w:rsidRPr="00F62EDE" w:rsidRDefault="000729D6" w:rsidP="006969A2">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折算前</w:t>
            </w:r>
          </w:p>
        </w:tc>
        <w:tc>
          <w:tcPr>
            <w:tcW w:w="2268" w:type="dxa"/>
            <w:vMerge w:val="restart"/>
          </w:tcPr>
          <w:p w:rsidR="000729D6" w:rsidRPr="00F62EDE" w:rsidRDefault="000729D6" w:rsidP="0097349D">
            <w:pPr>
              <w:pStyle w:val="Default"/>
              <w:jc w:val="center"/>
              <w:rPr>
                <w:rFonts w:ascii="仿宋" w:eastAsia="仿宋" w:hAnsi="仿宋"/>
                <w:sz w:val="21"/>
                <w:szCs w:val="21"/>
              </w:rPr>
            </w:pPr>
          </w:p>
          <w:p w:rsidR="000729D6" w:rsidRPr="00F62EDE" w:rsidRDefault="000729D6" w:rsidP="0097349D">
            <w:pPr>
              <w:pStyle w:val="Default"/>
              <w:jc w:val="center"/>
              <w:rPr>
                <w:rFonts w:ascii="仿宋" w:eastAsia="仿宋" w:hAnsi="仿宋"/>
                <w:sz w:val="21"/>
                <w:szCs w:val="21"/>
              </w:rPr>
            </w:pPr>
          </w:p>
          <w:p w:rsidR="000729D6" w:rsidRPr="00F62EDE" w:rsidRDefault="000729D6" w:rsidP="0097349D">
            <w:pPr>
              <w:widowControl/>
              <w:jc w:val="center"/>
              <w:rPr>
                <w:rFonts w:ascii="仿宋" w:eastAsia="仿宋" w:hAnsi="仿宋"/>
                <w:szCs w:val="21"/>
              </w:rPr>
            </w:pPr>
            <w:r w:rsidRPr="00F62EDE">
              <w:rPr>
                <w:rFonts w:ascii="仿宋" w:eastAsia="仿宋" w:hAnsi="仿宋" w:cs="宋体"/>
                <w:b/>
                <w:bCs/>
                <w:color w:val="000000"/>
                <w:kern w:val="0"/>
                <w:sz w:val="24"/>
                <w:szCs w:val="24"/>
              </w:rPr>
              <w:t>份额折算比例</w:t>
            </w:r>
          </w:p>
          <w:p w:rsidR="000729D6" w:rsidRPr="00F62EDE" w:rsidRDefault="000729D6" w:rsidP="0097349D">
            <w:pPr>
              <w:widowControl/>
              <w:jc w:val="center"/>
              <w:rPr>
                <w:rFonts w:ascii="仿宋" w:eastAsia="仿宋" w:hAnsi="仿宋" w:cs="宋体"/>
                <w:bCs/>
                <w:color w:val="000000"/>
                <w:kern w:val="0"/>
                <w:sz w:val="24"/>
                <w:szCs w:val="24"/>
              </w:rPr>
            </w:pPr>
          </w:p>
        </w:tc>
        <w:tc>
          <w:tcPr>
            <w:tcW w:w="3828" w:type="dxa"/>
            <w:gridSpan w:val="2"/>
          </w:tcPr>
          <w:p w:rsidR="000729D6" w:rsidRPr="00F62EDE" w:rsidRDefault="000729D6" w:rsidP="006969A2">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折算后</w:t>
            </w:r>
          </w:p>
        </w:tc>
      </w:tr>
      <w:tr w:rsidR="00973D95" w:rsidRPr="00F62EDE" w:rsidTr="005B3649">
        <w:trPr>
          <w:trHeight w:val="300"/>
          <w:jc w:val="center"/>
        </w:trPr>
        <w:tc>
          <w:tcPr>
            <w:tcW w:w="1555" w:type="dxa"/>
            <w:vMerge/>
            <w:shd w:val="clear" w:color="auto" w:fill="auto"/>
            <w:noWrap/>
            <w:vAlign w:val="center"/>
          </w:tcPr>
          <w:p w:rsidR="00973D95" w:rsidRPr="00F62EDE" w:rsidRDefault="00973D95" w:rsidP="0097349D">
            <w:pPr>
              <w:widowControl/>
              <w:jc w:val="center"/>
              <w:rPr>
                <w:rFonts w:ascii="仿宋" w:eastAsia="仿宋" w:hAnsi="仿宋" w:cs="宋体"/>
                <w:bCs/>
                <w:color w:val="000000"/>
                <w:kern w:val="0"/>
                <w:sz w:val="24"/>
                <w:szCs w:val="24"/>
              </w:rPr>
            </w:pPr>
          </w:p>
        </w:tc>
        <w:tc>
          <w:tcPr>
            <w:tcW w:w="1281" w:type="dxa"/>
            <w:shd w:val="clear" w:color="auto" w:fill="auto"/>
            <w:noWrap/>
            <w:vAlign w:val="center"/>
          </w:tcPr>
          <w:p w:rsidR="00973D95" w:rsidRPr="00F62EDE" w:rsidRDefault="00973D95" w:rsidP="00C91ACC">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基金份额参考净值（元）</w:t>
            </w:r>
          </w:p>
        </w:tc>
        <w:tc>
          <w:tcPr>
            <w:tcW w:w="1275" w:type="dxa"/>
            <w:shd w:val="clear" w:color="auto" w:fill="auto"/>
            <w:noWrap/>
            <w:vAlign w:val="center"/>
          </w:tcPr>
          <w:p w:rsidR="00973D95" w:rsidRPr="00F62EDE" w:rsidRDefault="00973D95" w:rsidP="00C91ACC">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基金份额（份）</w:t>
            </w:r>
          </w:p>
        </w:tc>
        <w:tc>
          <w:tcPr>
            <w:tcW w:w="2268" w:type="dxa"/>
            <w:vMerge/>
          </w:tcPr>
          <w:p w:rsidR="00973D95" w:rsidRPr="00F62EDE" w:rsidRDefault="00973D95" w:rsidP="0097349D">
            <w:pPr>
              <w:widowControl/>
              <w:jc w:val="center"/>
              <w:rPr>
                <w:rFonts w:ascii="仿宋" w:eastAsia="仿宋" w:hAnsi="仿宋" w:cs="宋体"/>
                <w:b/>
                <w:bCs/>
                <w:color w:val="000000"/>
                <w:kern w:val="0"/>
                <w:sz w:val="24"/>
                <w:szCs w:val="24"/>
              </w:rPr>
            </w:pPr>
          </w:p>
        </w:tc>
        <w:tc>
          <w:tcPr>
            <w:tcW w:w="1276" w:type="dxa"/>
          </w:tcPr>
          <w:p w:rsidR="00973D95" w:rsidRPr="00F62EDE" w:rsidRDefault="00973D95" w:rsidP="00C91ACC">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基金份额净值（元）</w:t>
            </w:r>
          </w:p>
        </w:tc>
        <w:tc>
          <w:tcPr>
            <w:tcW w:w="2552" w:type="dxa"/>
            <w:vAlign w:val="center"/>
          </w:tcPr>
          <w:p w:rsidR="00973D95" w:rsidRPr="00F62EDE" w:rsidRDefault="00973D95" w:rsidP="00C91ACC">
            <w:pPr>
              <w:widowControl/>
              <w:jc w:val="center"/>
              <w:rPr>
                <w:rFonts w:ascii="仿宋" w:eastAsia="仿宋" w:hAnsi="仿宋" w:cs="宋体"/>
                <w:b/>
                <w:bCs/>
                <w:color w:val="000000"/>
                <w:kern w:val="0"/>
                <w:sz w:val="24"/>
                <w:szCs w:val="24"/>
              </w:rPr>
            </w:pPr>
            <w:r w:rsidRPr="00F62EDE">
              <w:rPr>
                <w:rFonts w:ascii="仿宋" w:eastAsia="仿宋" w:hAnsi="仿宋" w:cs="宋体"/>
                <w:b/>
                <w:bCs/>
                <w:color w:val="000000"/>
                <w:kern w:val="0"/>
                <w:sz w:val="24"/>
                <w:szCs w:val="24"/>
              </w:rPr>
              <w:t>基金份额</w:t>
            </w:r>
          </w:p>
          <w:p w:rsidR="00973D95" w:rsidRPr="00F62EDE" w:rsidRDefault="00973D95" w:rsidP="00C91ACC">
            <w:pPr>
              <w:widowControl/>
              <w:jc w:val="center"/>
              <w:rPr>
                <w:rFonts w:ascii="仿宋" w:eastAsia="仿宋" w:hAnsi="仿宋" w:cs="宋体"/>
                <w:b/>
                <w:bCs/>
                <w:color w:val="000000"/>
                <w:kern w:val="0"/>
                <w:sz w:val="24"/>
                <w:szCs w:val="24"/>
              </w:rPr>
            </w:pPr>
            <w:r w:rsidRPr="00F62EDE">
              <w:rPr>
                <w:rFonts w:ascii="仿宋" w:eastAsia="仿宋" w:hAnsi="仿宋" w:cs="宋体" w:hint="eastAsia"/>
                <w:b/>
                <w:bCs/>
                <w:color w:val="000000"/>
                <w:kern w:val="0"/>
                <w:sz w:val="24"/>
                <w:szCs w:val="24"/>
              </w:rPr>
              <w:t>（份）</w:t>
            </w:r>
          </w:p>
        </w:tc>
      </w:tr>
      <w:tr w:rsidR="00973D95" w:rsidRPr="00F62EDE" w:rsidTr="005B3649">
        <w:trPr>
          <w:trHeight w:val="300"/>
          <w:jc w:val="center"/>
        </w:trPr>
        <w:tc>
          <w:tcPr>
            <w:tcW w:w="1555" w:type="dxa"/>
            <w:shd w:val="clear" w:color="auto" w:fill="auto"/>
            <w:noWrap/>
            <w:vAlign w:val="center"/>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场内</w:t>
            </w:r>
            <w:r w:rsidR="001660B8" w:rsidRPr="00F62EDE">
              <w:rPr>
                <w:rFonts w:ascii="仿宋" w:eastAsia="仿宋" w:hAnsi="仿宋" w:cs="宋体" w:hint="eastAsia"/>
                <w:bCs/>
                <w:color w:val="000000"/>
                <w:kern w:val="0"/>
                <w:sz w:val="24"/>
                <w:szCs w:val="24"/>
              </w:rPr>
              <w:t>中融钢铁</w:t>
            </w:r>
            <w:r w:rsidRPr="00F62EDE">
              <w:rPr>
                <w:rFonts w:ascii="仿宋" w:eastAsia="仿宋" w:hAnsi="仿宋" w:cs="宋体"/>
                <w:bCs/>
                <w:color w:val="000000"/>
                <w:kern w:val="0"/>
                <w:sz w:val="24"/>
                <w:szCs w:val="24"/>
              </w:rPr>
              <w:t>份额</w:t>
            </w:r>
          </w:p>
        </w:tc>
        <w:tc>
          <w:tcPr>
            <w:tcW w:w="1281"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0.900</w:t>
            </w:r>
          </w:p>
          <w:p w:rsidR="00973D95" w:rsidRPr="00F62EDE" w:rsidRDefault="00973D95" w:rsidP="0097349D">
            <w:pPr>
              <w:widowControl/>
              <w:jc w:val="center"/>
              <w:rPr>
                <w:rFonts w:ascii="仿宋" w:eastAsia="仿宋" w:hAnsi="仿宋" w:cs="宋体"/>
                <w:bCs/>
                <w:color w:val="000000"/>
                <w:kern w:val="0"/>
                <w:sz w:val="24"/>
                <w:szCs w:val="24"/>
              </w:rPr>
            </w:pPr>
          </w:p>
        </w:tc>
        <w:tc>
          <w:tcPr>
            <w:tcW w:w="1275"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100,000</w:t>
            </w:r>
          </w:p>
          <w:p w:rsidR="00973D95" w:rsidRPr="00F62EDE" w:rsidRDefault="00973D95" w:rsidP="0097349D">
            <w:pPr>
              <w:widowControl/>
              <w:jc w:val="center"/>
              <w:rPr>
                <w:rFonts w:ascii="仿宋" w:eastAsia="仿宋" w:hAnsi="仿宋" w:cs="宋体"/>
                <w:bCs/>
                <w:color w:val="000000"/>
                <w:kern w:val="0"/>
                <w:sz w:val="24"/>
                <w:szCs w:val="24"/>
              </w:rPr>
            </w:pPr>
          </w:p>
        </w:tc>
        <w:tc>
          <w:tcPr>
            <w:tcW w:w="2268" w:type="dxa"/>
            <w:vAlign w:val="center"/>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hint="eastAsia"/>
                <w:bCs/>
                <w:color w:val="000000"/>
                <w:kern w:val="0"/>
                <w:sz w:val="24"/>
                <w:szCs w:val="24"/>
              </w:rPr>
              <w:t>无变化</w:t>
            </w:r>
          </w:p>
        </w:tc>
        <w:tc>
          <w:tcPr>
            <w:tcW w:w="1276" w:type="dxa"/>
          </w:tcPr>
          <w:p w:rsidR="00973D95" w:rsidRPr="00F62EDE" w:rsidRDefault="00973D95"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0.900</w:t>
            </w:r>
          </w:p>
          <w:p w:rsidR="00973D95" w:rsidRPr="00F62EDE" w:rsidRDefault="00973D95" w:rsidP="0097349D">
            <w:pPr>
              <w:widowControl/>
              <w:jc w:val="center"/>
              <w:rPr>
                <w:rFonts w:ascii="仿宋" w:eastAsia="仿宋" w:hAnsi="仿宋" w:cs="宋体"/>
                <w:bCs/>
                <w:color w:val="000000"/>
                <w:kern w:val="0"/>
                <w:sz w:val="24"/>
                <w:szCs w:val="24"/>
              </w:rPr>
            </w:pPr>
          </w:p>
        </w:tc>
        <w:tc>
          <w:tcPr>
            <w:tcW w:w="2552" w:type="dxa"/>
            <w:vAlign w:val="center"/>
          </w:tcPr>
          <w:p w:rsidR="00973D95" w:rsidRPr="00F62EDE" w:rsidRDefault="00973D95" w:rsidP="0097349D">
            <w:pPr>
              <w:pStyle w:val="Default"/>
              <w:jc w:val="center"/>
              <w:rPr>
                <w:rFonts w:ascii="仿宋" w:eastAsia="仿宋" w:hAnsi="仿宋" w:cs="宋体"/>
                <w:bCs/>
              </w:rPr>
            </w:pPr>
            <w:r w:rsidRPr="00F62EDE">
              <w:rPr>
                <w:rFonts w:ascii="仿宋" w:eastAsia="仿宋" w:hAnsi="仿宋" w:cs="宋体"/>
                <w:bCs/>
              </w:rPr>
              <w:t>100,000份场内</w:t>
            </w:r>
            <w:r w:rsidR="001660B8" w:rsidRPr="00F62EDE">
              <w:rPr>
                <w:rFonts w:ascii="仿宋" w:eastAsia="仿宋" w:hAnsi="仿宋" w:cs="宋体" w:hint="eastAsia"/>
                <w:bCs/>
              </w:rPr>
              <w:t>中融钢铁</w:t>
            </w:r>
            <w:r w:rsidRPr="00F62EDE">
              <w:rPr>
                <w:rFonts w:ascii="仿宋" w:eastAsia="仿宋" w:hAnsi="仿宋" w:cs="宋体"/>
                <w:bCs/>
              </w:rPr>
              <w:t>份额</w:t>
            </w:r>
          </w:p>
        </w:tc>
      </w:tr>
      <w:tr w:rsidR="00973D95" w:rsidRPr="00F62EDE" w:rsidTr="005B3649">
        <w:trPr>
          <w:trHeight w:val="300"/>
          <w:jc w:val="center"/>
        </w:trPr>
        <w:tc>
          <w:tcPr>
            <w:tcW w:w="1555" w:type="dxa"/>
            <w:shd w:val="clear" w:color="auto" w:fill="auto"/>
            <w:noWrap/>
            <w:vAlign w:val="center"/>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hint="eastAsia"/>
                <w:bCs/>
                <w:color w:val="000000"/>
                <w:kern w:val="0"/>
                <w:sz w:val="24"/>
                <w:szCs w:val="24"/>
              </w:rPr>
              <w:t>钢铁A</w:t>
            </w:r>
            <w:r w:rsidR="000729D6" w:rsidRPr="00F62EDE">
              <w:rPr>
                <w:rFonts w:ascii="仿宋" w:eastAsia="仿宋" w:hAnsi="仿宋" w:cs="宋体" w:hint="eastAsia"/>
                <w:bCs/>
                <w:color w:val="000000"/>
                <w:kern w:val="0"/>
                <w:sz w:val="24"/>
                <w:szCs w:val="24"/>
              </w:rPr>
              <w:t>份额</w:t>
            </w:r>
          </w:p>
        </w:tc>
        <w:tc>
          <w:tcPr>
            <w:tcW w:w="1281"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1.010</w:t>
            </w:r>
          </w:p>
          <w:p w:rsidR="00973D95" w:rsidRPr="00F62EDE" w:rsidRDefault="00973D95" w:rsidP="0097349D">
            <w:pPr>
              <w:widowControl/>
              <w:jc w:val="center"/>
              <w:rPr>
                <w:rFonts w:ascii="仿宋" w:eastAsia="仿宋" w:hAnsi="仿宋" w:cs="宋体"/>
                <w:bCs/>
                <w:color w:val="000000"/>
                <w:kern w:val="0"/>
                <w:sz w:val="24"/>
                <w:szCs w:val="24"/>
              </w:rPr>
            </w:pPr>
          </w:p>
        </w:tc>
        <w:tc>
          <w:tcPr>
            <w:tcW w:w="1275"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100,000</w:t>
            </w:r>
          </w:p>
          <w:p w:rsidR="00973D95" w:rsidRPr="00F62EDE" w:rsidRDefault="00973D95" w:rsidP="0097349D">
            <w:pPr>
              <w:widowControl/>
              <w:jc w:val="center"/>
              <w:rPr>
                <w:rFonts w:ascii="仿宋" w:eastAsia="仿宋" w:hAnsi="仿宋" w:cs="宋体"/>
                <w:bCs/>
                <w:color w:val="000000"/>
                <w:kern w:val="0"/>
                <w:sz w:val="24"/>
                <w:szCs w:val="24"/>
              </w:rPr>
            </w:pPr>
          </w:p>
        </w:tc>
        <w:tc>
          <w:tcPr>
            <w:tcW w:w="2268" w:type="dxa"/>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1.122222222</w:t>
            </w: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（全部折算为</w:t>
            </w:r>
            <w:r w:rsidRPr="00F62EDE">
              <w:rPr>
                <w:rFonts w:ascii="仿宋" w:eastAsia="仿宋" w:hAnsi="仿宋" w:cs="宋体" w:hint="eastAsia"/>
                <w:bCs/>
                <w:color w:val="000000"/>
                <w:kern w:val="0"/>
                <w:sz w:val="24"/>
                <w:szCs w:val="24"/>
              </w:rPr>
              <w:t>场内</w:t>
            </w:r>
            <w:r w:rsidR="001660B8" w:rsidRPr="00F62EDE">
              <w:rPr>
                <w:rFonts w:ascii="仿宋" w:eastAsia="仿宋" w:hAnsi="仿宋" w:cs="宋体" w:hint="eastAsia"/>
                <w:bCs/>
                <w:color w:val="000000"/>
                <w:kern w:val="0"/>
                <w:sz w:val="24"/>
                <w:szCs w:val="24"/>
              </w:rPr>
              <w:t>中融钢铁</w:t>
            </w:r>
            <w:r w:rsidRPr="00F62EDE">
              <w:rPr>
                <w:rFonts w:ascii="仿宋" w:eastAsia="仿宋" w:hAnsi="仿宋" w:cs="宋体"/>
                <w:bCs/>
                <w:color w:val="000000"/>
                <w:kern w:val="0"/>
                <w:sz w:val="24"/>
                <w:szCs w:val="24"/>
              </w:rPr>
              <w:t>份额）</w:t>
            </w:r>
          </w:p>
        </w:tc>
        <w:tc>
          <w:tcPr>
            <w:tcW w:w="1276" w:type="dxa"/>
          </w:tcPr>
          <w:p w:rsidR="00973D95" w:rsidRPr="00F62EDE" w:rsidRDefault="00973D95"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0.900</w:t>
            </w:r>
          </w:p>
          <w:p w:rsidR="00973D95" w:rsidRPr="00F62EDE" w:rsidRDefault="00973D95" w:rsidP="0097349D">
            <w:pPr>
              <w:widowControl/>
              <w:jc w:val="center"/>
              <w:rPr>
                <w:rFonts w:ascii="仿宋" w:eastAsia="仿宋" w:hAnsi="仿宋" w:cs="宋体"/>
                <w:bCs/>
                <w:color w:val="000000"/>
                <w:kern w:val="0"/>
                <w:sz w:val="24"/>
                <w:szCs w:val="24"/>
              </w:rPr>
            </w:pPr>
          </w:p>
        </w:tc>
        <w:tc>
          <w:tcPr>
            <w:tcW w:w="2552" w:type="dxa"/>
            <w:vAlign w:val="center"/>
          </w:tcPr>
          <w:p w:rsidR="00973D95" w:rsidRPr="00F62EDE" w:rsidRDefault="00973D95" w:rsidP="0097349D">
            <w:pPr>
              <w:pStyle w:val="Default"/>
              <w:jc w:val="center"/>
              <w:rPr>
                <w:rFonts w:ascii="仿宋" w:eastAsia="仿宋" w:hAnsi="仿宋" w:cs="宋体"/>
                <w:bCs/>
              </w:rPr>
            </w:pPr>
            <w:r w:rsidRPr="00F62EDE">
              <w:rPr>
                <w:rFonts w:ascii="仿宋" w:eastAsia="仿宋" w:hAnsi="仿宋" w:cs="宋体"/>
                <w:bCs/>
              </w:rPr>
              <w:t>112,222份场内</w:t>
            </w:r>
            <w:r w:rsidR="001660B8" w:rsidRPr="00F62EDE">
              <w:rPr>
                <w:rFonts w:ascii="仿宋" w:eastAsia="仿宋" w:hAnsi="仿宋" w:cs="宋体" w:hint="eastAsia"/>
                <w:bCs/>
              </w:rPr>
              <w:t>中融钢铁</w:t>
            </w:r>
            <w:r w:rsidRPr="00F62EDE">
              <w:rPr>
                <w:rFonts w:ascii="仿宋" w:eastAsia="仿宋" w:hAnsi="仿宋" w:cs="宋体"/>
                <w:bCs/>
              </w:rPr>
              <w:t>份额</w:t>
            </w:r>
          </w:p>
        </w:tc>
      </w:tr>
      <w:tr w:rsidR="00973D95" w:rsidRPr="00F62EDE" w:rsidTr="005B3649">
        <w:trPr>
          <w:trHeight w:val="300"/>
          <w:jc w:val="center"/>
        </w:trPr>
        <w:tc>
          <w:tcPr>
            <w:tcW w:w="1555" w:type="dxa"/>
            <w:shd w:val="clear" w:color="auto" w:fill="auto"/>
            <w:noWrap/>
            <w:vAlign w:val="center"/>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hint="eastAsia"/>
                <w:bCs/>
                <w:color w:val="000000"/>
                <w:kern w:val="0"/>
                <w:sz w:val="24"/>
                <w:szCs w:val="24"/>
              </w:rPr>
              <w:t>钢铁B</w:t>
            </w:r>
            <w:r w:rsidR="000729D6" w:rsidRPr="00F62EDE">
              <w:rPr>
                <w:rFonts w:ascii="仿宋" w:eastAsia="仿宋" w:hAnsi="仿宋" w:cs="宋体" w:hint="eastAsia"/>
                <w:bCs/>
                <w:color w:val="000000"/>
                <w:kern w:val="0"/>
                <w:sz w:val="24"/>
                <w:szCs w:val="24"/>
              </w:rPr>
              <w:t>份额</w:t>
            </w:r>
          </w:p>
        </w:tc>
        <w:tc>
          <w:tcPr>
            <w:tcW w:w="1281"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0.790</w:t>
            </w:r>
          </w:p>
          <w:p w:rsidR="00973D95" w:rsidRPr="00F62EDE" w:rsidRDefault="00973D95" w:rsidP="0097349D">
            <w:pPr>
              <w:widowControl/>
              <w:jc w:val="center"/>
              <w:rPr>
                <w:rFonts w:ascii="仿宋" w:eastAsia="仿宋" w:hAnsi="仿宋" w:cs="宋体"/>
                <w:bCs/>
                <w:color w:val="000000"/>
                <w:kern w:val="0"/>
                <w:sz w:val="24"/>
                <w:szCs w:val="24"/>
              </w:rPr>
            </w:pPr>
          </w:p>
        </w:tc>
        <w:tc>
          <w:tcPr>
            <w:tcW w:w="1275" w:type="dxa"/>
            <w:shd w:val="clear" w:color="auto" w:fill="auto"/>
            <w:noWrap/>
            <w:vAlign w:val="center"/>
          </w:tcPr>
          <w:p w:rsidR="00F44C66" w:rsidRPr="00F62EDE" w:rsidRDefault="00F44C66"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100,000</w:t>
            </w:r>
          </w:p>
          <w:p w:rsidR="00973D95" w:rsidRPr="00F62EDE" w:rsidRDefault="00973D95" w:rsidP="0097349D">
            <w:pPr>
              <w:widowControl/>
              <w:jc w:val="center"/>
              <w:rPr>
                <w:rFonts w:ascii="仿宋" w:eastAsia="仿宋" w:hAnsi="仿宋" w:cs="宋体"/>
                <w:bCs/>
                <w:color w:val="000000"/>
                <w:kern w:val="0"/>
                <w:sz w:val="24"/>
                <w:szCs w:val="24"/>
              </w:rPr>
            </w:pPr>
          </w:p>
        </w:tc>
        <w:tc>
          <w:tcPr>
            <w:tcW w:w="2268" w:type="dxa"/>
          </w:tcPr>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0.877777778</w:t>
            </w: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（全部折算为</w:t>
            </w:r>
            <w:r w:rsidRPr="00F62EDE">
              <w:rPr>
                <w:rFonts w:ascii="仿宋" w:eastAsia="仿宋" w:hAnsi="仿宋" w:cs="宋体" w:hint="eastAsia"/>
                <w:bCs/>
                <w:color w:val="000000"/>
                <w:kern w:val="0"/>
                <w:sz w:val="24"/>
                <w:szCs w:val="24"/>
              </w:rPr>
              <w:t>场内</w:t>
            </w:r>
            <w:r w:rsidR="001660B8" w:rsidRPr="00F62EDE">
              <w:rPr>
                <w:rFonts w:ascii="仿宋" w:eastAsia="仿宋" w:hAnsi="仿宋" w:cs="宋体" w:hint="eastAsia"/>
                <w:bCs/>
                <w:color w:val="000000"/>
                <w:kern w:val="0"/>
                <w:sz w:val="24"/>
                <w:szCs w:val="24"/>
              </w:rPr>
              <w:t>中融钢铁</w:t>
            </w:r>
            <w:r w:rsidRPr="00F62EDE">
              <w:rPr>
                <w:rFonts w:ascii="仿宋" w:eastAsia="仿宋" w:hAnsi="仿宋" w:cs="宋体"/>
                <w:bCs/>
                <w:color w:val="000000"/>
                <w:kern w:val="0"/>
                <w:sz w:val="24"/>
                <w:szCs w:val="24"/>
              </w:rPr>
              <w:t>份额）</w:t>
            </w:r>
          </w:p>
        </w:tc>
        <w:tc>
          <w:tcPr>
            <w:tcW w:w="1276" w:type="dxa"/>
          </w:tcPr>
          <w:p w:rsidR="00973D95" w:rsidRPr="00F62EDE" w:rsidRDefault="00973D95" w:rsidP="0097349D">
            <w:pPr>
              <w:widowControl/>
              <w:jc w:val="center"/>
              <w:rPr>
                <w:rFonts w:ascii="仿宋" w:eastAsia="仿宋" w:hAnsi="仿宋" w:cs="宋体"/>
                <w:bCs/>
                <w:color w:val="000000"/>
                <w:kern w:val="0"/>
                <w:sz w:val="24"/>
                <w:szCs w:val="24"/>
              </w:rPr>
            </w:pPr>
          </w:p>
          <w:p w:rsidR="00973D95" w:rsidRPr="00F62EDE" w:rsidRDefault="00973D95" w:rsidP="0097349D">
            <w:pPr>
              <w:widowControl/>
              <w:jc w:val="center"/>
              <w:rPr>
                <w:rFonts w:ascii="仿宋" w:eastAsia="仿宋" w:hAnsi="仿宋" w:cs="宋体"/>
                <w:bCs/>
                <w:color w:val="000000"/>
                <w:kern w:val="0"/>
                <w:sz w:val="24"/>
                <w:szCs w:val="24"/>
              </w:rPr>
            </w:pPr>
            <w:r w:rsidRPr="00F62EDE">
              <w:rPr>
                <w:rFonts w:ascii="仿宋" w:eastAsia="仿宋" w:hAnsi="仿宋" w:cs="宋体"/>
                <w:bCs/>
                <w:color w:val="000000"/>
                <w:kern w:val="0"/>
                <w:sz w:val="24"/>
                <w:szCs w:val="24"/>
              </w:rPr>
              <w:t>0.900</w:t>
            </w:r>
          </w:p>
          <w:p w:rsidR="00973D95" w:rsidRPr="00F62EDE" w:rsidRDefault="00973D95" w:rsidP="0097349D">
            <w:pPr>
              <w:widowControl/>
              <w:jc w:val="center"/>
              <w:rPr>
                <w:rFonts w:ascii="仿宋" w:eastAsia="仿宋" w:hAnsi="仿宋" w:cs="宋体"/>
                <w:bCs/>
                <w:color w:val="000000"/>
                <w:kern w:val="0"/>
                <w:sz w:val="24"/>
                <w:szCs w:val="24"/>
              </w:rPr>
            </w:pPr>
          </w:p>
        </w:tc>
        <w:tc>
          <w:tcPr>
            <w:tcW w:w="2552" w:type="dxa"/>
            <w:vAlign w:val="center"/>
          </w:tcPr>
          <w:p w:rsidR="00973D95" w:rsidRPr="00F62EDE" w:rsidRDefault="00973D95" w:rsidP="0097349D">
            <w:pPr>
              <w:pStyle w:val="Default"/>
              <w:jc w:val="center"/>
              <w:rPr>
                <w:rFonts w:ascii="仿宋" w:eastAsia="仿宋" w:hAnsi="仿宋" w:cs="宋体"/>
                <w:bCs/>
              </w:rPr>
            </w:pPr>
            <w:r w:rsidRPr="00F62EDE">
              <w:rPr>
                <w:rFonts w:ascii="仿宋" w:eastAsia="仿宋" w:hAnsi="仿宋" w:cs="宋体"/>
                <w:bCs/>
              </w:rPr>
              <w:t>87,777份场内</w:t>
            </w:r>
            <w:r w:rsidR="001660B8" w:rsidRPr="00F62EDE">
              <w:rPr>
                <w:rFonts w:ascii="仿宋" w:eastAsia="仿宋" w:hAnsi="仿宋" w:cs="宋体" w:hint="eastAsia"/>
                <w:bCs/>
              </w:rPr>
              <w:t>中融钢铁</w:t>
            </w:r>
            <w:r w:rsidRPr="00F62EDE">
              <w:rPr>
                <w:rFonts w:ascii="仿宋" w:eastAsia="仿宋" w:hAnsi="仿宋" w:cs="宋体"/>
                <w:bCs/>
              </w:rPr>
              <w:t>份额</w:t>
            </w:r>
          </w:p>
        </w:tc>
      </w:tr>
    </w:tbl>
    <w:p w:rsidR="005B7AF5" w:rsidRPr="00F62EDE" w:rsidRDefault="005B7AF5" w:rsidP="00973D95">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注</w:t>
      </w:r>
      <w:r w:rsidRPr="00F62EDE">
        <w:rPr>
          <w:rFonts w:ascii="仿宋" w:eastAsia="仿宋" w:hAnsi="仿宋"/>
          <w:color w:val="000000"/>
          <w:sz w:val="32"/>
          <w:szCs w:val="32"/>
        </w:rPr>
        <w:t>：具体折算结果</w:t>
      </w:r>
      <w:r w:rsidRPr="00F62EDE">
        <w:rPr>
          <w:rFonts w:ascii="仿宋" w:eastAsia="仿宋" w:hAnsi="仿宋" w:hint="eastAsia"/>
          <w:color w:val="000000"/>
          <w:sz w:val="32"/>
          <w:szCs w:val="32"/>
        </w:rPr>
        <w:t>以登记</w:t>
      </w:r>
      <w:r w:rsidRPr="00F62EDE">
        <w:rPr>
          <w:rFonts w:ascii="仿宋" w:eastAsia="仿宋" w:hAnsi="仿宋"/>
          <w:color w:val="000000"/>
          <w:sz w:val="32"/>
          <w:szCs w:val="32"/>
        </w:rPr>
        <w:t>结算机构为准</w:t>
      </w:r>
    </w:p>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5、钢铁A</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与钢铁B</w:t>
      </w:r>
      <w:r w:rsidRPr="00F62EDE">
        <w:rPr>
          <w:rFonts w:ascii="仿宋" w:eastAsia="仿宋" w:hAnsi="仿宋"/>
          <w:color w:val="000000"/>
          <w:sz w:val="32"/>
          <w:szCs w:val="32"/>
        </w:rPr>
        <w:t>份额</w:t>
      </w:r>
      <w:r w:rsidRPr="00F62EDE">
        <w:rPr>
          <w:rFonts w:ascii="仿宋" w:eastAsia="仿宋" w:hAnsi="仿宋" w:hint="eastAsia"/>
          <w:color w:val="000000"/>
          <w:sz w:val="32"/>
          <w:szCs w:val="32"/>
        </w:rPr>
        <w:t>折算为</w:t>
      </w:r>
      <w:r w:rsidR="001660B8" w:rsidRPr="00F62EDE">
        <w:rPr>
          <w:rFonts w:ascii="仿宋" w:eastAsia="仿宋" w:hAnsi="仿宋" w:hint="eastAsia"/>
          <w:color w:val="000000"/>
          <w:sz w:val="32"/>
          <w:szCs w:val="32"/>
        </w:rPr>
        <w:t>中融钢铁</w:t>
      </w:r>
      <w:r w:rsidRPr="00F62EDE">
        <w:rPr>
          <w:rFonts w:ascii="仿宋" w:eastAsia="仿宋" w:hAnsi="仿宋" w:hint="eastAsia"/>
          <w:color w:val="000000"/>
          <w:sz w:val="32"/>
          <w:szCs w:val="32"/>
        </w:rPr>
        <w:t>份额后，投资者可以申请场内赎回基金份额或者转托管至场外后申请赎回基金份额。</w:t>
      </w:r>
      <w:r w:rsidRPr="00F62EDE">
        <w:rPr>
          <w:rFonts w:ascii="仿宋" w:eastAsia="仿宋" w:hAnsi="仿宋" w:hint="eastAsia"/>
          <w:b/>
          <w:color w:val="000000"/>
          <w:sz w:val="32"/>
          <w:szCs w:val="32"/>
        </w:rPr>
        <w:t>部分投资者可能由于所在证券公司不具备基金销售资格或其他原因无法直接办理场内赎回，需先转托管至场外后再申请赎回或者先转托管到具有基金销售资格的证券公司后再申请赎回。</w:t>
      </w:r>
    </w:p>
    <w:p w:rsidR="00973D95" w:rsidRPr="00F62EDE" w:rsidRDefault="00973D95" w:rsidP="00973D95">
      <w:pPr>
        <w:spacing w:line="360" w:lineRule="auto"/>
        <w:ind w:firstLineChars="200" w:firstLine="640"/>
        <w:rPr>
          <w:sz w:val="24"/>
          <w:szCs w:val="28"/>
        </w:rPr>
      </w:pPr>
      <w:r w:rsidRPr="00F62EDE">
        <w:rPr>
          <w:rFonts w:ascii="仿宋" w:eastAsia="仿宋" w:hAnsi="仿宋"/>
          <w:color w:val="000000"/>
          <w:sz w:val="32"/>
          <w:szCs w:val="32"/>
        </w:rPr>
        <w:t>6</w:t>
      </w:r>
      <w:r w:rsidRPr="00F62EDE">
        <w:rPr>
          <w:rFonts w:ascii="仿宋" w:eastAsia="仿宋" w:hAnsi="仿宋" w:hint="eastAsia"/>
          <w:color w:val="000000"/>
          <w:sz w:val="32"/>
          <w:szCs w:val="32"/>
        </w:rPr>
        <w:t>、</w:t>
      </w:r>
      <w:r w:rsidR="005B7AF5" w:rsidRPr="00F62EDE">
        <w:rPr>
          <w:rFonts w:ascii="仿宋" w:eastAsia="仿宋" w:hAnsi="仿宋" w:hint="eastAsia"/>
          <w:color w:val="000000"/>
          <w:sz w:val="32"/>
          <w:szCs w:val="32"/>
        </w:rPr>
        <w:t>根据中国证券登记结算有限责任公司的有关业务规则</w:t>
      </w:r>
      <w:r w:rsidRPr="00F62EDE">
        <w:rPr>
          <w:rFonts w:ascii="仿宋" w:eastAsia="仿宋" w:hAnsi="仿宋"/>
          <w:color w:val="000000"/>
          <w:sz w:val="32"/>
          <w:szCs w:val="32"/>
        </w:rPr>
        <w:t>，</w:t>
      </w:r>
      <w:r w:rsidRPr="00F62EDE">
        <w:rPr>
          <w:rFonts w:ascii="仿宋" w:eastAsia="仿宋" w:hAnsi="仿宋" w:hint="eastAsia"/>
          <w:sz w:val="32"/>
          <w:szCs w:val="32"/>
        </w:rPr>
        <w:t>钢铁A</w:t>
      </w:r>
      <w:r w:rsidRPr="00F62EDE">
        <w:rPr>
          <w:rFonts w:ascii="仿宋" w:eastAsia="仿宋" w:hAnsi="仿宋"/>
          <w:color w:val="000000"/>
          <w:sz w:val="32"/>
          <w:szCs w:val="32"/>
        </w:rPr>
        <w:t>份额</w:t>
      </w:r>
      <w:r w:rsidRPr="00F62EDE">
        <w:rPr>
          <w:rFonts w:ascii="仿宋" w:eastAsia="仿宋" w:hAnsi="仿宋" w:hint="eastAsia"/>
          <w:sz w:val="32"/>
          <w:szCs w:val="32"/>
        </w:rPr>
        <w:t>与钢铁B</w:t>
      </w:r>
      <w:r w:rsidRPr="00F62EDE">
        <w:rPr>
          <w:rFonts w:ascii="仿宋" w:eastAsia="仿宋" w:hAnsi="仿宋"/>
          <w:color w:val="000000"/>
          <w:sz w:val="32"/>
          <w:szCs w:val="32"/>
        </w:rPr>
        <w:t>份额合并或折算为</w:t>
      </w:r>
      <w:r w:rsidR="001660B8" w:rsidRPr="00F62EDE">
        <w:rPr>
          <w:rFonts w:ascii="仿宋" w:eastAsia="仿宋" w:hAnsi="仿宋" w:hint="eastAsia"/>
          <w:color w:val="000000"/>
          <w:sz w:val="32"/>
          <w:szCs w:val="32"/>
        </w:rPr>
        <w:t>中融钢铁</w:t>
      </w:r>
      <w:r w:rsidRPr="00F62EDE">
        <w:rPr>
          <w:rFonts w:ascii="仿宋" w:eastAsia="仿宋" w:hAnsi="仿宋"/>
          <w:color w:val="000000"/>
          <w:sz w:val="32"/>
          <w:szCs w:val="32"/>
        </w:rPr>
        <w:t>份额后，</w:t>
      </w:r>
      <w:r w:rsidRPr="00F62EDE">
        <w:rPr>
          <w:rFonts w:ascii="仿宋" w:eastAsia="仿宋" w:hAnsi="仿宋"/>
          <w:b/>
          <w:color w:val="000000"/>
          <w:sz w:val="32"/>
          <w:szCs w:val="32"/>
        </w:rPr>
        <w:t>基金份额持有期自</w:t>
      </w:r>
      <w:r w:rsidR="001660B8" w:rsidRPr="00F62EDE">
        <w:rPr>
          <w:rFonts w:ascii="仿宋" w:eastAsia="仿宋" w:hAnsi="仿宋" w:hint="eastAsia"/>
          <w:b/>
          <w:color w:val="000000"/>
          <w:sz w:val="32"/>
          <w:szCs w:val="32"/>
        </w:rPr>
        <w:t>中融钢铁</w:t>
      </w:r>
      <w:r w:rsidR="00B95E41" w:rsidRPr="00F62EDE">
        <w:rPr>
          <w:rFonts w:ascii="仿宋" w:eastAsia="仿宋" w:hAnsi="仿宋"/>
          <w:b/>
          <w:color w:val="000000"/>
          <w:sz w:val="32"/>
          <w:szCs w:val="32"/>
        </w:rPr>
        <w:t>份额确认之日起计算</w:t>
      </w:r>
      <w:r w:rsidR="00B95E41" w:rsidRPr="00F62EDE">
        <w:rPr>
          <w:rFonts w:ascii="仿宋" w:eastAsia="仿宋" w:hAnsi="仿宋" w:hint="eastAsia"/>
          <w:b/>
          <w:color w:val="000000"/>
          <w:sz w:val="32"/>
          <w:szCs w:val="32"/>
        </w:rPr>
        <w:t>，其中钢铁A份额和钢铁B份额基金份额持有人持有的折算后场内中融钢铁份额持有期自2021年1月4日起计算。</w:t>
      </w:r>
      <w:r w:rsidRPr="00F62EDE">
        <w:rPr>
          <w:rFonts w:ascii="仿宋" w:eastAsia="仿宋" w:hAnsi="仿宋"/>
          <w:b/>
          <w:color w:val="000000"/>
          <w:sz w:val="32"/>
          <w:szCs w:val="32"/>
        </w:rPr>
        <w:t>如果赎回份额时持有期较短，基金份额持有人将承担较高的赎回费。</w:t>
      </w:r>
    </w:p>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color w:val="000000"/>
          <w:sz w:val="32"/>
          <w:szCs w:val="32"/>
        </w:rPr>
        <w:t>根据《公开募集开放式证券投资基金流动性风险管理规定》及本基金招募说明书的约定，本基金的赎回费率如下：</w:t>
      </w:r>
    </w:p>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color w:val="000000"/>
          <w:sz w:val="32"/>
          <w:szCs w:val="32"/>
        </w:rPr>
        <w:t>（1）场外赎回费率</w:t>
      </w:r>
    </w:p>
    <w:p w:rsidR="00973D95" w:rsidRPr="00F62EDE" w:rsidRDefault="00B95E41" w:rsidP="00973D95">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赎回费用由赎回基金份额的基金份额持有人承担，在基金份额持有人赎回基金份额时收取。对</w:t>
      </w:r>
      <w:r w:rsidR="00973D95" w:rsidRPr="00F62EDE">
        <w:rPr>
          <w:rFonts w:ascii="仿宋" w:eastAsia="仿宋" w:hAnsi="仿宋"/>
          <w:color w:val="000000"/>
          <w:sz w:val="32"/>
          <w:szCs w:val="32"/>
        </w:rPr>
        <w:t>赎回费率随基金份额持有时间增加而递减，具体如下：</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857"/>
        <w:gridCol w:w="3646"/>
      </w:tblGrid>
      <w:tr w:rsidR="00973D95" w:rsidRPr="00F62EDE" w:rsidTr="0097349D">
        <w:trPr>
          <w:trHeight w:val="301"/>
          <w:jc w:val="center"/>
        </w:trPr>
        <w:tc>
          <w:tcPr>
            <w:tcW w:w="4857"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持有期限</w:t>
            </w:r>
          </w:p>
        </w:tc>
        <w:tc>
          <w:tcPr>
            <w:tcW w:w="3646"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赎回费率</w:t>
            </w:r>
          </w:p>
        </w:tc>
      </w:tr>
      <w:tr w:rsidR="00973D95" w:rsidRPr="00F62EDE" w:rsidTr="0097349D">
        <w:trPr>
          <w:trHeight w:val="301"/>
          <w:jc w:val="center"/>
        </w:trPr>
        <w:tc>
          <w:tcPr>
            <w:tcW w:w="4857"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Y＜7日</w:t>
            </w:r>
          </w:p>
        </w:tc>
        <w:tc>
          <w:tcPr>
            <w:tcW w:w="3646"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1.50%</w:t>
            </w:r>
          </w:p>
        </w:tc>
      </w:tr>
      <w:tr w:rsidR="00973D95" w:rsidRPr="00F62EDE" w:rsidTr="0097349D">
        <w:trPr>
          <w:trHeight w:val="301"/>
          <w:jc w:val="center"/>
        </w:trPr>
        <w:tc>
          <w:tcPr>
            <w:tcW w:w="4857"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7日≤Y＜1年</w:t>
            </w:r>
          </w:p>
        </w:tc>
        <w:tc>
          <w:tcPr>
            <w:tcW w:w="3646"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0.70%</w:t>
            </w:r>
          </w:p>
        </w:tc>
      </w:tr>
      <w:tr w:rsidR="00973D95" w:rsidRPr="00F62EDE" w:rsidTr="0097349D">
        <w:trPr>
          <w:trHeight w:val="301"/>
          <w:jc w:val="center"/>
        </w:trPr>
        <w:tc>
          <w:tcPr>
            <w:tcW w:w="4857"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1年≤Y＜2年</w:t>
            </w:r>
          </w:p>
        </w:tc>
        <w:tc>
          <w:tcPr>
            <w:tcW w:w="3646"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0.25%</w:t>
            </w:r>
          </w:p>
        </w:tc>
      </w:tr>
      <w:tr w:rsidR="00973D95" w:rsidRPr="00F62EDE" w:rsidTr="0097349D">
        <w:trPr>
          <w:trHeight w:val="301"/>
          <w:jc w:val="center"/>
        </w:trPr>
        <w:tc>
          <w:tcPr>
            <w:tcW w:w="4857"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Y≥2年</w:t>
            </w:r>
          </w:p>
        </w:tc>
        <w:tc>
          <w:tcPr>
            <w:tcW w:w="3646" w:type="dxa"/>
            <w:shd w:val="clear" w:color="auto" w:fill="FFFFFF"/>
            <w:vAlign w:val="center"/>
            <w:hideMark/>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hint="eastAsia"/>
                <w:color w:val="000000"/>
                <w:sz w:val="32"/>
                <w:szCs w:val="32"/>
              </w:rPr>
              <w:t>0</w:t>
            </w:r>
          </w:p>
        </w:tc>
      </w:tr>
    </w:tbl>
    <w:p w:rsidR="00973D95" w:rsidRPr="00F62EDE" w:rsidRDefault="00973D95" w:rsidP="00973D95">
      <w:pPr>
        <w:spacing w:line="360" w:lineRule="auto"/>
        <w:ind w:firstLineChars="200" w:firstLine="640"/>
        <w:rPr>
          <w:rFonts w:ascii="仿宋" w:eastAsia="仿宋" w:hAnsi="仿宋"/>
          <w:color w:val="000000"/>
          <w:sz w:val="32"/>
          <w:szCs w:val="32"/>
        </w:rPr>
      </w:pPr>
      <w:r w:rsidRPr="00F62EDE">
        <w:rPr>
          <w:rFonts w:ascii="仿宋" w:eastAsia="仿宋" w:hAnsi="仿宋"/>
          <w:color w:val="000000"/>
          <w:sz w:val="32"/>
          <w:szCs w:val="32"/>
        </w:rPr>
        <w:t>（2）场内赎回费率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973D95" w:rsidRPr="00F62EDE" w:rsidTr="0097349D">
        <w:trPr>
          <w:trHeight w:hRule="exact" w:val="719"/>
          <w:jc w:val="center"/>
        </w:trPr>
        <w:tc>
          <w:tcPr>
            <w:tcW w:w="4148" w:type="dxa"/>
            <w:shd w:val="clear" w:color="auto" w:fill="auto"/>
            <w:vAlign w:val="center"/>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color w:val="000000"/>
                <w:sz w:val="32"/>
                <w:szCs w:val="32"/>
              </w:rPr>
              <w:t>持有</w:t>
            </w:r>
            <w:r w:rsidRPr="00F62EDE">
              <w:rPr>
                <w:rFonts w:ascii="仿宋" w:eastAsia="仿宋" w:hAnsi="仿宋" w:hint="eastAsia"/>
                <w:color w:val="000000"/>
                <w:sz w:val="32"/>
                <w:szCs w:val="32"/>
              </w:rPr>
              <w:t>期限</w:t>
            </w:r>
          </w:p>
        </w:tc>
        <w:tc>
          <w:tcPr>
            <w:tcW w:w="4148" w:type="dxa"/>
            <w:shd w:val="clear" w:color="auto" w:fill="auto"/>
            <w:vAlign w:val="center"/>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color w:val="000000"/>
                <w:sz w:val="32"/>
                <w:szCs w:val="32"/>
              </w:rPr>
              <w:t>赎回费率</w:t>
            </w:r>
          </w:p>
        </w:tc>
      </w:tr>
      <w:tr w:rsidR="00973D95" w:rsidRPr="00F62EDE" w:rsidTr="0097349D">
        <w:trPr>
          <w:trHeight w:hRule="exact" w:val="715"/>
          <w:jc w:val="center"/>
        </w:trPr>
        <w:tc>
          <w:tcPr>
            <w:tcW w:w="4148" w:type="dxa"/>
            <w:shd w:val="clear" w:color="auto" w:fill="auto"/>
            <w:vAlign w:val="center"/>
          </w:tcPr>
          <w:p w:rsidR="00973D95" w:rsidRPr="00F62EDE" w:rsidRDefault="00973D95" w:rsidP="0097349D">
            <w:pPr>
              <w:widowControl/>
              <w:spacing w:line="300" w:lineRule="atLeast"/>
              <w:jc w:val="center"/>
              <w:rPr>
                <w:rFonts w:ascii="仿宋" w:eastAsia="仿宋" w:hAnsi="仿宋"/>
                <w:color w:val="000000"/>
                <w:sz w:val="32"/>
                <w:szCs w:val="32"/>
              </w:rPr>
            </w:pPr>
            <w:r w:rsidRPr="00F62EDE">
              <w:rPr>
                <w:rFonts w:ascii="仿宋" w:eastAsia="仿宋" w:hAnsi="仿宋"/>
                <w:color w:val="000000"/>
                <w:sz w:val="32"/>
                <w:szCs w:val="32"/>
              </w:rPr>
              <w:t>Y＜7日</w:t>
            </w:r>
          </w:p>
        </w:tc>
        <w:tc>
          <w:tcPr>
            <w:tcW w:w="4148" w:type="dxa"/>
            <w:shd w:val="clear" w:color="auto" w:fill="auto"/>
            <w:vAlign w:val="center"/>
          </w:tcPr>
          <w:p w:rsidR="00973D95" w:rsidRPr="00F62EDE" w:rsidRDefault="00973D95" w:rsidP="0097349D">
            <w:pPr>
              <w:adjustRightInd w:val="0"/>
              <w:snapToGrid w:val="0"/>
              <w:jc w:val="center"/>
              <w:rPr>
                <w:rFonts w:ascii="仿宋" w:eastAsia="仿宋" w:hAnsi="仿宋"/>
                <w:color w:val="000000"/>
                <w:sz w:val="32"/>
                <w:szCs w:val="32"/>
              </w:rPr>
            </w:pPr>
            <w:r w:rsidRPr="00F62EDE">
              <w:rPr>
                <w:rFonts w:ascii="仿宋" w:eastAsia="仿宋" w:hAnsi="仿宋"/>
                <w:color w:val="000000"/>
                <w:sz w:val="32"/>
                <w:szCs w:val="32"/>
              </w:rPr>
              <w:t>1.50%</w:t>
            </w:r>
          </w:p>
        </w:tc>
      </w:tr>
      <w:tr w:rsidR="00973D95" w:rsidRPr="00F62EDE" w:rsidTr="0097349D">
        <w:trPr>
          <w:trHeight w:hRule="exact" w:val="454"/>
          <w:jc w:val="center"/>
        </w:trPr>
        <w:tc>
          <w:tcPr>
            <w:tcW w:w="4148" w:type="dxa"/>
            <w:shd w:val="clear" w:color="auto" w:fill="auto"/>
            <w:vAlign w:val="center"/>
          </w:tcPr>
          <w:p w:rsidR="00973D95" w:rsidRPr="00F62EDE" w:rsidRDefault="00973D95" w:rsidP="0097349D">
            <w:pPr>
              <w:adjustRightInd w:val="0"/>
              <w:snapToGrid w:val="0"/>
              <w:jc w:val="center"/>
              <w:rPr>
                <w:rFonts w:ascii="仿宋" w:eastAsia="仿宋" w:hAnsi="仿宋"/>
                <w:color w:val="000000"/>
                <w:sz w:val="32"/>
                <w:szCs w:val="32"/>
              </w:rPr>
            </w:pPr>
            <w:r w:rsidRPr="00F62EDE">
              <w:rPr>
                <w:rFonts w:ascii="仿宋" w:eastAsia="仿宋" w:hAnsi="仿宋"/>
                <w:color w:val="000000"/>
                <w:sz w:val="32"/>
                <w:szCs w:val="32"/>
              </w:rPr>
              <w:t>Y≥7日</w:t>
            </w:r>
          </w:p>
        </w:tc>
        <w:tc>
          <w:tcPr>
            <w:tcW w:w="4148" w:type="dxa"/>
            <w:shd w:val="clear" w:color="auto" w:fill="auto"/>
            <w:vAlign w:val="center"/>
          </w:tcPr>
          <w:p w:rsidR="00973D95" w:rsidRPr="00F62EDE" w:rsidRDefault="00973D95" w:rsidP="0097349D">
            <w:pPr>
              <w:adjustRightInd w:val="0"/>
              <w:snapToGrid w:val="0"/>
              <w:jc w:val="center"/>
              <w:rPr>
                <w:rFonts w:ascii="仿宋" w:eastAsia="仿宋" w:hAnsi="仿宋"/>
                <w:color w:val="000000"/>
                <w:sz w:val="32"/>
                <w:szCs w:val="32"/>
              </w:rPr>
            </w:pPr>
            <w:r w:rsidRPr="00F62EDE">
              <w:rPr>
                <w:rFonts w:ascii="仿宋" w:eastAsia="仿宋" w:hAnsi="仿宋"/>
                <w:color w:val="000000"/>
                <w:sz w:val="32"/>
                <w:szCs w:val="32"/>
              </w:rPr>
              <w:t>0.70%</w:t>
            </w:r>
          </w:p>
        </w:tc>
      </w:tr>
    </w:tbl>
    <w:p w:rsidR="00B95E41" w:rsidRPr="00F62EDE" w:rsidRDefault="00B95E41" w:rsidP="005C67B9">
      <w:pPr>
        <w:spacing w:line="360" w:lineRule="auto"/>
        <w:ind w:firstLineChars="200" w:firstLine="560"/>
        <w:rPr>
          <w:rFonts w:ascii="仿宋" w:eastAsia="仿宋" w:hAnsi="仿宋"/>
          <w:color w:val="000000"/>
          <w:sz w:val="32"/>
          <w:szCs w:val="32"/>
        </w:rPr>
      </w:pPr>
      <w:r w:rsidRPr="00F62EDE">
        <w:rPr>
          <w:rFonts w:ascii="仿宋" w:eastAsia="仿宋" w:hAnsi="仿宋" w:hint="eastAsia"/>
          <w:sz w:val="28"/>
          <w:szCs w:val="28"/>
        </w:rPr>
        <w:t>（注：</w:t>
      </w:r>
      <w:r w:rsidR="005C67B9" w:rsidRPr="00F62EDE">
        <w:rPr>
          <w:rFonts w:ascii="仿宋" w:eastAsia="仿宋" w:hAnsi="仿宋" w:hint="eastAsia"/>
          <w:color w:val="000000"/>
          <w:sz w:val="32"/>
          <w:szCs w:val="32"/>
        </w:rPr>
        <w:t>Y：持有时间，1年=365日。</w:t>
      </w:r>
      <w:r w:rsidRPr="00F62EDE">
        <w:rPr>
          <w:rFonts w:ascii="仿宋" w:eastAsia="仿宋" w:hAnsi="仿宋" w:hint="eastAsia"/>
          <w:color w:val="000000"/>
          <w:sz w:val="32"/>
          <w:szCs w:val="32"/>
        </w:rPr>
        <w:t>赎回份额持有时间的计算，以该份额在登记结算机构的登记日开始计算。</w:t>
      </w:r>
      <w:r w:rsidRPr="00F62EDE">
        <w:rPr>
          <w:rFonts w:ascii="仿宋" w:eastAsia="仿宋" w:hAnsi="仿宋"/>
          <w:color w:val="000000"/>
          <w:sz w:val="32"/>
          <w:szCs w:val="32"/>
        </w:rPr>
        <w:t>）</w:t>
      </w:r>
    </w:p>
    <w:p w:rsidR="00973D95" w:rsidRPr="00F62EDE" w:rsidRDefault="00973D95" w:rsidP="009B13B7">
      <w:pPr>
        <w:autoSpaceDE w:val="0"/>
        <w:autoSpaceDN w:val="0"/>
        <w:adjustRightInd w:val="0"/>
        <w:ind w:firstLineChars="200" w:firstLine="640"/>
        <w:rPr>
          <w:rFonts w:ascii="仿宋" w:eastAsia="仿宋" w:hAnsi="仿宋"/>
          <w:color w:val="000000"/>
          <w:sz w:val="32"/>
          <w:szCs w:val="32"/>
        </w:rPr>
      </w:pPr>
      <w:r w:rsidRPr="00F62EDE">
        <w:rPr>
          <w:rFonts w:ascii="仿宋" w:eastAsia="仿宋" w:hAnsi="仿宋"/>
          <w:color w:val="000000"/>
          <w:sz w:val="32"/>
          <w:szCs w:val="32"/>
        </w:rPr>
        <w:t>本基金赎回费用由赎回基金份额的基金份额持有人承担，在基金份额持有人赎回基金份额时收取。对持续持有期少于7日的投资者收取的赎回费，将全额计入基金财产；对持续持有期</w:t>
      </w:r>
      <w:r w:rsidRPr="00F62EDE">
        <w:rPr>
          <w:rFonts w:ascii="仿宋" w:eastAsia="仿宋" w:hAnsi="仿宋" w:hint="eastAsia"/>
          <w:color w:val="000000"/>
          <w:sz w:val="32"/>
          <w:szCs w:val="32"/>
        </w:rPr>
        <w:t>长于</w:t>
      </w:r>
      <w:r w:rsidRPr="00F62EDE">
        <w:rPr>
          <w:rFonts w:ascii="仿宋" w:eastAsia="仿宋" w:hAnsi="仿宋"/>
          <w:color w:val="000000"/>
          <w:sz w:val="32"/>
          <w:szCs w:val="32"/>
        </w:rPr>
        <w:t>7日的投资者收取的赎回费，将不低于赎回费总额的25%归入基金财产，未归入基金财产的部分用于支付</w:t>
      </w:r>
      <w:r w:rsidRPr="00F62EDE">
        <w:rPr>
          <w:rFonts w:ascii="仿宋" w:eastAsia="仿宋" w:hAnsi="仿宋" w:hint="eastAsia"/>
          <w:color w:val="000000"/>
          <w:sz w:val="32"/>
          <w:szCs w:val="32"/>
        </w:rPr>
        <w:t>注册</w:t>
      </w:r>
      <w:r w:rsidRPr="00F62EDE">
        <w:rPr>
          <w:rFonts w:ascii="仿宋" w:eastAsia="仿宋" w:hAnsi="仿宋"/>
          <w:color w:val="000000"/>
          <w:sz w:val="32"/>
          <w:szCs w:val="32"/>
        </w:rPr>
        <w:t>登记费和其他必要的手续费。</w:t>
      </w:r>
    </w:p>
    <w:p w:rsidR="005C67B9" w:rsidRPr="00F62EDE" w:rsidRDefault="005C67B9" w:rsidP="00973D95">
      <w:pPr>
        <w:spacing w:line="360" w:lineRule="auto"/>
        <w:ind w:firstLineChars="200" w:firstLine="640"/>
        <w:rPr>
          <w:rFonts w:ascii="仿宋" w:eastAsia="仿宋" w:hAnsi="仿宋"/>
          <w:color w:val="000000"/>
          <w:sz w:val="32"/>
          <w:szCs w:val="32"/>
        </w:rPr>
      </w:pPr>
    </w:p>
    <w:p w:rsidR="005C67B9" w:rsidRPr="00F62EDE" w:rsidRDefault="005C67B9" w:rsidP="005C67B9">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E972CA" w:rsidRPr="00F62EDE" w:rsidRDefault="00E972CA" w:rsidP="005C67B9">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投资者欲了解详情，请拨打中融基金管理有限公司客户服务电话400-160-6000、010-56517299或登录本公司网站（www.zrfunds.com.cn）进行咨询。</w:t>
      </w:r>
    </w:p>
    <w:p w:rsidR="005C67B9" w:rsidRPr="00F62EDE" w:rsidRDefault="005C67B9" w:rsidP="005C67B9">
      <w:pPr>
        <w:spacing w:line="360" w:lineRule="auto"/>
        <w:ind w:firstLineChars="200" w:firstLine="640"/>
        <w:rPr>
          <w:rFonts w:ascii="仿宋" w:eastAsia="仿宋" w:hAnsi="仿宋"/>
          <w:color w:val="000000"/>
          <w:sz w:val="32"/>
          <w:szCs w:val="32"/>
        </w:rPr>
      </w:pPr>
      <w:r w:rsidRPr="00F62EDE">
        <w:rPr>
          <w:rFonts w:ascii="仿宋" w:eastAsia="仿宋" w:hAnsi="仿宋" w:hint="eastAsia"/>
          <w:color w:val="000000"/>
          <w:sz w:val="32"/>
          <w:szCs w:val="32"/>
        </w:rPr>
        <w:t>特此公告。</w:t>
      </w:r>
    </w:p>
    <w:p w:rsidR="00973D95" w:rsidRPr="00F62EDE" w:rsidRDefault="00973D95" w:rsidP="00973D95">
      <w:pPr>
        <w:ind w:firstLineChars="200" w:firstLine="640"/>
        <w:jc w:val="right"/>
        <w:rPr>
          <w:rFonts w:ascii="仿宋" w:eastAsia="仿宋" w:hAnsi="仿宋"/>
          <w:color w:val="000000"/>
          <w:sz w:val="32"/>
          <w:szCs w:val="32"/>
        </w:rPr>
      </w:pPr>
    </w:p>
    <w:p w:rsidR="00973D95" w:rsidRPr="00F62EDE" w:rsidRDefault="00973D95" w:rsidP="00973D95">
      <w:pPr>
        <w:ind w:firstLineChars="200" w:firstLine="640"/>
        <w:jc w:val="right"/>
        <w:rPr>
          <w:rFonts w:ascii="仿宋" w:eastAsia="仿宋" w:hAnsi="仿宋"/>
          <w:color w:val="000000"/>
          <w:sz w:val="32"/>
          <w:szCs w:val="32"/>
        </w:rPr>
      </w:pPr>
      <w:r w:rsidRPr="00F62EDE">
        <w:rPr>
          <w:rFonts w:ascii="仿宋" w:eastAsia="仿宋" w:hAnsi="仿宋" w:hint="eastAsia"/>
          <w:color w:val="000000"/>
          <w:sz w:val="32"/>
          <w:szCs w:val="32"/>
        </w:rPr>
        <w:t>中融基金管理有限公司</w:t>
      </w:r>
    </w:p>
    <w:p w:rsidR="00973D95" w:rsidRPr="00CD30DC" w:rsidRDefault="00973D95" w:rsidP="00973D95">
      <w:pPr>
        <w:ind w:firstLineChars="200" w:firstLine="640"/>
        <w:jc w:val="right"/>
        <w:rPr>
          <w:rFonts w:ascii="仿宋" w:eastAsia="仿宋" w:hAnsi="仿宋"/>
          <w:color w:val="000000"/>
          <w:sz w:val="32"/>
          <w:szCs w:val="32"/>
        </w:rPr>
      </w:pPr>
      <w:r w:rsidRPr="00F62EDE">
        <w:rPr>
          <w:rFonts w:ascii="仿宋" w:eastAsia="仿宋" w:hAnsi="仿宋" w:hint="eastAsia"/>
          <w:color w:val="000000"/>
          <w:sz w:val="32"/>
          <w:szCs w:val="32"/>
        </w:rPr>
        <w:t>20</w:t>
      </w:r>
      <w:r w:rsidRPr="00F62EDE">
        <w:rPr>
          <w:rFonts w:ascii="仿宋" w:eastAsia="仿宋" w:hAnsi="仿宋"/>
          <w:color w:val="000000"/>
          <w:sz w:val="32"/>
          <w:szCs w:val="32"/>
        </w:rPr>
        <w:t>20</w:t>
      </w:r>
      <w:r w:rsidRPr="00F62EDE">
        <w:rPr>
          <w:rFonts w:ascii="仿宋" w:eastAsia="仿宋" w:hAnsi="仿宋" w:hint="eastAsia"/>
          <w:color w:val="000000"/>
          <w:sz w:val="32"/>
          <w:szCs w:val="32"/>
        </w:rPr>
        <w:t>年</w:t>
      </w:r>
      <w:r w:rsidRPr="00F62EDE">
        <w:rPr>
          <w:rFonts w:ascii="仿宋" w:eastAsia="仿宋" w:hAnsi="仿宋"/>
          <w:color w:val="000000"/>
          <w:sz w:val="32"/>
          <w:szCs w:val="32"/>
        </w:rPr>
        <w:t>12</w:t>
      </w:r>
      <w:r w:rsidRPr="00F62EDE">
        <w:rPr>
          <w:rFonts w:ascii="仿宋" w:eastAsia="仿宋" w:hAnsi="仿宋" w:hint="eastAsia"/>
          <w:color w:val="000000"/>
          <w:sz w:val="32"/>
          <w:szCs w:val="32"/>
        </w:rPr>
        <w:t>月</w:t>
      </w:r>
      <w:r w:rsidR="003865A6">
        <w:rPr>
          <w:rFonts w:ascii="仿宋" w:eastAsia="仿宋" w:hAnsi="仿宋"/>
          <w:color w:val="000000"/>
          <w:sz w:val="32"/>
          <w:szCs w:val="32"/>
        </w:rPr>
        <w:t>30</w:t>
      </w:r>
      <w:bookmarkStart w:id="0" w:name="_GoBack"/>
      <w:bookmarkEnd w:id="0"/>
      <w:r w:rsidRPr="00F62EDE">
        <w:rPr>
          <w:rFonts w:ascii="仿宋" w:eastAsia="仿宋" w:hAnsi="仿宋" w:hint="eastAsia"/>
          <w:color w:val="000000"/>
          <w:sz w:val="32"/>
          <w:szCs w:val="32"/>
        </w:rPr>
        <w:t>日</w:t>
      </w:r>
    </w:p>
    <w:p w:rsidR="00973D95" w:rsidRPr="004272AE" w:rsidRDefault="00973D95" w:rsidP="00973D95">
      <w:pPr>
        <w:pStyle w:val="Default"/>
        <w:ind w:firstLineChars="200" w:firstLine="640"/>
        <w:rPr>
          <w:rFonts w:ascii="仿宋" w:eastAsia="仿宋" w:hAnsi="仿宋" w:cstheme="minorBidi"/>
          <w:kern w:val="2"/>
          <w:sz w:val="32"/>
          <w:szCs w:val="32"/>
        </w:rPr>
      </w:pPr>
    </w:p>
    <w:p w:rsidR="00DF5902" w:rsidRPr="00973D95" w:rsidRDefault="00DF5902"/>
    <w:sectPr w:rsidR="00DF5902" w:rsidRPr="00973D95" w:rsidSect="00E46F01">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8B75B" w16cid:durableId="235ED5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C1" w:rsidRDefault="00AA45C1" w:rsidP="00973D95">
      <w:r>
        <w:separator/>
      </w:r>
    </w:p>
  </w:endnote>
  <w:endnote w:type="continuationSeparator" w:id="0">
    <w:p w:rsidR="00AA45C1" w:rsidRDefault="00AA45C1" w:rsidP="00973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C1" w:rsidRDefault="00AA45C1" w:rsidP="00973D95">
      <w:r>
        <w:separator/>
      </w:r>
    </w:p>
  </w:footnote>
  <w:footnote w:type="continuationSeparator" w:id="0">
    <w:p w:rsidR="00AA45C1" w:rsidRDefault="00AA45C1" w:rsidP="00973D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60A9"/>
    <w:rsid w:val="00016E19"/>
    <w:rsid w:val="00035BF3"/>
    <w:rsid w:val="000729D6"/>
    <w:rsid w:val="00083375"/>
    <w:rsid w:val="00096345"/>
    <w:rsid w:val="000B331C"/>
    <w:rsid w:val="000B5C00"/>
    <w:rsid w:val="000B60FD"/>
    <w:rsid w:val="000D3C7B"/>
    <w:rsid w:val="0010125E"/>
    <w:rsid w:val="00117412"/>
    <w:rsid w:val="001660B8"/>
    <w:rsid w:val="0017171B"/>
    <w:rsid w:val="001A094B"/>
    <w:rsid w:val="001B60A9"/>
    <w:rsid w:val="001C7972"/>
    <w:rsid w:val="001D2B37"/>
    <w:rsid w:val="001F7964"/>
    <w:rsid w:val="00221720"/>
    <w:rsid w:val="0025566F"/>
    <w:rsid w:val="002A78A0"/>
    <w:rsid w:val="002B1BBB"/>
    <w:rsid w:val="002D11CD"/>
    <w:rsid w:val="002F3102"/>
    <w:rsid w:val="002F5554"/>
    <w:rsid w:val="00300EAB"/>
    <w:rsid w:val="00302ED7"/>
    <w:rsid w:val="003515CE"/>
    <w:rsid w:val="003722C4"/>
    <w:rsid w:val="0037433B"/>
    <w:rsid w:val="00382EB4"/>
    <w:rsid w:val="003865A6"/>
    <w:rsid w:val="003916C8"/>
    <w:rsid w:val="003D64C3"/>
    <w:rsid w:val="003E1092"/>
    <w:rsid w:val="003E5313"/>
    <w:rsid w:val="004071E6"/>
    <w:rsid w:val="00407FA1"/>
    <w:rsid w:val="00495E54"/>
    <w:rsid w:val="004A3A98"/>
    <w:rsid w:val="004C21AD"/>
    <w:rsid w:val="00556EBD"/>
    <w:rsid w:val="00562E17"/>
    <w:rsid w:val="00580AE9"/>
    <w:rsid w:val="00586DA1"/>
    <w:rsid w:val="005B3649"/>
    <w:rsid w:val="005B7AF5"/>
    <w:rsid w:val="005C4F4B"/>
    <w:rsid w:val="005C67B9"/>
    <w:rsid w:val="005E4049"/>
    <w:rsid w:val="006858B9"/>
    <w:rsid w:val="006949FE"/>
    <w:rsid w:val="006969A2"/>
    <w:rsid w:val="006A7E13"/>
    <w:rsid w:val="006B4066"/>
    <w:rsid w:val="006C363B"/>
    <w:rsid w:val="006F5DD3"/>
    <w:rsid w:val="007562E4"/>
    <w:rsid w:val="00775E63"/>
    <w:rsid w:val="007B2AA2"/>
    <w:rsid w:val="007C773E"/>
    <w:rsid w:val="007E5C26"/>
    <w:rsid w:val="008053DB"/>
    <w:rsid w:val="00857CF6"/>
    <w:rsid w:val="008F1D74"/>
    <w:rsid w:val="00900AD6"/>
    <w:rsid w:val="009113FC"/>
    <w:rsid w:val="0091160A"/>
    <w:rsid w:val="009131D0"/>
    <w:rsid w:val="00966C25"/>
    <w:rsid w:val="00973D95"/>
    <w:rsid w:val="009923EF"/>
    <w:rsid w:val="009B13B7"/>
    <w:rsid w:val="009C446A"/>
    <w:rsid w:val="00A45772"/>
    <w:rsid w:val="00A57DAC"/>
    <w:rsid w:val="00A75F5A"/>
    <w:rsid w:val="00A80298"/>
    <w:rsid w:val="00A9533E"/>
    <w:rsid w:val="00AA45C1"/>
    <w:rsid w:val="00AA6063"/>
    <w:rsid w:val="00AB2EC1"/>
    <w:rsid w:val="00AF5AF7"/>
    <w:rsid w:val="00B21CF2"/>
    <w:rsid w:val="00B32886"/>
    <w:rsid w:val="00B3650F"/>
    <w:rsid w:val="00B40F2E"/>
    <w:rsid w:val="00B57B3E"/>
    <w:rsid w:val="00B621C5"/>
    <w:rsid w:val="00B625E3"/>
    <w:rsid w:val="00B74DF8"/>
    <w:rsid w:val="00B92EE9"/>
    <w:rsid w:val="00B95E41"/>
    <w:rsid w:val="00C018D7"/>
    <w:rsid w:val="00C41CF7"/>
    <w:rsid w:val="00C55A7C"/>
    <w:rsid w:val="00C849CF"/>
    <w:rsid w:val="00C91ACC"/>
    <w:rsid w:val="00CC292A"/>
    <w:rsid w:val="00CD053C"/>
    <w:rsid w:val="00D1282F"/>
    <w:rsid w:val="00D346C4"/>
    <w:rsid w:val="00D5714F"/>
    <w:rsid w:val="00DD26C9"/>
    <w:rsid w:val="00DE7188"/>
    <w:rsid w:val="00DF5902"/>
    <w:rsid w:val="00E07623"/>
    <w:rsid w:val="00E11143"/>
    <w:rsid w:val="00E16BAF"/>
    <w:rsid w:val="00E30B23"/>
    <w:rsid w:val="00E4244B"/>
    <w:rsid w:val="00E42ABB"/>
    <w:rsid w:val="00E46F01"/>
    <w:rsid w:val="00E4723C"/>
    <w:rsid w:val="00E84191"/>
    <w:rsid w:val="00E972CA"/>
    <w:rsid w:val="00ED4AA9"/>
    <w:rsid w:val="00EE57FA"/>
    <w:rsid w:val="00F27186"/>
    <w:rsid w:val="00F44C66"/>
    <w:rsid w:val="00F4646F"/>
    <w:rsid w:val="00F62EDE"/>
    <w:rsid w:val="00FD481E"/>
    <w:rsid w:val="00FD5A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D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D95"/>
    <w:rPr>
      <w:sz w:val="18"/>
      <w:szCs w:val="18"/>
    </w:rPr>
  </w:style>
  <w:style w:type="paragraph" w:styleId="a4">
    <w:name w:val="footer"/>
    <w:basedOn w:val="a"/>
    <w:link w:val="Char0"/>
    <w:uiPriority w:val="99"/>
    <w:unhideWhenUsed/>
    <w:rsid w:val="00973D95"/>
    <w:pPr>
      <w:tabs>
        <w:tab w:val="center" w:pos="4153"/>
        <w:tab w:val="right" w:pos="8306"/>
      </w:tabs>
      <w:snapToGrid w:val="0"/>
      <w:jc w:val="left"/>
    </w:pPr>
    <w:rPr>
      <w:sz w:val="18"/>
      <w:szCs w:val="18"/>
    </w:rPr>
  </w:style>
  <w:style w:type="character" w:customStyle="1" w:styleId="Char0">
    <w:name w:val="页脚 Char"/>
    <w:basedOn w:val="a0"/>
    <w:link w:val="a4"/>
    <w:uiPriority w:val="99"/>
    <w:rsid w:val="00973D95"/>
    <w:rPr>
      <w:sz w:val="18"/>
      <w:szCs w:val="18"/>
    </w:rPr>
  </w:style>
  <w:style w:type="paragraph" w:customStyle="1" w:styleId="Default">
    <w:name w:val="Default"/>
    <w:rsid w:val="00973D95"/>
    <w:pPr>
      <w:widowControl w:val="0"/>
      <w:autoSpaceDE w:val="0"/>
      <w:autoSpaceDN w:val="0"/>
      <w:adjustRightInd w:val="0"/>
    </w:pPr>
    <w:rPr>
      <w:rFonts w:ascii="FangSong" w:eastAsia="FangSong" w:cs="FangSong"/>
      <w:color w:val="000000"/>
      <w:kern w:val="0"/>
      <w:sz w:val="24"/>
      <w:szCs w:val="24"/>
    </w:rPr>
  </w:style>
  <w:style w:type="paragraph" w:styleId="a5">
    <w:name w:val="Balloon Text"/>
    <w:basedOn w:val="a"/>
    <w:link w:val="Char1"/>
    <w:uiPriority w:val="99"/>
    <w:semiHidden/>
    <w:unhideWhenUsed/>
    <w:rsid w:val="003916C8"/>
    <w:rPr>
      <w:sz w:val="18"/>
      <w:szCs w:val="18"/>
    </w:rPr>
  </w:style>
  <w:style w:type="character" w:customStyle="1" w:styleId="Char1">
    <w:name w:val="批注框文本 Char"/>
    <w:basedOn w:val="a0"/>
    <w:link w:val="a5"/>
    <w:uiPriority w:val="99"/>
    <w:semiHidden/>
    <w:rsid w:val="003916C8"/>
    <w:rPr>
      <w:sz w:val="18"/>
      <w:szCs w:val="18"/>
    </w:rPr>
  </w:style>
  <w:style w:type="character" w:styleId="a6">
    <w:name w:val="annotation reference"/>
    <w:basedOn w:val="a0"/>
    <w:uiPriority w:val="99"/>
    <w:semiHidden/>
    <w:unhideWhenUsed/>
    <w:rsid w:val="000729D6"/>
    <w:rPr>
      <w:sz w:val="21"/>
      <w:szCs w:val="21"/>
    </w:rPr>
  </w:style>
  <w:style w:type="paragraph" w:styleId="a7">
    <w:name w:val="annotation text"/>
    <w:basedOn w:val="a"/>
    <w:link w:val="Char2"/>
    <w:uiPriority w:val="99"/>
    <w:semiHidden/>
    <w:unhideWhenUsed/>
    <w:rsid w:val="000729D6"/>
    <w:pPr>
      <w:jc w:val="left"/>
    </w:pPr>
  </w:style>
  <w:style w:type="character" w:customStyle="1" w:styleId="Char2">
    <w:name w:val="批注文字 Char"/>
    <w:basedOn w:val="a0"/>
    <w:link w:val="a7"/>
    <w:uiPriority w:val="99"/>
    <w:semiHidden/>
    <w:rsid w:val="000729D6"/>
  </w:style>
  <w:style w:type="paragraph" w:styleId="a8">
    <w:name w:val="annotation subject"/>
    <w:basedOn w:val="a7"/>
    <w:next w:val="a7"/>
    <w:link w:val="Char3"/>
    <w:uiPriority w:val="99"/>
    <w:semiHidden/>
    <w:unhideWhenUsed/>
    <w:rsid w:val="000729D6"/>
    <w:rPr>
      <w:b/>
      <w:bCs/>
    </w:rPr>
  </w:style>
  <w:style w:type="character" w:customStyle="1" w:styleId="Char3">
    <w:name w:val="批注主题 Char"/>
    <w:basedOn w:val="Char2"/>
    <w:link w:val="a8"/>
    <w:uiPriority w:val="99"/>
    <w:semiHidden/>
    <w:rsid w:val="000729D6"/>
    <w:rPr>
      <w:b/>
      <w:bCs/>
    </w:rPr>
  </w:style>
  <w:style w:type="paragraph" w:customStyle="1" w:styleId="a9">
    <w:name w:val="合同正文"/>
    <w:basedOn w:val="a"/>
    <w:link w:val="Char4"/>
    <w:qFormat/>
    <w:rsid w:val="00B95E41"/>
    <w:pPr>
      <w:spacing w:line="360" w:lineRule="auto"/>
      <w:ind w:firstLineChars="200" w:firstLine="200"/>
    </w:pPr>
    <w:rPr>
      <w:rFonts w:ascii="Times New Roman" w:eastAsia="宋体" w:hAnsi="Times New Roman" w:cs="Times New Roman"/>
      <w:bCs/>
      <w:sz w:val="24"/>
      <w:szCs w:val="20"/>
    </w:rPr>
  </w:style>
  <w:style w:type="character" w:customStyle="1" w:styleId="Char4">
    <w:name w:val="合同正文 Char"/>
    <w:link w:val="a9"/>
    <w:qFormat/>
    <w:rsid w:val="00B95E41"/>
    <w:rPr>
      <w:rFonts w:ascii="Times New Roman" w:eastAsia="宋体" w:hAnsi="Times New Roman" w:cs="Times New Roman"/>
      <w:bCs/>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2752</Characters>
  <Application>Microsoft Office Word</Application>
  <DocSecurity>4</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冯润瑛</dc:creator>
  <cp:keywords/>
  <dc:description/>
  <cp:lastModifiedBy>ZHONGM</cp:lastModifiedBy>
  <cp:revision>2</cp:revision>
  <cp:lastPrinted>2020-12-16T00:48:00Z</cp:lastPrinted>
  <dcterms:created xsi:type="dcterms:W3CDTF">2020-12-29T16:26:00Z</dcterms:created>
  <dcterms:modified xsi:type="dcterms:W3CDTF">2020-12-29T16:26:00Z</dcterms:modified>
</cp:coreProperties>
</file>