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7" w:rsidRDefault="003C7314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/>
          <w:b/>
          <w:sz w:val="30"/>
          <w:szCs w:val="30"/>
        </w:rPr>
        <w:t>财通证券资产管理有限公司关于</w:t>
      </w:r>
      <w:r>
        <w:rPr>
          <w:rFonts w:asciiTheme="minorEastAsia" w:hAnsiTheme="minorEastAsia" w:cs="Times New Roman" w:hint="eastAsia"/>
          <w:b/>
          <w:sz w:val="30"/>
          <w:szCs w:val="30"/>
        </w:rPr>
        <w:t>财通资管鸿达纯债债券型证券投资基金</w:t>
      </w:r>
      <w:r>
        <w:rPr>
          <w:rFonts w:asciiTheme="minorEastAsia" w:hAnsiTheme="minorEastAsia" w:cs="Times New Roman"/>
          <w:b/>
          <w:sz w:val="30"/>
          <w:szCs w:val="30"/>
        </w:rPr>
        <w:t>增加</w:t>
      </w:r>
      <w:r>
        <w:rPr>
          <w:rFonts w:asciiTheme="minorEastAsia" w:hAnsiTheme="minorEastAsia" w:cs="Times New Roman" w:hint="eastAsia"/>
          <w:b/>
          <w:sz w:val="30"/>
          <w:szCs w:val="30"/>
        </w:rPr>
        <w:t>I</w:t>
      </w:r>
      <w:r>
        <w:rPr>
          <w:rFonts w:asciiTheme="minorEastAsia" w:hAnsiTheme="minorEastAsia" w:cs="Times New Roman"/>
          <w:b/>
          <w:sz w:val="30"/>
          <w:szCs w:val="30"/>
        </w:rPr>
        <w:t>类</w:t>
      </w:r>
      <w:r>
        <w:rPr>
          <w:rFonts w:asciiTheme="minorEastAsia" w:hAnsiTheme="minorEastAsia" w:cs="Times New Roman" w:hint="eastAsia"/>
          <w:b/>
          <w:sz w:val="30"/>
          <w:szCs w:val="30"/>
        </w:rPr>
        <w:t>基金</w:t>
      </w:r>
      <w:r>
        <w:rPr>
          <w:rFonts w:asciiTheme="minorEastAsia" w:hAnsiTheme="minorEastAsia" w:cs="Times New Roman"/>
          <w:b/>
          <w:sz w:val="30"/>
          <w:szCs w:val="30"/>
        </w:rPr>
        <w:t>份额并修改基金合同、托管协议的公告</w:t>
      </w:r>
    </w:p>
    <w:p w:rsidR="00611F77" w:rsidRDefault="00611F77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</w:p>
    <w:p w:rsidR="00611F77" w:rsidRDefault="003C731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0"/>
        </w:rPr>
      </w:pPr>
      <w:r>
        <w:rPr>
          <w:rFonts w:asciiTheme="minorEastAsia" w:hAnsiTheme="minorEastAsia" w:cs="Times New Roman"/>
          <w:bCs/>
          <w:sz w:val="24"/>
          <w:szCs w:val="20"/>
        </w:rPr>
        <w:t>为更好地满足广大投资者的需求，财通证券资产管理有限公司（以下简称</w:t>
      </w:r>
      <w:r>
        <w:rPr>
          <w:rFonts w:asciiTheme="minorEastAsia" w:hAnsiTheme="minorEastAsia" w:cs="Times New Roman"/>
          <w:bCs/>
          <w:sz w:val="24"/>
          <w:szCs w:val="20"/>
        </w:rPr>
        <w:t>“</w:t>
      </w:r>
      <w:r>
        <w:rPr>
          <w:rFonts w:asciiTheme="minorEastAsia" w:hAnsiTheme="minorEastAsia" w:cs="Times New Roman"/>
          <w:bCs/>
          <w:sz w:val="24"/>
          <w:szCs w:val="20"/>
        </w:rPr>
        <w:t>本公司</w:t>
      </w:r>
      <w:r>
        <w:rPr>
          <w:rFonts w:asciiTheme="minorEastAsia" w:hAnsiTheme="minorEastAsia" w:cs="Times New Roman"/>
          <w:bCs/>
          <w:sz w:val="24"/>
          <w:szCs w:val="20"/>
        </w:rPr>
        <w:t>”</w:t>
      </w:r>
      <w:r>
        <w:rPr>
          <w:rFonts w:asciiTheme="minorEastAsia" w:hAnsiTheme="minorEastAsia" w:cs="Times New Roman"/>
          <w:bCs/>
          <w:sz w:val="24"/>
          <w:szCs w:val="20"/>
        </w:rPr>
        <w:t>）根据《中华人民共和国证券投资基金法》、《公开募集证券投资基金运作管理办法》</w:t>
      </w:r>
      <w:r>
        <w:rPr>
          <w:rFonts w:asciiTheme="minorEastAsia" w:hAnsiTheme="minorEastAsia" w:cs="Times New Roman"/>
          <w:bCs/>
          <w:sz w:val="24"/>
        </w:rPr>
        <w:t>等法律法规</w:t>
      </w:r>
      <w:r>
        <w:rPr>
          <w:rFonts w:asciiTheme="minorEastAsia" w:hAnsiTheme="minorEastAsia" w:cs="Times New Roman"/>
          <w:bCs/>
          <w:sz w:val="24"/>
          <w:szCs w:val="20"/>
        </w:rPr>
        <w:t>和《</w:t>
      </w:r>
      <w:r>
        <w:rPr>
          <w:rFonts w:asciiTheme="minorEastAsia" w:hAnsiTheme="minorEastAsia" w:cs="Times New Roman" w:hint="eastAsia"/>
          <w:bCs/>
          <w:sz w:val="24"/>
          <w:szCs w:val="20"/>
        </w:rPr>
        <w:t>财通资管鸿达纯债债券型证券投资基金</w:t>
      </w:r>
      <w:r>
        <w:rPr>
          <w:rFonts w:asciiTheme="minorEastAsia" w:hAnsiTheme="minorEastAsia" w:cs="Times New Roman"/>
          <w:bCs/>
          <w:sz w:val="24"/>
          <w:szCs w:val="20"/>
        </w:rPr>
        <w:t>基金合同》（以下简称</w:t>
      </w:r>
      <w:r>
        <w:rPr>
          <w:rFonts w:asciiTheme="minorEastAsia" w:hAnsiTheme="minorEastAsia" w:cs="Times New Roman"/>
          <w:bCs/>
          <w:sz w:val="24"/>
          <w:szCs w:val="20"/>
        </w:rPr>
        <w:t>“</w:t>
      </w:r>
      <w:r>
        <w:rPr>
          <w:rFonts w:asciiTheme="minorEastAsia" w:hAnsiTheme="minorEastAsia" w:cs="Times New Roman"/>
          <w:bCs/>
          <w:sz w:val="24"/>
          <w:szCs w:val="20"/>
        </w:rPr>
        <w:t>基金合同</w:t>
      </w:r>
      <w:r>
        <w:rPr>
          <w:rFonts w:asciiTheme="minorEastAsia" w:hAnsiTheme="minorEastAsia" w:cs="Times New Roman"/>
          <w:bCs/>
          <w:sz w:val="24"/>
          <w:szCs w:val="20"/>
        </w:rPr>
        <w:t>”</w:t>
      </w:r>
      <w:r>
        <w:rPr>
          <w:rFonts w:asciiTheme="minorEastAsia" w:hAnsiTheme="minorEastAsia" w:cs="Times New Roman"/>
          <w:bCs/>
          <w:sz w:val="24"/>
          <w:szCs w:val="20"/>
        </w:rPr>
        <w:t>或</w:t>
      </w:r>
      <w:r>
        <w:rPr>
          <w:rFonts w:asciiTheme="minorEastAsia" w:hAnsiTheme="minorEastAsia" w:cs="Times New Roman"/>
          <w:bCs/>
          <w:sz w:val="24"/>
          <w:szCs w:val="20"/>
        </w:rPr>
        <w:t>“</w:t>
      </w:r>
      <w:r>
        <w:rPr>
          <w:rFonts w:asciiTheme="minorEastAsia" w:hAnsiTheme="minorEastAsia" w:cs="Times New Roman"/>
          <w:bCs/>
          <w:sz w:val="24"/>
          <w:szCs w:val="20"/>
        </w:rPr>
        <w:t>《基金合同》</w:t>
      </w:r>
      <w:r>
        <w:rPr>
          <w:rFonts w:asciiTheme="minorEastAsia" w:hAnsiTheme="minorEastAsia" w:cs="Times New Roman"/>
          <w:bCs/>
          <w:sz w:val="24"/>
          <w:szCs w:val="20"/>
        </w:rPr>
        <w:t>”</w:t>
      </w:r>
      <w:r>
        <w:rPr>
          <w:rFonts w:asciiTheme="minorEastAsia" w:hAnsiTheme="minorEastAsia" w:cs="Times New Roman"/>
          <w:bCs/>
          <w:sz w:val="24"/>
          <w:szCs w:val="20"/>
        </w:rPr>
        <w:t>）的有关规定，经与基金托管人</w:t>
      </w:r>
      <w:r>
        <w:rPr>
          <w:rFonts w:asciiTheme="minorEastAsia" w:hAnsiTheme="minorEastAsia" w:cs="Times New Roman" w:hint="eastAsia"/>
          <w:bCs/>
          <w:sz w:val="24"/>
          <w:szCs w:val="20"/>
        </w:rPr>
        <w:t>宁波银行股份有限公司</w:t>
      </w:r>
      <w:r>
        <w:rPr>
          <w:rFonts w:asciiTheme="minorEastAsia" w:hAnsiTheme="minorEastAsia" w:cs="Times New Roman"/>
          <w:bCs/>
          <w:sz w:val="24"/>
          <w:szCs w:val="20"/>
        </w:rPr>
        <w:t>（以下简称</w:t>
      </w:r>
      <w:r>
        <w:rPr>
          <w:rFonts w:asciiTheme="minorEastAsia" w:hAnsiTheme="minorEastAsia" w:cs="Times New Roman"/>
          <w:bCs/>
          <w:sz w:val="24"/>
          <w:szCs w:val="20"/>
        </w:rPr>
        <w:t>“</w:t>
      </w:r>
      <w:r>
        <w:rPr>
          <w:rFonts w:asciiTheme="minorEastAsia" w:hAnsiTheme="minorEastAsia" w:cs="Times New Roman" w:hint="eastAsia"/>
          <w:bCs/>
          <w:sz w:val="24"/>
          <w:szCs w:val="20"/>
        </w:rPr>
        <w:t>宁波银行</w:t>
      </w:r>
      <w:r>
        <w:rPr>
          <w:rFonts w:asciiTheme="minorEastAsia" w:hAnsiTheme="minorEastAsia" w:cs="Times New Roman"/>
          <w:bCs/>
          <w:sz w:val="24"/>
          <w:szCs w:val="20"/>
        </w:rPr>
        <w:t>”</w:t>
      </w:r>
      <w:r>
        <w:rPr>
          <w:rFonts w:asciiTheme="minorEastAsia" w:hAnsiTheme="minorEastAsia" w:cs="Times New Roman"/>
          <w:bCs/>
          <w:sz w:val="24"/>
          <w:szCs w:val="20"/>
        </w:rPr>
        <w:t>）协商一致</w:t>
      </w:r>
      <w:r>
        <w:rPr>
          <w:rFonts w:asciiTheme="minorEastAsia" w:hAnsiTheme="minorEastAsia" w:cs="Times New Roman"/>
          <w:color w:val="000000"/>
          <w:sz w:val="24"/>
          <w:szCs w:val="24"/>
        </w:rPr>
        <w:t>并报中国证券监督管理委员会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以下简称“</w:t>
      </w:r>
      <w:r>
        <w:rPr>
          <w:rFonts w:asciiTheme="minorEastAsia" w:hAnsiTheme="minorEastAsia" w:cs="Times New Roman"/>
          <w:color w:val="000000"/>
          <w:kern w:val="0"/>
          <w:sz w:val="24"/>
        </w:rPr>
        <w:t>中国证监会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”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Times New Roman"/>
          <w:color w:val="000000"/>
          <w:sz w:val="24"/>
          <w:szCs w:val="24"/>
        </w:rPr>
        <w:t>备案</w:t>
      </w:r>
      <w:r>
        <w:rPr>
          <w:rFonts w:asciiTheme="minorEastAsia" w:hAnsiTheme="minorEastAsia" w:cs="Times New Roman"/>
          <w:bCs/>
          <w:sz w:val="24"/>
          <w:szCs w:val="20"/>
        </w:rPr>
        <w:t>，将对本公司管理的</w:t>
      </w:r>
      <w:r>
        <w:rPr>
          <w:rFonts w:asciiTheme="minorEastAsia" w:hAnsiTheme="minorEastAsia" w:cs="Times New Roman" w:hint="eastAsia"/>
          <w:bCs/>
          <w:sz w:val="24"/>
          <w:szCs w:val="20"/>
        </w:rPr>
        <w:t>财通资管鸿达纯债债券型证券投资基金</w:t>
      </w:r>
      <w:r>
        <w:rPr>
          <w:rFonts w:asciiTheme="minorEastAsia" w:hAnsiTheme="minorEastAsia" w:cs="Times New Roman"/>
          <w:bCs/>
          <w:sz w:val="24"/>
          <w:szCs w:val="20"/>
        </w:rPr>
        <w:t>（以下简称</w:t>
      </w:r>
      <w:r>
        <w:rPr>
          <w:rFonts w:asciiTheme="minorEastAsia" w:hAnsiTheme="minorEastAsia" w:cs="Times New Roman"/>
          <w:bCs/>
          <w:sz w:val="24"/>
          <w:szCs w:val="20"/>
        </w:rPr>
        <w:t>“</w:t>
      </w:r>
      <w:r>
        <w:rPr>
          <w:rFonts w:asciiTheme="minorEastAsia" w:hAnsiTheme="minorEastAsia" w:cs="Times New Roman"/>
          <w:bCs/>
          <w:sz w:val="24"/>
          <w:szCs w:val="20"/>
        </w:rPr>
        <w:t>本基金</w:t>
      </w:r>
      <w:r>
        <w:rPr>
          <w:rFonts w:asciiTheme="minorEastAsia" w:hAnsiTheme="minorEastAsia" w:cs="Times New Roman"/>
          <w:bCs/>
          <w:sz w:val="24"/>
          <w:szCs w:val="20"/>
        </w:rPr>
        <w:t>”</w:t>
      </w:r>
      <w:r>
        <w:rPr>
          <w:rFonts w:asciiTheme="minorEastAsia" w:hAnsiTheme="minorEastAsia" w:cs="Times New Roman"/>
          <w:bCs/>
          <w:sz w:val="24"/>
          <w:szCs w:val="20"/>
        </w:rPr>
        <w:t>）增加</w:t>
      </w:r>
      <w:r>
        <w:rPr>
          <w:rFonts w:asciiTheme="minorEastAsia" w:hAnsiTheme="minorEastAsia" w:cs="Times New Roman" w:hint="eastAsia"/>
          <w:bCs/>
          <w:sz w:val="24"/>
          <w:szCs w:val="20"/>
        </w:rPr>
        <w:t>I</w:t>
      </w:r>
      <w:r>
        <w:rPr>
          <w:rFonts w:asciiTheme="minorEastAsia" w:hAnsiTheme="minorEastAsia" w:cs="Times New Roman"/>
          <w:bCs/>
          <w:sz w:val="24"/>
          <w:szCs w:val="20"/>
        </w:rPr>
        <w:t>类基金份额，自</w:t>
      </w:r>
      <w:r>
        <w:rPr>
          <w:rFonts w:asciiTheme="minorEastAsia" w:hAnsiTheme="minorEastAsia" w:cs="Times New Roman"/>
          <w:bCs/>
          <w:sz w:val="24"/>
          <w:szCs w:val="20"/>
        </w:rPr>
        <w:t>20</w:t>
      </w:r>
      <w:r>
        <w:rPr>
          <w:rFonts w:asciiTheme="minorEastAsia" w:hAnsiTheme="minorEastAsia" w:cs="Times New Roman" w:hint="eastAsia"/>
          <w:bCs/>
          <w:sz w:val="24"/>
          <w:szCs w:val="20"/>
        </w:rPr>
        <w:t>20</w:t>
      </w:r>
      <w:r>
        <w:rPr>
          <w:rFonts w:asciiTheme="minorEastAsia" w:hAnsiTheme="minorEastAsia" w:cs="Times New Roman"/>
          <w:bCs/>
          <w:sz w:val="24"/>
          <w:szCs w:val="20"/>
        </w:rPr>
        <w:t>年</w:t>
      </w:r>
      <w:r>
        <w:rPr>
          <w:rFonts w:asciiTheme="minorEastAsia" w:hAnsiTheme="minorEastAsia" w:cs="Times New Roman" w:hint="eastAsia"/>
          <w:bCs/>
          <w:sz w:val="24"/>
          <w:szCs w:val="20"/>
        </w:rPr>
        <w:t>12</w:t>
      </w:r>
      <w:r>
        <w:rPr>
          <w:rFonts w:asciiTheme="minorEastAsia" w:hAnsiTheme="minorEastAsia" w:cs="Times New Roman"/>
          <w:bCs/>
          <w:sz w:val="24"/>
          <w:szCs w:val="20"/>
        </w:rPr>
        <w:t>月</w:t>
      </w:r>
      <w:r>
        <w:rPr>
          <w:rFonts w:asciiTheme="minorEastAsia" w:hAnsiTheme="minorEastAsia" w:cs="Times New Roman" w:hint="eastAsia"/>
          <w:bCs/>
          <w:sz w:val="24"/>
          <w:szCs w:val="20"/>
        </w:rPr>
        <w:t>30</w:t>
      </w:r>
      <w:r>
        <w:rPr>
          <w:rFonts w:asciiTheme="minorEastAsia" w:hAnsiTheme="minorEastAsia" w:cs="Times New Roman"/>
          <w:bCs/>
          <w:sz w:val="24"/>
          <w:szCs w:val="20"/>
        </w:rPr>
        <w:t>日起接受投资者对</w:t>
      </w:r>
      <w:r>
        <w:rPr>
          <w:rFonts w:asciiTheme="minorEastAsia" w:hAnsiTheme="minorEastAsia" w:cs="Times New Roman" w:hint="eastAsia"/>
          <w:bCs/>
          <w:sz w:val="24"/>
          <w:szCs w:val="20"/>
        </w:rPr>
        <w:t>I</w:t>
      </w:r>
      <w:r>
        <w:rPr>
          <w:rFonts w:asciiTheme="minorEastAsia" w:hAnsiTheme="minorEastAsia" w:cs="Times New Roman"/>
          <w:bCs/>
          <w:sz w:val="24"/>
          <w:szCs w:val="20"/>
        </w:rPr>
        <w:t>类基金份额的申购与赎回，同时对本基金的基金合同、托管协议作相应修改。</w:t>
      </w:r>
    </w:p>
    <w:p w:rsidR="00611F77" w:rsidRDefault="003C731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0"/>
        </w:rPr>
      </w:pPr>
      <w:r>
        <w:rPr>
          <w:rFonts w:asciiTheme="minorEastAsia" w:hAnsiTheme="minorEastAsia" w:cs="Times New Roman"/>
          <w:bCs/>
          <w:sz w:val="24"/>
          <w:szCs w:val="20"/>
        </w:rPr>
        <w:t>现将具体事项公告如下：</w:t>
      </w:r>
    </w:p>
    <w:p w:rsidR="00611F77" w:rsidRDefault="00611F7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0"/>
        </w:rPr>
      </w:pPr>
    </w:p>
    <w:p w:rsidR="00611F77" w:rsidRDefault="003C7314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bCs/>
          <w:sz w:val="24"/>
          <w:szCs w:val="20"/>
        </w:rPr>
      </w:pPr>
      <w:r>
        <w:rPr>
          <w:rFonts w:asciiTheme="minorEastAsia" w:hAnsiTheme="minorEastAsia" w:cs="Times New Roman"/>
          <w:b/>
          <w:bCs/>
          <w:sz w:val="24"/>
          <w:szCs w:val="20"/>
        </w:rPr>
        <w:t>一、新增</w:t>
      </w:r>
      <w:r>
        <w:rPr>
          <w:rFonts w:asciiTheme="minorEastAsia" w:hAnsiTheme="minorEastAsia" w:cs="Times New Roman" w:hint="eastAsia"/>
          <w:b/>
          <w:bCs/>
          <w:sz w:val="24"/>
          <w:szCs w:val="20"/>
        </w:rPr>
        <w:t>I</w:t>
      </w:r>
      <w:r>
        <w:rPr>
          <w:rFonts w:asciiTheme="minorEastAsia" w:hAnsiTheme="minorEastAsia" w:cs="Times New Roman"/>
          <w:b/>
          <w:bCs/>
          <w:sz w:val="24"/>
          <w:szCs w:val="20"/>
        </w:rPr>
        <w:t>类基金份额</w:t>
      </w:r>
    </w:p>
    <w:p w:rsidR="00611F77" w:rsidRDefault="003C731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0"/>
        </w:rPr>
      </w:pPr>
      <w:r>
        <w:rPr>
          <w:rFonts w:asciiTheme="minorEastAsia" w:hAnsiTheme="minorEastAsia" w:cs="Times New Roman"/>
          <w:bCs/>
          <w:sz w:val="24"/>
          <w:szCs w:val="20"/>
        </w:rPr>
        <w:t>本基金在现有份额</w:t>
      </w:r>
      <w:r>
        <w:rPr>
          <w:rFonts w:asciiTheme="minorEastAsia" w:hAnsiTheme="minorEastAsia" w:cs="Times New Roman" w:hint="eastAsia"/>
          <w:bCs/>
          <w:sz w:val="24"/>
          <w:szCs w:val="20"/>
        </w:rPr>
        <w:t>（</w:t>
      </w:r>
      <w:r>
        <w:rPr>
          <w:rFonts w:asciiTheme="minorEastAsia" w:hAnsiTheme="minorEastAsia" w:cs="Times New Roman" w:hint="eastAsia"/>
          <w:bCs/>
          <w:sz w:val="24"/>
          <w:szCs w:val="20"/>
        </w:rPr>
        <w:t>A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类基金份额、</w:t>
      </w:r>
      <w:r>
        <w:rPr>
          <w:rFonts w:asciiTheme="minorEastAsia" w:hAnsiTheme="minorEastAsia" w:cs="Times New Roman"/>
          <w:bCs/>
          <w:sz w:val="24"/>
          <w:szCs w:val="20"/>
        </w:rPr>
        <w:t>C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类基金份额和</w:t>
      </w:r>
      <w:r>
        <w:rPr>
          <w:rFonts w:asciiTheme="minorEastAsia" w:hAnsiTheme="minorEastAsia" w:cs="Times New Roman" w:hint="eastAsia"/>
          <w:bCs/>
          <w:sz w:val="24"/>
          <w:szCs w:val="20"/>
        </w:rPr>
        <w:t>E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类份额）</w:t>
      </w:r>
      <w:r>
        <w:rPr>
          <w:rFonts w:asciiTheme="minorEastAsia" w:hAnsiTheme="minorEastAsia" w:cs="Times New Roman"/>
          <w:bCs/>
          <w:sz w:val="24"/>
          <w:szCs w:val="20"/>
        </w:rPr>
        <w:t>的基础上增</w:t>
      </w:r>
      <w:r>
        <w:rPr>
          <w:rFonts w:asciiTheme="minorEastAsia" w:hAnsiTheme="minorEastAsia" w:cs="Times New Roman" w:hint="eastAsia"/>
          <w:bCs/>
          <w:sz w:val="24"/>
          <w:szCs w:val="20"/>
        </w:rPr>
        <w:t>设</w:t>
      </w:r>
      <w:r>
        <w:rPr>
          <w:rFonts w:asciiTheme="minorEastAsia" w:hAnsiTheme="minorEastAsia" w:cs="Times New Roman" w:hint="eastAsia"/>
          <w:bCs/>
          <w:sz w:val="24"/>
          <w:szCs w:val="20"/>
        </w:rPr>
        <w:t>I</w:t>
      </w:r>
      <w:r>
        <w:rPr>
          <w:rFonts w:asciiTheme="minorEastAsia" w:hAnsiTheme="minorEastAsia" w:cs="Times New Roman"/>
          <w:bCs/>
          <w:sz w:val="24"/>
          <w:szCs w:val="20"/>
        </w:rPr>
        <w:t>类基金份额</w:t>
      </w:r>
      <w:r>
        <w:rPr>
          <w:rFonts w:asciiTheme="minorEastAsia" w:hAnsiTheme="minorEastAsia" w:cs="Times New Roman" w:hint="eastAsia"/>
          <w:bCs/>
          <w:sz w:val="24"/>
          <w:szCs w:val="20"/>
        </w:rPr>
        <w:t>。本基金各类基金份额分别设置代码（基金代码：</w:t>
      </w:r>
      <w:r>
        <w:rPr>
          <w:rFonts w:asciiTheme="minorEastAsia" w:hAnsiTheme="minorEastAsia" w:cs="Times New Roman" w:hint="eastAsia"/>
          <w:bCs/>
          <w:sz w:val="24"/>
          <w:szCs w:val="20"/>
        </w:rPr>
        <w:t>A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</w:t>
      </w:r>
      <w:r>
        <w:rPr>
          <w:rFonts w:asciiTheme="minorEastAsia" w:hAnsiTheme="minorEastAsia" w:cs="Times New Roman" w:hint="eastAsia"/>
          <w:bCs/>
          <w:sz w:val="24"/>
          <w:szCs w:val="20"/>
        </w:rPr>
        <w:t>005307</w:t>
      </w:r>
      <w:r>
        <w:rPr>
          <w:rFonts w:asciiTheme="minorEastAsia" w:hAnsiTheme="minorEastAsia" w:cs="Times New Roman" w:hint="eastAsia"/>
          <w:bCs/>
          <w:sz w:val="24"/>
          <w:szCs w:val="20"/>
        </w:rPr>
        <w:t>、</w:t>
      </w:r>
      <w:r>
        <w:rPr>
          <w:rFonts w:asciiTheme="minorEastAsia" w:hAnsiTheme="minorEastAsia" w:cs="Times New Roman" w:hint="eastAsia"/>
          <w:bCs/>
          <w:sz w:val="24"/>
          <w:szCs w:val="20"/>
        </w:rPr>
        <w:t>C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</w:t>
      </w:r>
      <w:r>
        <w:rPr>
          <w:rFonts w:asciiTheme="minorEastAsia" w:hAnsiTheme="minorEastAsia" w:cs="Times New Roman" w:hint="eastAsia"/>
          <w:bCs/>
          <w:sz w:val="24"/>
          <w:szCs w:val="20"/>
        </w:rPr>
        <w:t>005308</w:t>
      </w:r>
      <w:r>
        <w:rPr>
          <w:rFonts w:asciiTheme="minorEastAsia" w:hAnsiTheme="minorEastAsia" w:cs="Times New Roman" w:hint="eastAsia"/>
          <w:bCs/>
          <w:sz w:val="24"/>
          <w:szCs w:val="20"/>
        </w:rPr>
        <w:t>、</w:t>
      </w:r>
      <w:r>
        <w:rPr>
          <w:rFonts w:asciiTheme="minorEastAsia" w:hAnsiTheme="minorEastAsia" w:cs="Times New Roman" w:hint="eastAsia"/>
          <w:bCs/>
          <w:sz w:val="24"/>
          <w:szCs w:val="20"/>
        </w:rPr>
        <w:t>E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</w:t>
      </w:r>
      <w:r>
        <w:rPr>
          <w:rFonts w:asciiTheme="minorEastAsia" w:hAnsiTheme="minorEastAsia" w:cs="Times New Roman" w:hint="eastAsia"/>
          <w:bCs/>
          <w:sz w:val="24"/>
          <w:szCs w:val="20"/>
        </w:rPr>
        <w:t>005882</w:t>
      </w:r>
      <w:r>
        <w:rPr>
          <w:rFonts w:asciiTheme="minorEastAsia" w:hAnsiTheme="minorEastAsia" w:cs="Times New Roman" w:hint="eastAsia"/>
          <w:bCs/>
          <w:sz w:val="24"/>
          <w:szCs w:val="20"/>
        </w:rPr>
        <w:t>、</w:t>
      </w:r>
      <w:r>
        <w:rPr>
          <w:rFonts w:asciiTheme="minorEastAsia" w:hAnsiTheme="minorEastAsia" w:cs="Times New Roman" w:hint="eastAsia"/>
          <w:bCs/>
          <w:sz w:val="24"/>
          <w:szCs w:val="20"/>
        </w:rPr>
        <w:t>I</w:t>
      </w:r>
      <w:r>
        <w:rPr>
          <w:rFonts w:asciiTheme="minorEastAsia" w:hAnsiTheme="minorEastAsia" w:cs="Times New Roman" w:hint="eastAsia"/>
          <w:bCs/>
          <w:sz w:val="24"/>
          <w:szCs w:val="20"/>
        </w:rPr>
        <w:t>类</w:t>
      </w:r>
      <w:r>
        <w:rPr>
          <w:rFonts w:asciiTheme="minorEastAsia" w:hAnsiTheme="minorEastAsia" w:cs="Times New Roman" w:hint="eastAsia"/>
          <w:bCs/>
          <w:sz w:val="24"/>
          <w:szCs w:val="20"/>
        </w:rPr>
        <w:t>011067</w:t>
      </w:r>
      <w:r>
        <w:rPr>
          <w:rFonts w:asciiTheme="minorEastAsia" w:hAnsiTheme="minorEastAsia" w:cs="Times New Roman" w:hint="eastAsia"/>
          <w:bCs/>
          <w:sz w:val="24"/>
          <w:szCs w:val="20"/>
        </w:rPr>
        <w:t>）。由于基金费用的不同，本基金各类基金份额将分别计算并公告基金份额净值。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本基金</w:t>
      </w:r>
      <w:r>
        <w:rPr>
          <w:rFonts w:asciiTheme="minorEastAsia" w:hAnsiTheme="minorEastAsia" w:cs="Times New Roman" w:hint="eastAsia"/>
          <w:color w:val="000000"/>
          <w:sz w:val="24"/>
        </w:rPr>
        <w:t>I</w:t>
      </w:r>
      <w:r>
        <w:rPr>
          <w:rFonts w:asciiTheme="minorEastAsia" w:hAnsiTheme="minorEastAsia" w:cs="Times New Roman" w:hint="eastAsia"/>
          <w:color w:val="000000"/>
          <w:sz w:val="24"/>
        </w:rPr>
        <w:t>类基金份额拟不收取申购费用，按前一日</w:t>
      </w:r>
      <w:r>
        <w:rPr>
          <w:rFonts w:asciiTheme="minorEastAsia" w:hAnsiTheme="minorEastAsia" w:cs="Times New Roman" w:hint="eastAsia"/>
          <w:color w:val="000000"/>
          <w:sz w:val="24"/>
        </w:rPr>
        <w:t>I</w:t>
      </w:r>
      <w:r>
        <w:rPr>
          <w:rFonts w:asciiTheme="minorEastAsia" w:hAnsiTheme="minorEastAsia" w:cs="Times New Roman" w:hint="eastAsia"/>
          <w:color w:val="000000"/>
          <w:sz w:val="24"/>
        </w:rPr>
        <w:t>类基金份额的基金资产净值的</w:t>
      </w:r>
      <w:r>
        <w:rPr>
          <w:rFonts w:asciiTheme="minorEastAsia" w:hAnsiTheme="minorEastAsia" w:cs="Times New Roman"/>
          <w:color w:val="000000"/>
          <w:sz w:val="24"/>
        </w:rPr>
        <w:t>0.30</w:t>
      </w:r>
      <w:r>
        <w:rPr>
          <w:rFonts w:asciiTheme="minorEastAsia" w:hAnsiTheme="minorEastAsia" w:cs="Times New Roman" w:hint="eastAsia"/>
          <w:color w:val="000000"/>
          <w:sz w:val="24"/>
        </w:rPr>
        <w:t>%</w:t>
      </w:r>
      <w:r>
        <w:rPr>
          <w:rFonts w:asciiTheme="minorEastAsia" w:hAnsiTheme="minorEastAsia" w:cs="Times New Roman" w:hint="eastAsia"/>
          <w:color w:val="000000"/>
          <w:sz w:val="24"/>
        </w:rPr>
        <w:t>的年费率计提销售服务费，对持续持有期少于</w:t>
      </w:r>
      <w:r>
        <w:rPr>
          <w:rFonts w:asciiTheme="minorEastAsia" w:hAnsiTheme="minorEastAsia" w:cs="Times New Roman" w:hint="eastAsia"/>
          <w:color w:val="000000"/>
          <w:sz w:val="24"/>
        </w:rPr>
        <w:t>7</w:t>
      </w:r>
      <w:r>
        <w:rPr>
          <w:rFonts w:asciiTheme="minorEastAsia" w:hAnsiTheme="minorEastAsia" w:cs="Times New Roman" w:hint="eastAsia"/>
          <w:color w:val="000000"/>
          <w:sz w:val="24"/>
        </w:rPr>
        <w:t>日的</w:t>
      </w:r>
      <w:r>
        <w:rPr>
          <w:rFonts w:asciiTheme="minorEastAsia" w:hAnsiTheme="minorEastAsia" w:cs="Times New Roman" w:hint="eastAsia"/>
          <w:color w:val="000000"/>
          <w:sz w:val="24"/>
        </w:rPr>
        <w:t>I</w:t>
      </w:r>
      <w:r>
        <w:rPr>
          <w:rFonts w:asciiTheme="minorEastAsia" w:hAnsiTheme="minorEastAsia" w:cs="Times New Roman" w:hint="eastAsia"/>
          <w:color w:val="000000"/>
          <w:sz w:val="24"/>
        </w:rPr>
        <w:t>类基金份额持有人按照</w:t>
      </w:r>
      <w:r>
        <w:rPr>
          <w:rFonts w:asciiTheme="minorEastAsia" w:hAnsiTheme="minorEastAsia" w:cs="Times New Roman" w:hint="eastAsia"/>
          <w:color w:val="000000"/>
          <w:sz w:val="24"/>
        </w:rPr>
        <w:t>1.50%</w:t>
      </w:r>
      <w:r>
        <w:rPr>
          <w:rFonts w:asciiTheme="minorEastAsia" w:hAnsiTheme="minorEastAsia" w:cs="Times New Roman" w:hint="eastAsia"/>
          <w:color w:val="000000"/>
          <w:sz w:val="24"/>
        </w:rPr>
        <w:t>收取赎回费；对持续持有期</w:t>
      </w:r>
      <w:r>
        <w:rPr>
          <w:rFonts w:asciiTheme="minorEastAsia" w:hAnsiTheme="minorEastAsia" w:cs="Times New Roman" w:hint="eastAsia"/>
          <w:color w:val="000000"/>
          <w:sz w:val="24"/>
        </w:rPr>
        <w:t>7</w:t>
      </w:r>
      <w:r>
        <w:rPr>
          <w:rFonts w:asciiTheme="minorEastAsia" w:hAnsiTheme="minorEastAsia" w:cs="Times New Roman" w:hint="eastAsia"/>
          <w:color w:val="000000"/>
          <w:sz w:val="24"/>
        </w:rPr>
        <w:t>日（含）以上的</w:t>
      </w:r>
      <w:r>
        <w:rPr>
          <w:rFonts w:asciiTheme="minorEastAsia" w:hAnsiTheme="minorEastAsia" w:cs="Times New Roman" w:hint="eastAsia"/>
          <w:color w:val="000000"/>
          <w:sz w:val="24"/>
        </w:rPr>
        <w:t>I</w:t>
      </w:r>
      <w:r>
        <w:rPr>
          <w:rFonts w:asciiTheme="minorEastAsia" w:hAnsiTheme="minorEastAsia" w:cs="Times New Roman" w:hint="eastAsia"/>
          <w:color w:val="000000"/>
          <w:sz w:val="24"/>
        </w:rPr>
        <w:t>类基金份额持有人不收取赎回费。本基金新增</w:t>
      </w:r>
      <w:r>
        <w:rPr>
          <w:rFonts w:asciiTheme="minorEastAsia" w:hAnsiTheme="minorEastAsia" w:cs="Times New Roman" w:hint="eastAsia"/>
          <w:color w:val="000000"/>
          <w:sz w:val="24"/>
        </w:rPr>
        <w:t>I</w:t>
      </w:r>
      <w:r>
        <w:rPr>
          <w:rFonts w:asciiTheme="minorEastAsia" w:hAnsiTheme="minorEastAsia" w:cs="Times New Roman" w:hint="eastAsia"/>
          <w:color w:val="000000"/>
          <w:sz w:val="24"/>
        </w:rPr>
        <w:t>类基金份额将设置与</w:t>
      </w:r>
      <w:r>
        <w:rPr>
          <w:rFonts w:asciiTheme="minorEastAsia" w:hAnsiTheme="minorEastAsia" w:cs="Times New Roman" w:hint="eastAsia"/>
          <w:color w:val="000000"/>
          <w:sz w:val="24"/>
        </w:rPr>
        <w:t>C</w:t>
      </w:r>
      <w:r>
        <w:rPr>
          <w:rFonts w:asciiTheme="minorEastAsia" w:hAnsiTheme="minorEastAsia" w:cs="Times New Roman" w:hint="eastAsia"/>
          <w:color w:val="000000"/>
          <w:sz w:val="24"/>
        </w:rPr>
        <w:t>类基金份额</w:t>
      </w:r>
      <w:r>
        <w:rPr>
          <w:rFonts w:asciiTheme="minorEastAsia" w:hAnsiTheme="minorEastAsia" w:cs="Times New Roman" w:hint="eastAsia"/>
          <w:color w:val="000000"/>
          <w:sz w:val="24"/>
        </w:rPr>
        <w:t>、</w:t>
      </w:r>
      <w:r>
        <w:rPr>
          <w:rFonts w:asciiTheme="minorEastAsia" w:hAnsiTheme="minorEastAsia" w:cs="Times New Roman" w:hint="eastAsia"/>
          <w:color w:val="000000"/>
          <w:sz w:val="24"/>
        </w:rPr>
        <w:t>E</w:t>
      </w:r>
      <w:r>
        <w:rPr>
          <w:rFonts w:asciiTheme="minorEastAsia" w:hAnsiTheme="minorEastAsia" w:cs="Times New Roman" w:hint="eastAsia"/>
          <w:color w:val="000000"/>
          <w:sz w:val="24"/>
        </w:rPr>
        <w:t>类基金份额</w:t>
      </w:r>
      <w:r>
        <w:rPr>
          <w:rFonts w:asciiTheme="minorEastAsia" w:hAnsiTheme="minorEastAsia" w:cs="Times New Roman" w:hint="eastAsia"/>
          <w:color w:val="000000"/>
          <w:sz w:val="24"/>
        </w:rPr>
        <w:t>不同销售渠道进行销售。各类基金份额的</w:t>
      </w:r>
      <w:r>
        <w:rPr>
          <w:rFonts w:asciiTheme="minorEastAsia" w:hAnsiTheme="minorEastAsia" w:cs="Times New Roman" w:hint="eastAsia"/>
          <w:color w:val="000000"/>
          <w:sz w:val="24"/>
        </w:rPr>
        <w:t>销售机构见基金管理人网站公示。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本次调整后，各类基金份额的金额限制与销售服务费率如下表：</w:t>
      </w:r>
    </w:p>
    <w:tbl>
      <w:tblPr>
        <w:tblStyle w:val="aa"/>
        <w:tblW w:w="5000" w:type="pct"/>
        <w:tblLook w:val="04A0"/>
      </w:tblPr>
      <w:tblGrid>
        <w:gridCol w:w="763"/>
        <w:gridCol w:w="1664"/>
        <w:gridCol w:w="1651"/>
        <w:gridCol w:w="1321"/>
        <w:gridCol w:w="1831"/>
        <w:gridCol w:w="1292"/>
      </w:tblGrid>
      <w:tr w:rsidR="00611F77">
        <w:tc>
          <w:tcPr>
            <w:tcW w:w="447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类别</w:t>
            </w:r>
          </w:p>
        </w:tc>
        <w:tc>
          <w:tcPr>
            <w:tcW w:w="976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首次申购最低金额</w:t>
            </w:r>
          </w:p>
        </w:tc>
        <w:tc>
          <w:tcPr>
            <w:tcW w:w="968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追加申购单笔最低金额</w:t>
            </w:r>
          </w:p>
        </w:tc>
        <w:tc>
          <w:tcPr>
            <w:tcW w:w="775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每笔赎回最低份额</w:t>
            </w:r>
          </w:p>
        </w:tc>
        <w:tc>
          <w:tcPr>
            <w:tcW w:w="1074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基金账户最低保留基金份额余额</w:t>
            </w:r>
          </w:p>
        </w:tc>
        <w:tc>
          <w:tcPr>
            <w:tcW w:w="758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销售</w:t>
            </w:r>
          </w:p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服务费</w:t>
            </w:r>
          </w:p>
        </w:tc>
      </w:tr>
      <w:tr w:rsidR="00611F77">
        <w:tc>
          <w:tcPr>
            <w:tcW w:w="447" w:type="pct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A</w:t>
            </w:r>
            <w:r>
              <w:rPr>
                <w:rFonts w:ascii="宋体" w:hAnsi="宋体" w:hint="eastAsia"/>
                <w:color w:val="333333"/>
                <w:szCs w:val="21"/>
              </w:rPr>
              <w:t>类</w:t>
            </w:r>
          </w:p>
        </w:tc>
        <w:tc>
          <w:tcPr>
            <w:tcW w:w="976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0</w:t>
            </w:r>
            <w:r>
              <w:rPr>
                <w:kern w:val="2"/>
                <w:sz w:val="21"/>
                <w:szCs w:val="21"/>
              </w:rPr>
              <w:t>元（直销柜台为</w:t>
            </w:r>
            <w:r>
              <w:rPr>
                <w:rFonts w:hint="eastAsia"/>
                <w:kern w:val="2"/>
                <w:sz w:val="21"/>
                <w:szCs w:val="21"/>
              </w:rPr>
              <w:t>50</w:t>
            </w:r>
            <w:r>
              <w:rPr>
                <w:kern w:val="2"/>
                <w:sz w:val="21"/>
                <w:szCs w:val="21"/>
              </w:rPr>
              <w:t>万元）</w:t>
            </w:r>
          </w:p>
        </w:tc>
        <w:tc>
          <w:tcPr>
            <w:tcW w:w="96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</w:t>
            </w:r>
            <w:r>
              <w:rPr>
                <w:rFonts w:hint="eastAsia"/>
                <w:kern w:val="2"/>
                <w:sz w:val="21"/>
                <w:szCs w:val="21"/>
              </w:rPr>
              <w:t>元（直销柜台为</w:t>
            </w:r>
            <w:r>
              <w:rPr>
                <w:rFonts w:hint="eastAsia"/>
                <w:kern w:val="2"/>
                <w:sz w:val="21"/>
                <w:szCs w:val="21"/>
              </w:rPr>
              <w:t>1000</w:t>
            </w:r>
            <w:r>
              <w:rPr>
                <w:rFonts w:hint="eastAsia"/>
                <w:kern w:val="2"/>
                <w:sz w:val="21"/>
                <w:szCs w:val="21"/>
              </w:rPr>
              <w:t>元）</w:t>
            </w:r>
          </w:p>
        </w:tc>
        <w:tc>
          <w:tcPr>
            <w:tcW w:w="775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kern w:val="2"/>
                <w:sz w:val="21"/>
                <w:szCs w:val="21"/>
              </w:rPr>
              <w:t>份</w:t>
            </w:r>
          </w:p>
        </w:tc>
        <w:tc>
          <w:tcPr>
            <w:tcW w:w="1074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份</w:t>
            </w:r>
          </w:p>
        </w:tc>
        <w:tc>
          <w:tcPr>
            <w:tcW w:w="75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</w:t>
            </w:r>
          </w:p>
        </w:tc>
      </w:tr>
      <w:tr w:rsidR="00611F77">
        <w:tc>
          <w:tcPr>
            <w:tcW w:w="447" w:type="pct"/>
            <w:vAlign w:val="center"/>
          </w:tcPr>
          <w:p w:rsidR="00611F77" w:rsidRDefault="003C7314">
            <w:pPr>
              <w:spacing w:line="276" w:lineRule="auto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lastRenderedPageBreak/>
              <w:t>C</w:t>
            </w:r>
            <w:r>
              <w:rPr>
                <w:rFonts w:ascii="宋体" w:hAnsi="宋体" w:hint="eastAsia"/>
                <w:color w:val="333333"/>
                <w:szCs w:val="21"/>
              </w:rPr>
              <w:t>类</w:t>
            </w:r>
          </w:p>
        </w:tc>
        <w:tc>
          <w:tcPr>
            <w:tcW w:w="976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</w:t>
            </w:r>
            <w:r>
              <w:rPr>
                <w:rFonts w:hint="eastAsia"/>
                <w:kern w:val="2"/>
                <w:sz w:val="21"/>
                <w:szCs w:val="21"/>
              </w:rPr>
              <w:t>元（直销柜台为</w:t>
            </w:r>
            <w:r>
              <w:rPr>
                <w:rFonts w:hint="eastAsia"/>
                <w:kern w:val="2"/>
                <w:sz w:val="21"/>
                <w:szCs w:val="21"/>
              </w:rPr>
              <w:t>50</w:t>
            </w:r>
            <w:r>
              <w:rPr>
                <w:rFonts w:hint="eastAsia"/>
                <w:kern w:val="2"/>
                <w:sz w:val="21"/>
                <w:szCs w:val="21"/>
              </w:rPr>
              <w:t>万元）</w:t>
            </w:r>
          </w:p>
        </w:tc>
        <w:tc>
          <w:tcPr>
            <w:tcW w:w="96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</w:t>
            </w:r>
            <w:r>
              <w:rPr>
                <w:rFonts w:hint="eastAsia"/>
                <w:kern w:val="2"/>
                <w:sz w:val="21"/>
                <w:szCs w:val="21"/>
              </w:rPr>
              <w:t>元（直销柜台为</w:t>
            </w:r>
            <w:r>
              <w:rPr>
                <w:rFonts w:hint="eastAsia"/>
                <w:kern w:val="2"/>
                <w:sz w:val="21"/>
                <w:szCs w:val="21"/>
              </w:rPr>
              <w:t>1000</w:t>
            </w:r>
            <w:r>
              <w:rPr>
                <w:rFonts w:hint="eastAsia"/>
                <w:kern w:val="2"/>
                <w:sz w:val="21"/>
                <w:szCs w:val="21"/>
              </w:rPr>
              <w:t>元）</w:t>
            </w:r>
          </w:p>
        </w:tc>
        <w:tc>
          <w:tcPr>
            <w:tcW w:w="775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份</w:t>
            </w:r>
          </w:p>
        </w:tc>
        <w:tc>
          <w:tcPr>
            <w:tcW w:w="1074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份</w:t>
            </w:r>
          </w:p>
        </w:tc>
        <w:tc>
          <w:tcPr>
            <w:tcW w:w="75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</w:t>
            </w:r>
            <w:r>
              <w:rPr>
                <w:rFonts w:hint="eastAsia"/>
                <w:kern w:val="2"/>
                <w:sz w:val="21"/>
                <w:szCs w:val="21"/>
              </w:rPr>
              <w:t>3</w:t>
            </w:r>
            <w:r>
              <w:rPr>
                <w:kern w:val="2"/>
                <w:sz w:val="21"/>
                <w:szCs w:val="21"/>
              </w:rPr>
              <w:t>0%/</w:t>
            </w:r>
            <w:r>
              <w:rPr>
                <w:kern w:val="2"/>
                <w:sz w:val="21"/>
                <w:szCs w:val="21"/>
              </w:rPr>
              <w:t>年</w:t>
            </w:r>
          </w:p>
        </w:tc>
      </w:tr>
      <w:tr w:rsidR="00611F77">
        <w:tc>
          <w:tcPr>
            <w:tcW w:w="447" w:type="pct"/>
            <w:vAlign w:val="center"/>
          </w:tcPr>
          <w:p w:rsidR="00611F77" w:rsidRDefault="003C7314">
            <w:pPr>
              <w:spacing w:line="276" w:lineRule="auto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E</w:t>
            </w:r>
            <w:r>
              <w:rPr>
                <w:rFonts w:ascii="宋体" w:hAnsi="宋体" w:hint="eastAsia"/>
                <w:color w:val="333333"/>
                <w:szCs w:val="21"/>
              </w:rPr>
              <w:t>类</w:t>
            </w:r>
          </w:p>
        </w:tc>
        <w:tc>
          <w:tcPr>
            <w:tcW w:w="976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</w:t>
            </w:r>
            <w:r>
              <w:rPr>
                <w:rFonts w:hint="eastAsia"/>
                <w:kern w:val="2"/>
                <w:sz w:val="21"/>
                <w:szCs w:val="21"/>
              </w:rPr>
              <w:t>元（直销柜台为</w:t>
            </w:r>
            <w:r>
              <w:rPr>
                <w:rFonts w:hint="eastAsia"/>
                <w:kern w:val="2"/>
                <w:sz w:val="21"/>
                <w:szCs w:val="21"/>
              </w:rPr>
              <w:t>50</w:t>
            </w:r>
            <w:r>
              <w:rPr>
                <w:rFonts w:hint="eastAsia"/>
                <w:kern w:val="2"/>
                <w:sz w:val="21"/>
                <w:szCs w:val="21"/>
              </w:rPr>
              <w:t>万元）</w:t>
            </w:r>
          </w:p>
        </w:tc>
        <w:tc>
          <w:tcPr>
            <w:tcW w:w="96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</w:t>
            </w:r>
            <w:r>
              <w:rPr>
                <w:rFonts w:hint="eastAsia"/>
                <w:kern w:val="2"/>
                <w:sz w:val="21"/>
                <w:szCs w:val="21"/>
              </w:rPr>
              <w:t>元（直销柜台为</w:t>
            </w:r>
            <w:r>
              <w:rPr>
                <w:rFonts w:hint="eastAsia"/>
                <w:kern w:val="2"/>
                <w:sz w:val="21"/>
                <w:szCs w:val="21"/>
              </w:rPr>
              <w:t>1000</w:t>
            </w:r>
            <w:r>
              <w:rPr>
                <w:rFonts w:hint="eastAsia"/>
                <w:kern w:val="2"/>
                <w:sz w:val="21"/>
                <w:szCs w:val="21"/>
              </w:rPr>
              <w:t>元）</w:t>
            </w:r>
          </w:p>
        </w:tc>
        <w:tc>
          <w:tcPr>
            <w:tcW w:w="775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份</w:t>
            </w:r>
          </w:p>
        </w:tc>
        <w:tc>
          <w:tcPr>
            <w:tcW w:w="1074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份</w:t>
            </w:r>
          </w:p>
        </w:tc>
        <w:tc>
          <w:tcPr>
            <w:tcW w:w="75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0.10%/</w:t>
            </w:r>
            <w:r>
              <w:rPr>
                <w:rFonts w:hint="eastAsia"/>
                <w:kern w:val="2"/>
                <w:sz w:val="21"/>
                <w:szCs w:val="21"/>
              </w:rPr>
              <w:t>年</w:t>
            </w:r>
          </w:p>
        </w:tc>
      </w:tr>
      <w:tr w:rsidR="00611F77">
        <w:tc>
          <w:tcPr>
            <w:tcW w:w="447" w:type="pct"/>
            <w:vAlign w:val="center"/>
          </w:tcPr>
          <w:p w:rsidR="00611F77" w:rsidRDefault="003C7314">
            <w:pPr>
              <w:spacing w:line="276" w:lineRule="auto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I</w:t>
            </w:r>
            <w:r>
              <w:rPr>
                <w:rFonts w:ascii="宋体" w:hAnsi="宋体" w:hint="eastAsia"/>
                <w:color w:val="333333"/>
              </w:rPr>
              <w:t>类</w:t>
            </w:r>
          </w:p>
        </w:tc>
        <w:tc>
          <w:tcPr>
            <w:tcW w:w="976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10</w:t>
            </w:r>
            <w:r>
              <w:rPr>
                <w:rFonts w:hint="eastAsia"/>
                <w:kern w:val="2"/>
                <w:sz w:val="21"/>
              </w:rPr>
              <w:t>元（直销柜台为</w:t>
            </w:r>
            <w:r>
              <w:rPr>
                <w:rFonts w:hint="eastAsia"/>
                <w:kern w:val="2"/>
                <w:sz w:val="21"/>
              </w:rPr>
              <w:t>50</w:t>
            </w:r>
            <w:r>
              <w:rPr>
                <w:rFonts w:hint="eastAsia"/>
                <w:kern w:val="2"/>
                <w:sz w:val="21"/>
              </w:rPr>
              <w:t>万元）</w:t>
            </w:r>
          </w:p>
        </w:tc>
        <w:tc>
          <w:tcPr>
            <w:tcW w:w="96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10</w:t>
            </w:r>
            <w:r>
              <w:rPr>
                <w:rFonts w:hint="eastAsia"/>
                <w:kern w:val="2"/>
                <w:sz w:val="21"/>
              </w:rPr>
              <w:t>元（直销柜台为</w:t>
            </w:r>
            <w:r>
              <w:rPr>
                <w:rFonts w:hint="eastAsia"/>
                <w:kern w:val="2"/>
                <w:sz w:val="21"/>
              </w:rPr>
              <w:t>1000</w:t>
            </w:r>
            <w:r>
              <w:rPr>
                <w:rFonts w:hint="eastAsia"/>
                <w:kern w:val="2"/>
                <w:sz w:val="21"/>
              </w:rPr>
              <w:t>元）</w:t>
            </w:r>
          </w:p>
        </w:tc>
        <w:tc>
          <w:tcPr>
            <w:tcW w:w="775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份</w:t>
            </w:r>
          </w:p>
        </w:tc>
        <w:tc>
          <w:tcPr>
            <w:tcW w:w="1074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份</w:t>
            </w:r>
          </w:p>
        </w:tc>
        <w:tc>
          <w:tcPr>
            <w:tcW w:w="758" w:type="pc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0.30</w:t>
            </w:r>
            <w:r>
              <w:rPr>
                <w:rFonts w:hint="eastAsia"/>
                <w:kern w:val="2"/>
                <w:sz w:val="21"/>
              </w:rPr>
              <w:t>%</w:t>
            </w:r>
            <w:r>
              <w:rPr>
                <w:rFonts w:hint="eastAsia"/>
                <w:kern w:val="2"/>
                <w:sz w:val="21"/>
              </w:rPr>
              <w:t>/</w:t>
            </w:r>
            <w:r>
              <w:rPr>
                <w:rFonts w:hint="eastAsia"/>
                <w:kern w:val="2"/>
                <w:sz w:val="21"/>
              </w:rPr>
              <w:t>年</w:t>
            </w:r>
          </w:p>
        </w:tc>
      </w:tr>
    </w:tbl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各类基金份额的赎回费率如下表：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15"/>
        <w:gridCol w:w="2750"/>
      </w:tblGrid>
      <w:tr w:rsidR="00611F77">
        <w:trPr>
          <w:jc w:val="center"/>
        </w:trPr>
        <w:tc>
          <w:tcPr>
            <w:tcW w:w="2127" w:type="dxa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持有期限（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Y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）</w:t>
            </w:r>
          </w:p>
        </w:tc>
        <w:tc>
          <w:tcPr>
            <w:tcW w:w="3615" w:type="dxa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A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类、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C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类、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E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类基金份额赎回费率</w:t>
            </w:r>
          </w:p>
        </w:tc>
        <w:tc>
          <w:tcPr>
            <w:tcW w:w="2750" w:type="dxa"/>
            <w:vAlign w:val="center"/>
          </w:tcPr>
          <w:p w:rsidR="00611F77" w:rsidRDefault="003C731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I</w:t>
            </w:r>
            <w:r>
              <w:rPr>
                <w:rFonts w:ascii="宋体" w:hAnsi="宋体" w:hint="eastAsia"/>
                <w:b/>
                <w:bCs/>
                <w:color w:val="333333"/>
                <w:szCs w:val="21"/>
              </w:rPr>
              <w:t>类基金份额赎回费率</w:t>
            </w:r>
          </w:p>
        </w:tc>
      </w:tr>
      <w:tr w:rsidR="00611F77">
        <w:trPr>
          <w:trHeight w:val="427"/>
          <w:jc w:val="center"/>
        </w:trPr>
        <w:tc>
          <w:tcPr>
            <w:tcW w:w="2127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Y&lt;7</w:t>
            </w:r>
            <w:r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3615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1.5%</w:t>
            </w:r>
          </w:p>
        </w:tc>
        <w:tc>
          <w:tcPr>
            <w:tcW w:w="2750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1.5%</w:t>
            </w:r>
          </w:p>
        </w:tc>
      </w:tr>
      <w:tr w:rsidR="00611F77">
        <w:trPr>
          <w:jc w:val="center"/>
        </w:trPr>
        <w:tc>
          <w:tcPr>
            <w:tcW w:w="2127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7</w:t>
            </w:r>
            <w:r>
              <w:rPr>
                <w:rFonts w:hint="eastAsia"/>
                <w:kern w:val="2"/>
                <w:sz w:val="21"/>
                <w:szCs w:val="21"/>
              </w:rPr>
              <w:t>日≤</w:t>
            </w:r>
            <w:r>
              <w:rPr>
                <w:kern w:val="2"/>
                <w:sz w:val="21"/>
                <w:szCs w:val="21"/>
              </w:rPr>
              <w:t>Y&lt;30</w:t>
            </w:r>
            <w:r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3615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0.10%</w:t>
            </w:r>
          </w:p>
        </w:tc>
        <w:tc>
          <w:tcPr>
            <w:tcW w:w="2750" w:type="dxa"/>
            <w:vMerge w:val="restart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</w:t>
            </w:r>
          </w:p>
        </w:tc>
      </w:tr>
      <w:tr w:rsidR="00611F77">
        <w:trPr>
          <w:jc w:val="center"/>
        </w:trPr>
        <w:tc>
          <w:tcPr>
            <w:tcW w:w="2127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Y</w:t>
            </w:r>
            <w:r>
              <w:rPr>
                <w:rFonts w:hint="eastAsia"/>
                <w:kern w:val="2"/>
                <w:sz w:val="21"/>
                <w:szCs w:val="21"/>
              </w:rPr>
              <w:t>≥</w:t>
            </w:r>
            <w:r>
              <w:rPr>
                <w:kern w:val="2"/>
                <w:sz w:val="21"/>
                <w:szCs w:val="21"/>
              </w:rPr>
              <w:t>30</w:t>
            </w:r>
            <w:r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3615" w:type="dxa"/>
            <w:vAlign w:val="center"/>
          </w:tcPr>
          <w:p w:rsidR="00611F77" w:rsidRDefault="003C7314">
            <w:pPr>
              <w:pStyle w:val="a8"/>
              <w:spacing w:before="0" w:beforeAutospacing="0" w:after="0" w:afterAutospacing="0"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11F77" w:rsidRDefault="00611F7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本基金的赎回费用由赎回基金份额的基金份额持有人承担，在基金份额持有人赎回基金份额时收取，赎回费用全额归入基金财产。</w:t>
      </w:r>
    </w:p>
    <w:p w:rsidR="00611F77" w:rsidRDefault="00611F77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</w:rPr>
      </w:pP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</w:rPr>
      </w:pPr>
      <w:r>
        <w:rPr>
          <w:rFonts w:asciiTheme="minorEastAsia" w:hAnsiTheme="minorEastAsia" w:cs="Times New Roman"/>
          <w:b/>
          <w:color w:val="000000"/>
          <w:kern w:val="0"/>
          <w:sz w:val="24"/>
        </w:rPr>
        <w:t>二、本基金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</w:rPr>
        <w:t>I</w:t>
      </w:r>
      <w:r>
        <w:rPr>
          <w:rFonts w:asciiTheme="minorEastAsia" w:hAnsiTheme="minorEastAsia" w:cs="Times New Roman"/>
          <w:b/>
          <w:color w:val="000000"/>
          <w:kern w:val="0"/>
          <w:sz w:val="24"/>
        </w:rPr>
        <w:t>类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</w:rPr>
        <w:t>基金</w:t>
      </w:r>
      <w:r>
        <w:rPr>
          <w:rFonts w:asciiTheme="minorEastAsia" w:hAnsiTheme="minorEastAsia" w:cs="Times New Roman"/>
          <w:b/>
          <w:color w:val="000000"/>
          <w:kern w:val="0"/>
          <w:sz w:val="24"/>
        </w:rPr>
        <w:t>份额适用的销售机构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0"/>
          <w:sz w:val="24"/>
        </w:rPr>
        <w:t>（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）京东肯特瑞基金销售有限公司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注册地址：北京市海淀区西三旗建材城中路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12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号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17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号平房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157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办公地址：北京市海淀区西三旗建材城中路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12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号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17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号平房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157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法定代表人：王苏宁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联系人：李丹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电话：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13601264918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客服电话：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400-098-8511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>网址</w:t>
      </w:r>
      <w:r>
        <w:rPr>
          <w:rFonts w:asciiTheme="minorEastAsia" w:hAnsiTheme="minorEastAsia" w:cs="Times New Roman" w:hint="eastAsia"/>
          <w:kern w:val="0"/>
          <w:sz w:val="24"/>
        </w:rPr>
        <w:t>：</w:t>
      </w:r>
      <w:hyperlink r:id="rId8" w:history="1">
        <w:r>
          <w:rPr>
            <w:rStyle w:val="ab"/>
            <w:rFonts w:asciiTheme="minorEastAsia" w:hAnsiTheme="minorEastAsia" w:cs="Times New Roman" w:hint="eastAsia"/>
            <w:color w:val="auto"/>
            <w:kern w:val="0"/>
            <w:sz w:val="24"/>
            <w:u w:val="none"/>
          </w:rPr>
          <w:t>http://kenterui.jd.com</w:t>
        </w:r>
      </w:hyperlink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如有其他销售机构新增办理本基金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I</w:t>
      </w:r>
      <w:r>
        <w:rPr>
          <w:rFonts w:asciiTheme="minorEastAsia" w:hAnsiTheme="minorEastAsia" w:cs="Times New Roman"/>
          <w:color w:val="000000"/>
          <w:kern w:val="0"/>
          <w:sz w:val="24"/>
        </w:rPr>
        <w:t>类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基金</w:t>
      </w:r>
      <w:r>
        <w:rPr>
          <w:rFonts w:asciiTheme="minorEastAsia" w:hAnsiTheme="minorEastAsia" w:cs="Times New Roman"/>
          <w:color w:val="000000"/>
          <w:kern w:val="0"/>
          <w:sz w:val="24"/>
        </w:rPr>
        <w:t>份额的申购、赎回等业务，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请以本公司官网公示为准。</w:t>
      </w:r>
    </w:p>
    <w:p w:rsidR="00611F77" w:rsidRDefault="00611F77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</w:rPr>
      </w:pPr>
      <w:r>
        <w:rPr>
          <w:rFonts w:asciiTheme="minorEastAsia" w:hAnsiTheme="minorEastAsia" w:cs="Times New Roman"/>
          <w:b/>
          <w:color w:val="000000"/>
          <w:kern w:val="0"/>
          <w:sz w:val="24"/>
        </w:rPr>
        <w:t>三、基金合同的修订内容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为确保增加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I</w:t>
      </w:r>
      <w:r>
        <w:rPr>
          <w:rFonts w:asciiTheme="minorEastAsia" w:hAnsiTheme="minorEastAsia" w:cs="Times New Roman"/>
          <w:color w:val="000000"/>
          <w:kern w:val="0"/>
          <w:sz w:val="24"/>
        </w:rPr>
        <w:t>类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基金</w:t>
      </w:r>
      <w:r>
        <w:rPr>
          <w:rFonts w:asciiTheme="minorEastAsia" w:hAnsiTheme="minorEastAsia" w:cs="Times New Roman"/>
          <w:color w:val="000000"/>
          <w:kern w:val="0"/>
          <w:sz w:val="24"/>
        </w:rPr>
        <w:t>份额符合法律、法规的规定，本公司对本基金基金合同和托管协议的相关内容进行了修订。本次修订对基金份额持有人的利益无实质性不利影响，不需召开基金份额持有人大会。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本</w:t>
      </w:r>
      <w:r>
        <w:rPr>
          <w:rFonts w:asciiTheme="minorEastAsia" w:hAnsiTheme="minorEastAsia" w:cs="Times New Roman"/>
          <w:color w:val="000000"/>
          <w:kern w:val="0"/>
          <w:sz w:val="24"/>
        </w:rPr>
        <w:t>公司已就修订内容与基金托管人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宁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lastRenderedPageBreak/>
        <w:t>波银行</w:t>
      </w:r>
      <w:r>
        <w:rPr>
          <w:rFonts w:asciiTheme="minorEastAsia" w:hAnsiTheme="minorEastAsia" w:cs="Times New Roman"/>
          <w:color w:val="000000"/>
          <w:kern w:val="0"/>
          <w:sz w:val="24"/>
        </w:rPr>
        <w:t>协商一致，并已报中国证监会备案。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基金合同和托管协议的具体</w:t>
      </w:r>
      <w:r>
        <w:rPr>
          <w:rFonts w:asciiTheme="minorEastAsia" w:hAnsiTheme="minorEastAsia" w:cs="Times New Roman"/>
          <w:color w:val="000000"/>
          <w:kern w:val="0"/>
          <w:sz w:val="24"/>
        </w:rPr>
        <w:t>修订内容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详见附件。</w:t>
      </w:r>
    </w:p>
    <w:p w:rsidR="00611F77" w:rsidRDefault="00611F77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</w:rPr>
      </w:pPr>
      <w:r>
        <w:rPr>
          <w:rFonts w:asciiTheme="minorEastAsia" w:hAnsiTheme="minorEastAsia" w:cs="Times New Roman"/>
          <w:b/>
          <w:color w:val="000000"/>
          <w:kern w:val="0"/>
          <w:sz w:val="24"/>
        </w:rPr>
        <w:t>四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</w:rPr>
        <w:t>、</w:t>
      </w:r>
      <w:r>
        <w:rPr>
          <w:rFonts w:asciiTheme="minorEastAsia" w:hAnsiTheme="minorEastAsia" w:cs="Times New Roman"/>
          <w:b/>
          <w:color w:val="000000"/>
          <w:kern w:val="0"/>
          <w:sz w:val="24"/>
        </w:rPr>
        <w:t>重要提示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1</w:t>
      </w:r>
      <w:r>
        <w:rPr>
          <w:rFonts w:asciiTheme="minorEastAsia" w:hAnsiTheme="minorEastAsia" w:cs="Times New Roman"/>
          <w:color w:val="000000"/>
          <w:kern w:val="0"/>
          <w:sz w:val="24"/>
        </w:rPr>
        <w:t>、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本次修改</w:t>
      </w:r>
      <w:r>
        <w:rPr>
          <w:rFonts w:asciiTheme="minorEastAsia" w:hAnsiTheme="minorEastAsia" w:cs="Times New Roman"/>
          <w:color w:val="000000"/>
          <w:kern w:val="0"/>
          <w:sz w:val="24"/>
        </w:rPr>
        <w:t>遵照法律法规、中国证监会的相关规定和基金合同的约定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执行</w:t>
      </w:r>
      <w:r>
        <w:rPr>
          <w:rFonts w:asciiTheme="minorEastAsia" w:hAnsiTheme="minorEastAsia" w:cs="Times New Roman"/>
          <w:color w:val="000000"/>
          <w:kern w:val="0"/>
          <w:sz w:val="24"/>
        </w:rPr>
        <w:t>，对基金份额持有人利益无实质性不利影响，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不需召开</w:t>
      </w:r>
      <w:r>
        <w:rPr>
          <w:rFonts w:asciiTheme="minorEastAsia" w:hAnsiTheme="minorEastAsia" w:cs="Times New Roman"/>
          <w:color w:val="000000"/>
          <w:kern w:val="0"/>
          <w:sz w:val="24"/>
        </w:rPr>
        <w:t>基金份额持有人大会表决。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2</w:t>
      </w:r>
      <w:r>
        <w:rPr>
          <w:rFonts w:asciiTheme="minorEastAsia" w:hAnsiTheme="minorEastAsia" w:cs="Times New Roman"/>
          <w:color w:val="000000"/>
          <w:kern w:val="0"/>
          <w:sz w:val="24"/>
        </w:rPr>
        <w:t>、本基金管理人将在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规定媒介</w:t>
      </w:r>
      <w:r>
        <w:rPr>
          <w:rFonts w:asciiTheme="minorEastAsia" w:hAnsiTheme="minorEastAsia" w:cs="Times New Roman"/>
          <w:color w:val="000000"/>
          <w:kern w:val="0"/>
          <w:sz w:val="24"/>
        </w:rPr>
        <w:t>上公布经修改后的基金合同和托管协议。本基金管理人将在更新基金招募说明书时，对上述相关内容进行相应修订。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3</w:t>
      </w:r>
      <w:r>
        <w:rPr>
          <w:rFonts w:asciiTheme="minorEastAsia" w:hAnsiTheme="minorEastAsia" w:cs="Times New Roman"/>
          <w:color w:val="000000"/>
          <w:kern w:val="0"/>
          <w:sz w:val="24"/>
        </w:rPr>
        <w:t>、投资者可登录本基金管理人网站（</w:t>
      </w:r>
      <w:r>
        <w:rPr>
          <w:rFonts w:asciiTheme="minorEastAsia" w:hAnsiTheme="minorEastAsia" w:cs="Times New Roman"/>
          <w:color w:val="000000"/>
          <w:kern w:val="0"/>
          <w:sz w:val="24"/>
        </w:rPr>
        <w:t>www.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ctzg</w:t>
      </w:r>
      <w:r>
        <w:rPr>
          <w:rFonts w:asciiTheme="minorEastAsia" w:hAnsiTheme="minorEastAsia" w:cs="Times New Roman"/>
          <w:color w:val="000000"/>
          <w:kern w:val="0"/>
          <w:sz w:val="24"/>
        </w:rPr>
        <w:t>.com</w:t>
      </w:r>
      <w:r>
        <w:rPr>
          <w:rFonts w:asciiTheme="minorEastAsia" w:hAnsiTheme="minorEastAsia" w:cs="Times New Roman"/>
          <w:color w:val="000000"/>
          <w:kern w:val="0"/>
          <w:sz w:val="24"/>
        </w:rPr>
        <w:t>）或拨打本基金管理人的客户服务电话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95336</w:t>
      </w:r>
      <w:r>
        <w:rPr>
          <w:rFonts w:asciiTheme="minorEastAsia" w:hAnsiTheme="minorEastAsia" w:cs="Times New Roman"/>
          <w:color w:val="000000"/>
          <w:kern w:val="0"/>
          <w:sz w:val="24"/>
        </w:rPr>
        <w:t>进行咨询、查询。</w:t>
      </w:r>
    </w:p>
    <w:p w:rsidR="00611F77" w:rsidRDefault="00611F77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风险提示：本基金管理人承诺以诚实信用、勤勉尽责的原则管理和运用基金财产，但不保证基金一定盈利，也不保证最低收益。基金的过往业绩并不代表其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>未来</w:t>
      </w:r>
      <w:r>
        <w:rPr>
          <w:rFonts w:asciiTheme="minorEastAsia" w:hAnsiTheme="minorEastAsia" w:cs="Times New Roman"/>
          <w:color w:val="000000"/>
          <w:kern w:val="0"/>
          <w:sz w:val="24"/>
        </w:rPr>
        <w:t>表现。投资有风险，敬请投资人认真阅读基金的相关法律文件，并选择适合自身风险承受能力的投资品种进行投资。</w:t>
      </w:r>
    </w:p>
    <w:p w:rsidR="00611F77" w:rsidRDefault="003C7314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</w:rPr>
        <w:t>特此公告。</w:t>
      </w:r>
    </w:p>
    <w:p w:rsidR="00611F77" w:rsidRDefault="00611F77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</w:p>
    <w:p w:rsidR="00611F77" w:rsidRDefault="00611F77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</w:rPr>
      </w:pPr>
    </w:p>
    <w:p w:rsidR="00611F77" w:rsidRDefault="003C7314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/>
          <w:color w:val="000000"/>
        </w:rPr>
        <w:t>  </w:t>
      </w:r>
      <w:r>
        <w:rPr>
          <w:rFonts w:asciiTheme="minorEastAsia" w:eastAsiaTheme="minorEastAsia" w:hAnsiTheme="minorEastAsia" w:cs="Times New Roman"/>
          <w:color w:val="000000"/>
        </w:rPr>
        <w:t>财通证券资产管理有限公</w:t>
      </w:r>
      <w:r>
        <w:rPr>
          <w:rFonts w:asciiTheme="minorEastAsia" w:eastAsiaTheme="minorEastAsia" w:hAnsiTheme="minorEastAsia" w:cs="Times New Roman"/>
          <w:color w:val="000000"/>
        </w:rPr>
        <w:t>司</w:t>
      </w:r>
    </w:p>
    <w:p w:rsidR="00611F77" w:rsidRDefault="003C7314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/>
          <w:color w:val="000000"/>
        </w:rPr>
        <w:t>  </w:t>
      </w:r>
      <w:r>
        <w:rPr>
          <w:rFonts w:asciiTheme="minorEastAsia" w:eastAsiaTheme="minorEastAsia" w:hAnsiTheme="minorEastAsia" w:cs="Times New Roman"/>
          <w:color w:val="000000"/>
        </w:rPr>
        <w:t>二〇</w:t>
      </w:r>
      <w:r>
        <w:rPr>
          <w:rFonts w:asciiTheme="minorEastAsia" w:eastAsiaTheme="minorEastAsia" w:hAnsiTheme="minorEastAsia" w:cs="Times New Roman" w:hint="eastAsia"/>
          <w:color w:val="000000"/>
        </w:rPr>
        <w:t>二</w:t>
      </w:r>
      <w:r>
        <w:rPr>
          <w:rFonts w:asciiTheme="minorEastAsia" w:eastAsiaTheme="minorEastAsia" w:hAnsiTheme="minorEastAsia" w:cs="Times New Roman"/>
          <w:color w:val="000000"/>
        </w:rPr>
        <w:t>〇年</w:t>
      </w:r>
      <w:r>
        <w:rPr>
          <w:rFonts w:asciiTheme="minorEastAsia" w:eastAsiaTheme="minorEastAsia" w:hAnsiTheme="minorEastAsia" w:cs="Times New Roman" w:hint="eastAsia"/>
          <w:color w:val="000000"/>
        </w:rPr>
        <w:t>十二</w:t>
      </w:r>
      <w:r>
        <w:rPr>
          <w:rFonts w:asciiTheme="minorEastAsia" w:eastAsiaTheme="minorEastAsia" w:hAnsiTheme="minorEastAsia" w:cs="Times New Roman"/>
          <w:color w:val="000000"/>
        </w:rPr>
        <w:t>月</w:t>
      </w:r>
      <w:r>
        <w:rPr>
          <w:rFonts w:asciiTheme="minorEastAsia" w:eastAsiaTheme="minorEastAsia" w:hAnsiTheme="minorEastAsia" w:cs="Times New Roman" w:hint="eastAsia"/>
          <w:color w:val="000000"/>
        </w:rPr>
        <w:t>三十</w:t>
      </w:r>
      <w:r>
        <w:rPr>
          <w:rFonts w:asciiTheme="minorEastAsia" w:eastAsiaTheme="minorEastAsia" w:hAnsiTheme="minorEastAsia" w:cs="Times New Roman"/>
          <w:color w:val="000000"/>
        </w:rPr>
        <w:t>日</w:t>
      </w:r>
    </w:p>
    <w:p w:rsidR="00611F77" w:rsidRDefault="003C7314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/>
          <w:color w:val="000000"/>
        </w:rPr>
        <w:br w:type="page"/>
      </w:r>
    </w:p>
    <w:p w:rsidR="00611F77" w:rsidRDefault="003C7314">
      <w:pPr>
        <w:spacing w:line="560" w:lineRule="exact"/>
        <w:rPr>
          <w:rFonts w:asciiTheme="minorEastAsia" w:hAnsiTheme="minorEastAsia" w:cs="方正仿宋_GBK"/>
          <w:b/>
          <w:szCs w:val="21"/>
        </w:rPr>
      </w:pPr>
      <w:r>
        <w:rPr>
          <w:rFonts w:asciiTheme="minorEastAsia" w:hAnsiTheme="minorEastAsia" w:cs="方正仿宋_GBK" w:hint="eastAsia"/>
          <w:b/>
          <w:szCs w:val="21"/>
        </w:rPr>
        <w:lastRenderedPageBreak/>
        <w:t>附件：《基金合同》与《托管协议》修改对照表</w:t>
      </w:r>
    </w:p>
    <w:p w:rsidR="00611F77" w:rsidRDefault="003C7314">
      <w:pPr>
        <w:spacing w:line="560" w:lineRule="exact"/>
        <w:rPr>
          <w:rFonts w:ascii="宋体" w:eastAsia="宋体" w:hAnsi="宋体" w:cs="方正仿宋_GBK"/>
          <w:b/>
          <w:szCs w:val="21"/>
        </w:rPr>
      </w:pPr>
      <w:r>
        <w:rPr>
          <w:rFonts w:ascii="宋体" w:eastAsia="宋体" w:hAnsi="宋体" w:cs="方正仿宋_GBK" w:hint="eastAsia"/>
          <w:b/>
          <w:szCs w:val="21"/>
        </w:rPr>
        <w:t>一、《财通资管鸿达纯债债券型证券投资基金基金合同》修改前后条款对照表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656"/>
        <w:gridCol w:w="3749"/>
      </w:tblGrid>
      <w:tr w:rsidR="00611F77">
        <w:tc>
          <w:tcPr>
            <w:tcW w:w="688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章节</w:t>
            </w:r>
          </w:p>
        </w:tc>
        <w:tc>
          <w:tcPr>
            <w:tcW w:w="2129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《基金合同》修改前条款</w:t>
            </w:r>
          </w:p>
        </w:tc>
        <w:tc>
          <w:tcPr>
            <w:tcW w:w="2183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《基金合同》修改后条款</w:t>
            </w:r>
          </w:p>
        </w:tc>
      </w:tr>
      <w:tr w:rsidR="00611F77">
        <w:trPr>
          <w:trHeight w:val="699"/>
        </w:trPr>
        <w:tc>
          <w:tcPr>
            <w:tcW w:w="688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第二部分</w:t>
            </w:r>
            <w:r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释义</w:t>
            </w:r>
          </w:p>
          <w:p w:rsidR="00611F77" w:rsidRDefault="00611F77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9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基金份额分类：本基金根据申购费、销售服务费等收取方式的不同，将基金份额分为不同的类别。在投资者申购时收取申购费用，在赎回时根据持有期限收取赎回费用，但不从本类别基金资产中计提销售服务费的基金份额，称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A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类基金份额；在投资者申购时收取申购费用，在赎回时根据持有期限收取赎回费用，且从本类别基金资产中计提销售服务费且销售服务费率为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0.30%/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类基金份额；在投资者申购时不收取申购费用，但在赎回时根据持有期限收取赎回费用，且从本类别基金资产中计提销售服务费且销售服务费率为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0.10%/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类基金份额。各类基金份额分设不同的基金代码，并分别公布基金份额净值</w:t>
            </w:r>
          </w:p>
        </w:tc>
        <w:tc>
          <w:tcPr>
            <w:tcW w:w="2183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、基金份额分类：本基金根据申购费、销售服务费等收取方式的不同，将基金份额分为不同的类别。在投资者申购时收取申购费用，在赎回时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根据持有期限收取赎回费用，但不从本类别基金资产中计提销售服务费的基金份额，称为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A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类基金份额；在投资者申购时收取申购费用，在赎回时根据持有期限收取赎回费用，且从本类别基金资产中计提销售服务费且销售服务费率为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0.30%/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类基金份额；在投资者申购时不收取申购费用，但在赎回时根据持有期限收取赎回费用，且从本类别基金资产中计提销售服务费且销售服务费率为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0.10%/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类基金份额。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在投资者申购时不收取申购费用，对持续持有期少于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日的持有人按照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1.50%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收取赎回费；对持续持有期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日（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含）以上的持有人不收取赎回费，且从本类别基金资产中计提销售服务费且销售服务费率为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0</w:t>
            </w:r>
            <w:r>
              <w:rPr>
                <w:rFonts w:ascii="宋体" w:eastAsia="宋体" w:hAnsi="宋体" w:cs="Times New Roman"/>
                <w:b/>
                <w:szCs w:val="21"/>
              </w:rPr>
              <w:t>.30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%/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类基金份额。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各类基金份额分设不同的基金代码，并分别公布基金份额净值</w:t>
            </w:r>
          </w:p>
        </w:tc>
      </w:tr>
      <w:tr w:rsidR="00611F77">
        <w:trPr>
          <w:trHeight w:val="454"/>
        </w:trPr>
        <w:tc>
          <w:tcPr>
            <w:tcW w:w="688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第三部分</w:t>
            </w:r>
            <w:r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基金的基本情况</w:t>
            </w:r>
          </w:p>
          <w:p w:rsidR="00611F77" w:rsidRDefault="00611F7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六、基金份额的类别</w:t>
            </w:r>
          </w:p>
        </w:tc>
        <w:tc>
          <w:tcPr>
            <w:tcW w:w="2129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在投资者申购时收取申购费用，在赎回时根据持有期限收取赎回费用，但不从本类别基金资产中计提销售服务费的基金份额，称为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A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类基金份额；在投资者申购时收取申购费用，在赎回时根据持有期限收取赎回费用，且从本类别基金资产中计提销售服务费且销售服务费率为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0.30%/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类基金份额；在投资者申购时不收取申购费用，但在赎回时根据持有期限收取赎回费用，且从本类别基金资产中计提销售服务费且销售服务费率为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0.10%/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类基金份额。</w:t>
            </w:r>
          </w:p>
        </w:tc>
        <w:tc>
          <w:tcPr>
            <w:tcW w:w="2183" w:type="pct"/>
          </w:tcPr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在投资者申购时收取申购费用，在赎回时根据持有期限收取赎回费用，但不从本类别基金资产中计提销售服务费的基金份额，称为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A 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类基金份额；在投资者申购时收取申购费用，在赎回时根据持有期限收取赎回费用，且从本类别基金资产中计提销售服务费且销售服务费率为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szCs w:val="21"/>
              </w:rPr>
              <w:t>0.30%/</w:t>
            </w:r>
            <w:r>
              <w:rPr>
                <w:rFonts w:ascii="宋体" w:eastAsia="宋体" w:hAnsi="宋体" w:cs="Times New Roman" w:hint="eastAsia"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类基金份额；在投资者申购时不收取申购费用，但在赎回时根据持有期限收取赎回费用，且从本类别基金资产中计提销售服务费且销售服务费率为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szCs w:val="21"/>
              </w:rPr>
              <w:t>0.10%/</w:t>
            </w:r>
            <w:r>
              <w:rPr>
                <w:rFonts w:ascii="宋体" w:eastAsia="宋体" w:hAnsi="宋体" w:cs="Times New Roman" w:hint="eastAsia"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类基金份额。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在投资者申购时不收取申购费用，对持续持有期少于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日的持有人按照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1.50%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收取赎回费；对持续持有期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日（含）以上的持有人不收取赎回费，且从本类别基金资产中计提销售服务费且销售服务费率为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0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.30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%/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年的基金份额，称为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类基金份额。</w:t>
            </w:r>
          </w:p>
        </w:tc>
      </w:tr>
      <w:tr w:rsidR="00611F77">
        <w:tc>
          <w:tcPr>
            <w:tcW w:w="688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第十五部分</w:t>
            </w:r>
            <w:r>
              <w:rPr>
                <w:rFonts w:ascii="宋体" w:eastAsia="宋体" w:hAnsi="宋体" w:cs="Times New Roman"/>
                <w:b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基金费用与税收</w:t>
            </w:r>
          </w:p>
          <w:p w:rsidR="00611F77" w:rsidRDefault="00611F77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二、基金费用计提方法、计提标准和支付方式</w:t>
            </w:r>
          </w:p>
        </w:tc>
        <w:tc>
          <w:tcPr>
            <w:tcW w:w="2129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Cs w:val="21"/>
              </w:rPr>
              <w:t>、销售服务费</w:t>
            </w:r>
          </w:p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本基金</w:t>
            </w: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类基金份额不收取销售服务费；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szCs w:val="21"/>
              </w:rPr>
              <w:t>0.30%</w:t>
            </w:r>
            <w:r>
              <w:rPr>
                <w:rFonts w:ascii="宋体" w:eastAsia="宋体" w:hAnsi="宋体" w:cs="Times New Roman" w:hint="eastAsia"/>
                <w:szCs w:val="21"/>
              </w:rPr>
              <w:t>的年费率计提；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szCs w:val="21"/>
              </w:rPr>
              <w:t>0.10%</w:t>
            </w:r>
            <w:r>
              <w:rPr>
                <w:rFonts w:ascii="宋体" w:eastAsia="宋体" w:hAnsi="宋体" w:cs="Times New Roman" w:hint="eastAsia"/>
                <w:szCs w:val="21"/>
              </w:rPr>
              <w:t>的年费率计提。各类基金份额的销售服务费计提的计算公式如下：</w:t>
            </w:r>
          </w:p>
        </w:tc>
        <w:tc>
          <w:tcPr>
            <w:tcW w:w="218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、销售服务费</w:t>
            </w:r>
          </w:p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本基金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类基金份额不收取销售服务费；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0.30%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的年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费率计提；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0.10%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的年费率计提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；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0</w:t>
            </w:r>
            <w:r>
              <w:rPr>
                <w:rFonts w:ascii="宋体" w:eastAsia="宋体" w:hAnsi="宋体" w:cs="Times New Roman"/>
                <w:b/>
                <w:szCs w:val="21"/>
              </w:rPr>
              <w:t>.30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%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的年费率计提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。各类基金份额的销售服务费计提的计算公式如下：</w:t>
            </w:r>
          </w:p>
        </w:tc>
      </w:tr>
    </w:tbl>
    <w:p w:rsidR="00611F77" w:rsidRDefault="00611F77">
      <w:pPr>
        <w:ind w:firstLineChars="200" w:firstLine="420"/>
        <w:rPr>
          <w:rFonts w:ascii="宋体" w:eastAsia="宋体" w:hAnsi="宋体" w:cs="方正仿宋_GBK"/>
          <w:szCs w:val="21"/>
        </w:rPr>
      </w:pPr>
    </w:p>
    <w:p w:rsidR="00611F77" w:rsidRDefault="003C7314">
      <w:pPr>
        <w:spacing w:line="560" w:lineRule="exact"/>
        <w:rPr>
          <w:rFonts w:ascii="宋体" w:eastAsia="宋体" w:hAnsi="宋体" w:cs="方正仿宋_GBK"/>
          <w:b/>
          <w:szCs w:val="21"/>
        </w:rPr>
      </w:pPr>
      <w:r>
        <w:rPr>
          <w:rFonts w:ascii="宋体" w:eastAsia="宋体" w:hAnsi="宋体" w:cs="方正仿宋_GBK" w:hint="eastAsia"/>
          <w:b/>
          <w:szCs w:val="21"/>
        </w:rPr>
        <w:t>二、《财通资管鸿达纯债债券型证券投资基金托管协议》修改前后条款对照表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670"/>
        <w:gridCol w:w="3670"/>
      </w:tblGrid>
      <w:tr w:rsidR="00611F77">
        <w:trPr>
          <w:jc w:val="center"/>
        </w:trPr>
        <w:tc>
          <w:tcPr>
            <w:tcW w:w="69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章节</w:t>
            </w:r>
          </w:p>
        </w:tc>
        <w:tc>
          <w:tcPr>
            <w:tcW w:w="215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《托管协议》修改前条款</w:t>
            </w:r>
          </w:p>
        </w:tc>
        <w:tc>
          <w:tcPr>
            <w:tcW w:w="215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《托管协议》修改后条款</w:t>
            </w:r>
          </w:p>
        </w:tc>
      </w:tr>
      <w:tr w:rsidR="00611F77">
        <w:trPr>
          <w:trHeight w:val="510"/>
          <w:jc w:val="center"/>
        </w:trPr>
        <w:tc>
          <w:tcPr>
            <w:tcW w:w="69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十一、基金费用</w:t>
            </w:r>
          </w:p>
          <w:p w:rsidR="00611F77" w:rsidRDefault="00611F77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611F77" w:rsidRDefault="00611F7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</w:rPr>
              <w:t>三</w:t>
            </w:r>
            <w:r>
              <w:rPr>
                <w:rFonts w:ascii="宋体" w:eastAsia="宋体" w:hAnsi="宋体" w:cs="Times New Roman" w:hint="eastAsia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Cs w:val="21"/>
              </w:rPr>
              <w:t>销售服务费</w:t>
            </w:r>
          </w:p>
          <w:p w:rsidR="00611F77" w:rsidRDefault="003C7314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本基金</w:t>
            </w: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类基金份额不收取销售服务费；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szCs w:val="21"/>
              </w:rPr>
              <w:t>0.30%</w:t>
            </w:r>
            <w:r>
              <w:rPr>
                <w:rFonts w:ascii="宋体" w:eastAsia="宋体" w:hAnsi="宋体" w:cs="Times New Roman" w:hint="eastAsia"/>
                <w:szCs w:val="21"/>
              </w:rPr>
              <w:t>的年费率计提；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szCs w:val="21"/>
              </w:rPr>
              <w:t>0.10%</w:t>
            </w:r>
            <w:r>
              <w:rPr>
                <w:rFonts w:ascii="宋体" w:eastAsia="宋体" w:hAnsi="宋体" w:cs="Times New Roman" w:hint="eastAsia"/>
                <w:szCs w:val="21"/>
              </w:rPr>
              <w:t>的年费率计提。各类基金份额的销售服务费计提的计算公式如下：</w:t>
            </w:r>
          </w:p>
        </w:tc>
        <w:tc>
          <w:tcPr>
            <w:tcW w:w="2153" w:type="pct"/>
          </w:tcPr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</w:rPr>
              <w:t>三</w:t>
            </w:r>
            <w:r>
              <w:rPr>
                <w:rFonts w:ascii="宋体" w:eastAsia="宋体" w:hAnsi="宋体" w:cs="Times New Roman" w:hint="eastAsia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Cs w:val="21"/>
              </w:rPr>
              <w:t>销售服务费</w:t>
            </w:r>
          </w:p>
          <w:p w:rsidR="00611F77" w:rsidRDefault="003C731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本基金</w:t>
            </w: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类基金份额不收取销售服务费；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szCs w:val="21"/>
              </w:rPr>
              <w:t>0.30%</w:t>
            </w:r>
            <w:r>
              <w:rPr>
                <w:rFonts w:ascii="宋体" w:eastAsia="宋体" w:hAnsi="宋体" w:cs="Times New Roman" w:hint="eastAsia"/>
                <w:szCs w:val="21"/>
              </w:rPr>
              <w:t>的年费率计提；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szCs w:val="21"/>
              </w:rPr>
              <w:t>E</w:t>
            </w:r>
            <w:r>
              <w:rPr>
                <w:rFonts w:ascii="宋体" w:eastAsia="宋体" w:hAnsi="宋体" w:cs="Times New Roman" w:hint="eastAsia"/>
                <w:szCs w:val="21"/>
              </w:rPr>
              <w:t>类基金份额的基金资产净值的</w:t>
            </w:r>
            <w:r>
              <w:rPr>
                <w:rFonts w:ascii="宋体" w:eastAsia="宋体" w:hAnsi="宋体" w:cs="Times New Roman" w:hint="eastAsia"/>
                <w:szCs w:val="21"/>
              </w:rPr>
              <w:t>0.10%</w:t>
            </w:r>
            <w:r>
              <w:rPr>
                <w:rFonts w:ascii="宋体" w:eastAsia="宋体" w:hAnsi="宋体" w:cs="Times New Roman" w:hint="eastAsia"/>
                <w:szCs w:val="21"/>
              </w:rPr>
              <w:t>的年费率计提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；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类基金份额的销售服务费按前一日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类基金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份额的基金资产净值的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0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.30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的年费率计提</w:t>
            </w:r>
            <w:r>
              <w:rPr>
                <w:rFonts w:ascii="宋体" w:eastAsia="宋体" w:hAnsi="宋体" w:cs="Times New Roman" w:hint="eastAsia"/>
                <w:szCs w:val="21"/>
              </w:rPr>
              <w:t>。各类基金份额的销售服务费计提的计算公式如下：</w:t>
            </w:r>
          </w:p>
        </w:tc>
      </w:tr>
    </w:tbl>
    <w:p w:rsidR="00611F77" w:rsidRDefault="00611F77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Times New Roman"/>
          <w:color w:val="000000"/>
        </w:rPr>
      </w:pPr>
    </w:p>
    <w:sectPr w:rsidR="00611F77" w:rsidSect="00611F7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77" w:rsidRDefault="00611F77" w:rsidP="00611F77">
      <w:r>
        <w:separator/>
      </w:r>
    </w:p>
  </w:endnote>
  <w:endnote w:type="continuationSeparator" w:id="0">
    <w:p w:rsidR="00611F77" w:rsidRDefault="00611F77" w:rsidP="0061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167124"/>
    </w:sdtPr>
    <w:sdtContent>
      <w:p w:rsidR="00611F77" w:rsidRDefault="00611F77">
        <w:pPr>
          <w:pStyle w:val="a6"/>
          <w:jc w:val="center"/>
        </w:pPr>
        <w:r>
          <w:fldChar w:fldCharType="begin"/>
        </w:r>
        <w:r w:rsidR="003C7314">
          <w:instrText>PAGE   \* MERGEFORMAT</w:instrText>
        </w:r>
        <w:r>
          <w:fldChar w:fldCharType="separate"/>
        </w:r>
        <w:r w:rsidR="003C7314" w:rsidRPr="003C731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77" w:rsidRDefault="00611F77" w:rsidP="00611F77">
      <w:r>
        <w:separator/>
      </w:r>
    </w:p>
  </w:footnote>
  <w:footnote w:type="continuationSeparator" w:id="0">
    <w:p w:rsidR="00611F77" w:rsidRDefault="00611F77" w:rsidP="00611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08"/>
    <w:rsid w:val="000036BE"/>
    <w:rsid w:val="000068D4"/>
    <w:rsid w:val="00012BFD"/>
    <w:rsid w:val="000242D4"/>
    <w:rsid w:val="00030061"/>
    <w:rsid w:val="00031078"/>
    <w:rsid w:val="00034218"/>
    <w:rsid w:val="000458A4"/>
    <w:rsid w:val="00046B64"/>
    <w:rsid w:val="00047752"/>
    <w:rsid w:val="00055A83"/>
    <w:rsid w:val="00055F04"/>
    <w:rsid w:val="0006140E"/>
    <w:rsid w:val="00061F8F"/>
    <w:rsid w:val="00063809"/>
    <w:rsid w:val="00064928"/>
    <w:rsid w:val="0006726F"/>
    <w:rsid w:val="000677D9"/>
    <w:rsid w:val="000708CC"/>
    <w:rsid w:val="00072602"/>
    <w:rsid w:val="000748A9"/>
    <w:rsid w:val="0008214C"/>
    <w:rsid w:val="000873ED"/>
    <w:rsid w:val="000910C2"/>
    <w:rsid w:val="00097C70"/>
    <w:rsid w:val="000A36D6"/>
    <w:rsid w:val="000A3905"/>
    <w:rsid w:val="000B4BB5"/>
    <w:rsid w:val="000B63B2"/>
    <w:rsid w:val="000C0D40"/>
    <w:rsid w:val="000C453D"/>
    <w:rsid w:val="000C6A94"/>
    <w:rsid w:val="000D00C7"/>
    <w:rsid w:val="000D06B2"/>
    <w:rsid w:val="000D0917"/>
    <w:rsid w:val="000D284F"/>
    <w:rsid w:val="000D4906"/>
    <w:rsid w:val="000D5610"/>
    <w:rsid w:val="000D77E7"/>
    <w:rsid w:val="000D7BDD"/>
    <w:rsid w:val="000E0655"/>
    <w:rsid w:val="000E2395"/>
    <w:rsid w:val="000E30A4"/>
    <w:rsid w:val="000E7512"/>
    <w:rsid w:val="000E77C6"/>
    <w:rsid w:val="000F5988"/>
    <w:rsid w:val="000F5D4F"/>
    <w:rsid w:val="000F789C"/>
    <w:rsid w:val="000F7AFD"/>
    <w:rsid w:val="00105F43"/>
    <w:rsid w:val="00106181"/>
    <w:rsid w:val="001063C0"/>
    <w:rsid w:val="001126EF"/>
    <w:rsid w:val="001174DE"/>
    <w:rsid w:val="0012117C"/>
    <w:rsid w:val="00121287"/>
    <w:rsid w:val="00122BFF"/>
    <w:rsid w:val="00123111"/>
    <w:rsid w:val="00124702"/>
    <w:rsid w:val="001278EA"/>
    <w:rsid w:val="0013040F"/>
    <w:rsid w:val="00134359"/>
    <w:rsid w:val="001346B4"/>
    <w:rsid w:val="00134CC8"/>
    <w:rsid w:val="001369E9"/>
    <w:rsid w:val="0015115E"/>
    <w:rsid w:val="00152996"/>
    <w:rsid w:val="00154213"/>
    <w:rsid w:val="0016103A"/>
    <w:rsid w:val="00166613"/>
    <w:rsid w:val="00171CB5"/>
    <w:rsid w:val="00172138"/>
    <w:rsid w:val="00172A27"/>
    <w:rsid w:val="00180E03"/>
    <w:rsid w:val="00184885"/>
    <w:rsid w:val="00184AB3"/>
    <w:rsid w:val="0018656D"/>
    <w:rsid w:val="00191075"/>
    <w:rsid w:val="00194AF7"/>
    <w:rsid w:val="001A017E"/>
    <w:rsid w:val="001A15E3"/>
    <w:rsid w:val="001A1AD5"/>
    <w:rsid w:val="001A46D6"/>
    <w:rsid w:val="001A4E85"/>
    <w:rsid w:val="001B3BB5"/>
    <w:rsid w:val="001B40BA"/>
    <w:rsid w:val="001B52BD"/>
    <w:rsid w:val="001B54B6"/>
    <w:rsid w:val="001C2429"/>
    <w:rsid w:val="001C5444"/>
    <w:rsid w:val="001D5BEF"/>
    <w:rsid w:val="001D68B5"/>
    <w:rsid w:val="001D6BA1"/>
    <w:rsid w:val="001E1FE3"/>
    <w:rsid w:val="001E735D"/>
    <w:rsid w:val="001F78B4"/>
    <w:rsid w:val="00213E95"/>
    <w:rsid w:val="00215388"/>
    <w:rsid w:val="002226B9"/>
    <w:rsid w:val="0022594D"/>
    <w:rsid w:val="00225E75"/>
    <w:rsid w:val="00227080"/>
    <w:rsid w:val="002308FC"/>
    <w:rsid w:val="00230A23"/>
    <w:rsid w:val="002360B1"/>
    <w:rsid w:val="00236CAB"/>
    <w:rsid w:val="00245008"/>
    <w:rsid w:val="00246885"/>
    <w:rsid w:val="00250F42"/>
    <w:rsid w:val="00252104"/>
    <w:rsid w:val="00255441"/>
    <w:rsid w:val="0025749D"/>
    <w:rsid w:val="00261460"/>
    <w:rsid w:val="00267310"/>
    <w:rsid w:val="002708EF"/>
    <w:rsid w:val="00280ECD"/>
    <w:rsid w:val="00290567"/>
    <w:rsid w:val="00292E7A"/>
    <w:rsid w:val="00293287"/>
    <w:rsid w:val="00297699"/>
    <w:rsid w:val="002A0074"/>
    <w:rsid w:val="002A0BEF"/>
    <w:rsid w:val="002A1523"/>
    <w:rsid w:val="002A17EF"/>
    <w:rsid w:val="002A6F38"/>
    <w:rsid w:val="002B0FEC"/>
    <w:rsid w:val="002B7C2A"/>
    <w:rsid w:val="002C2715"/>
    <w:rsid w:val="002C29FF"/>
    <w:rsid w:val="002D289C"/>
    <w:rsid w:val="002D35CA"/>
    <w:rsid w:val="002D42F5"/>
    <w:rsid w:val="002E137A"/>
    <w:rsid w:val="002E56DE"/>
    <w:rsid w:val="002F076A"/>
    <w:rsid w:val="002F09AC"/>
    <w:rsid w:val="002F1720"/>
    <w:rsid w:val="003068EE"/>
    <w:rsid w:val="00306A2C"/>
    <w:rsid w:val="00306CE7"/>
    <w:rsid w:val="003179B9"/>
    <w:rsid w:val="00320090"/>
    <w:rsid w:val="0032437C"/>
    <w:rsid w:val="0032585B"/>
    <w:rsid w:val="00326D55"/>
    <w:rsid w:val="00333C76"/>
    <w:rsid w:val="00335252"/>
    <w:rsid w:val="003352CB"/>
    <w:rsid w:val="00335482"/>
    <w:rsid w:val="00335E45"/>
    <w:rsid w:val="0033686B"/>
    <w:rsid w:val="0033739A"/>
    <w:rsid w:val="003415CF"/>
    <w:rsid w:val="0034401E"/>
    <w:rsid w:val="0035120B"/>
    <w:rsid w:val="00352F5F"/>
    <w:rsid w:val="00355E5F"/>
    <w:rsid w:val="0035725F"/>
    <w:rsid w:val="00357B02"/>
    <w:rsid w:val="00357B32"/>
    <w:rsid w:val="00365C03"/>
    <w:rsid w:val="00370D0A"/>
    <w:rsid w:val="00373957"/>
    <w:rsid w:val="00374829"/>
    <w:rsid w:val="00377E18"/>
    <w:rsid w:val="0038243B"/>
    <w:rsid w:val="00385A6B"/>
    <w:rsid w:val="00387972"/>
    <w:rsid w:val="0039059A"/>
    <w:rsid w:val="003919E2"/>
    <w:rsid w:val="00393004"/>
    <w:rsid w:val="00397215"/>
    <w:rsid w:val="003A0688"/>
    <w:rsid w:val="003A236E"/>
    <w:rsid w:val="003A3CAD"/>
    <w:rsid w:val="003A524B"/>
    <w:rsid w:val="003B19AF"/>
    <w:rsid w:val="003B4E5B"/>
    <w:rsid w:val="003C2E12"/>
    <w:rsid w:val="003C52F5"/>
    <w:rsid w:val="003C7314"/>
    <w:rsid w:val="003D0ABE"/>
    <w:rsid w:val="003D36AF"/>
    <w:rsid w:val="003E08D2"/>
    <w:rsid w:val="003E2D35"/>
    <w:rsid w:val="004000FD"/>
    <w:rsid w:val="00400960"/>
    <w:rsid w:val="00406C7A"/>
    <w:rsid w:val="0040777C"/>
    <w:rsid w:val="00407D62"/>
    <w:rsid w:val="00416BF0"/>
    <w:rsid w:val="00420602"/>
    <w:rsid w:val="0043285A"/>
    <w:rsid w:val="00435FAC"/>
    <w:rsid w:val="0043744B"/>
    <w:rsid w:val="00441ADF"/>
    <w:rsid w:val="0044463C"/>
    <w:rsid w:val="004503BD"/>
    <w:rsid w:val="0045095B"/>
    <w:rsid w:val="00451B45"/>
    <w:rsid w:val="00457ADE"/>
    <w:rsid w:val="00461813"/>
    <w:rsid w:val="004621C1"/>
    <w:rsid w:val="004649D0"/>
    <w:rsid w:val="00464E02"/>
    <w:rsid w:val="0047240A"/>
    <w:rsid w:val="0047420B"/>
    <w:rsid w:val="0047470B"/>
    <w:rsid w:val="00480D08"/>
    <w:rsid w:val="00481828"/>
    <w:rsid w:val="004920EA"/>
    <w:rsid w:val="00495473"/>
    <w:rsid w:val="00496E28"/>
    <w:rsid w:val="004A3EB7"/>
    <w:rsid w:val="004B134F"/>
    <w:rsid w:val="004B1FED"/>
    <w:rsid w:val="004B6E26"/>
    <w:rsid w:val="004C336F"/>
    <w:rsid w:val="004D05DD"/>
    <w:rsid w:val="004D11AD"/>
    <w:rsid w:val="004D756A"/>
    <w:rsid w:val="004E0A61"/>
    <w:rsid w:val="004E2AF7"/>
    <w:rsid w:val="004E6EC2"/>
    <w:rsid w:val="004F2B6D"/>
    <w:rsid w:val="004F4396"/>
    <w:rsid w:val="00506E2C"/>
    <w:rsid w:val="00511B61"/>
    <w:rsid w:val="00512939"/>
    <w:rsid w:val="005139AA"/>
    <w:rsid w:val="005155BE"/>
    <w:rsid w:val="0052100A"/>
    <w:rsid w:val="005221F2"/>
    <w:rsid w:val="00522A33"/>
    <w:rsid w:val="00523E72"/>
    <w:rsid w:val="0052660E"/>
    <w:rsid w:val="00526BD0"/>
    <w:rsid w:val="00527244"/>
    <w:rsid w:val="0053055F"/>
    <w:rsid w:val="00530EA2"/>
    <w:rsid w:val="00534D44"/>
    <w:rsid w:val="005507BA"/>
    <w:rsid w:val="00551CE4"/>
    <w:rsid w:val="00552487"/>
    <w:rsid w:val="0055311F"/>
    <w:rsid w:val="00553A0A"/>
    <w:rsid w:val="00566B1C"/>
    <w:rsid w:val="005675CA"/>
    <w:rsid w:val="00567F28"/>
    <w:rsid w:val="00577656"/>
    <w:rsid w:val="0057774E"/>
    <w:rsid w:val="005828E6"/>
    <w:rsid w:val="00583B5E"/>
    <w:rsid w:val="00587071"/>
    <w:rsid w:val="005926A3"/>
    <w:rsid w:val="00592E50"/>
    <w:rsid w:val="005A1702"/>
    <w:rsid w:val="005A1D7A"/>
    <w:rsid w:val="005A4570"/>
    <w:rsid w:val="005A7965"/>
    <w:rsid w:val="005B0E95"/>
    <w:rsid w:val="005B5654"/>
    <w:rsid w:val="005B6CBF"/>
    <w:rsid w:val="005C34D0"/>
    <w:rsid w:val="005C4CDB"/>
    <w:rsid w:val="005D1CBA"/>
    <w:rsid w:val="005D2876"/>
    <w:rsid w:val="005D3259"/>
    <w:rsid w:val="005F0590"/>
    <w:rsid w:val="005F13D6"/>
    <w:rsid w:val="005F2AF7"/>
    <w:rsid w:val="005F76B4"/>
    <w:rsid w:val="0060060C"/>
    <w:rsid w:val="00602F37"/>
    <w:rsid w:val="00606E3C"/>
    <w:rsid w:val="00607631"/>
    <w:rsid w:val="00611F77"/>
    <w:rsid w:val="00614BA6"/>
    <w:rsid w:val="0061651C"/>
    <w:rsid w:val="0062023F"/>
    <w:rsid w:val="00622E1C"/>
    <w:rsid w:val="00630CF3"/>
    <w:rsid w:val="00631FC4"/>
    <w:rsid w:val="00635225"/>
    <w:rsid w:val="006413CB"/>
    <w:rsid w:val="00643583"/>
    <w:rsid w:val="00644710"/>
    <w:rsid w:val="00646F06"/>
    <w:rsid w:val="00652CEF"/>
    <w:rsid w:val="00653BDA"/>
    <w:rsid w:val="0065514F"/>
    <w:rsid w:val="006558E6"/>
    <w:rsid w:val="00660E52"/>
    <w:rsid w:val="006627D1"/>
    <w:rsid w:val="00662937"/>
    <w:rsid w:val="0066559F"/>
    <w:rsid w:val="00667F9F"/>
    <w:rsid w:val="00671D42"/>
    <w:rsid w:val="0067627B"/>
    <w:rsid w:val="0068243B"/>
    <w:rsid w:val="00685A08"/>
    <w:rsid w:val="006878E4"/>
    <w:rsid w:val="00696384"/>
    <w:rsid w:val="00696762"/>
    <w:rsid w:val="00696AC2"/>
    <w:rsid w:val="006A012B"/>
    <w:rsid w:val="006A1BCB"/>
    <w:rsid w:val="006A3C1D"/>
    <w:rsid w:val="006A44A3"/>
    <w:rsid w:val="006A7856"/>
    <w:rsid w:val="006A7BC8"/>
    <w:rsid w:val="006B429D"/>
    <w:rsid w:val="006B5025"/>
    <w:rsid w:val="006B57B5"/>
    <w:rsid w:val="006B62F0"/>
    <w:rsid w:val="006B746D"/>
    <w:rsid w:val="006C2149"/>
    <w:rsid w:val="006C24AA"/>
    <w:rsid w:val="006C6E13"/>
    <w:rsid w:val="006D5D9E"/>
    <w:rsid w:val="006E1DEB"/>
    <w:rsid w:val="006E59B4"/>
    <w:rsid w:val="006F0809"/>
    <w:rsid w:val="00702655"/>
    <w:rsid w:val="00703B67"/>
    <w:rsid w:val="00703BD7"/>
    <w:rsid w:val="007128F2"/>
    <w:rsid w:val="00712D98"/>
    <w:rsid w:val="00713CC8"/>
    <w:rsid w:val="00722154"/>
    <w:rsid w:val="00723FA5"/>
    <w:rsid w:val="007248C7"/>
    <w:rsid w:val="007339C7"/>
    <w:rsid w:val="0073563B"/>
    <w:rsid w:val="00735789"/>
    <w:rsid w:val="00737256"/>
    <w:rsid w:val="00737CA6"/>
    <w:rsid w:val="007402E1"/>
    <w:rsid w:val="007426CB"/>
    <w:rsid w:val="00745F29"/>
    <w:rsid w:val="00746DBC"/>
    <w:rsid w:val="007519DB"/>
    <w:rsid w:val="00751E2D"/>
    <w:rsid w:val="00751F60"/>
    <w:rsid w:val="00753FDD"/>
    <w:rsid w:val="0076454E"/>
    <w:rsid w:val="00765E78"/>
    <w:rsid w:val="0076603A"/>
    <w:rsid w:val="00770880"/>
    <w:rsid w:val="00771C26"/>
    <w:rsid w:val="00772AEA"/>
    <w:rsid w:val="00781DAA"/>
    <w:rsid w:val="00783A06"/>
    <w:rsid w:val="00793B59"/>
    <w:rsid w:val="00797A4D"/>
    <w:rsid w:val="007A340D"/>
    <w:rsid w:val="007A57D1"/>
    <w:rsid w:val="007B138F"/>
    <w:rsid w:val="007C0CC2"/>
    <w:rsid w:val="007C234F"/>
    <w:rsid w:val="007C5C0D"/>
    <w:rsid w:val="007C6FC2"/>
    <w:rsid w:val="007D0025"/>
    <w:rsid w:val="007D0E91"/>
    <w:rsid w:val="007E0BE6"/>
    <w:rsid w:val="007E3956"/>
    <w:rsid w:val="007E54F4"/>
    <w:rsid w:val="007F2052"/>
    <w:rsid w:val="007F2891"/>
    <w:rsid w:val="007F2C93"/>
    <w:rsid w:val="007F32D7"/>
    <w:rsid w:val="007F4A23"/>
    <w:rsid w:val="00817F37"/>
    <w:rsid w:val="00825504"/>
    <w:rsid w:val="0083006A"/>
    <w:rsid w:val="0083106D"/>
    <w:rsid w:val="0083456D"/>
    <w:rsid w:val="008345DC"/>
    <w:rsid w:val="00843C9D"/>
    <w:rsid w:val="0085079C"/>
    <w:rsid w:val="008508F2"/>
    <w:rsid w:val="00853791"/>
    <w:rsid w:val="0085658B"/>
    <w:rsid w:val="00856C32"/>
    <w:rsid w:val="0086018E"/>
    <w:rsid w:val="0086045F"/>
    <w:rsid w:val="00866923"/>
    <w:rsid w:val="0087001C"/>
    <w:rsid w:val="008756B2"/>
    <w:rsid w:val="008777F8"/>
    <w:rsid w:val="0088314E"/>
    <w:rsid w:val="00883A2B"/>
    <w:rsid w:val="00893009"/>
    <w:rsid w:val="00893F10"/>
    <w:rsid w:val="0089532B"/>
    <w:rsid w:val="008A401F"/>
    <w:rsid w:val="008B09A3"/>
    <w:rsid w:val="008C1BA3"/>
    <w:rsid w:val="008C3678"/>
    <w:rsid w:val="008C4AF0"/>
    <w:rsid w:val="008D08F5"/>
    <w:rsid w:val="008D2A51"/>
    <w:rsid w:val="008D31A9"/>
    <w:rsid w:val="008D3272"/>
    <w:rsid w:val="008D33B8"/>
    <w:rsid w:val="008D409D"/>
    <w:rsid w:val="008D68C1"/>
    <w:rsid w:val="008D7FC3"/>
    <w:rsid w:val="008E25CF"/>
    <w:rsid w:val="008E3B48"/>
    <w:rsid w:val="008E4757"/>
    <w:rsid w:val="008E55B0"/>
    <w:rsid w:val="008E6E23"/>
    <w:rsid w:val="008E798C"/>
    <w:rsid w:val="008F71CF"/>
    <w:rsid w:val="00901EAA"/>
    <w:rsid w:val="00902C56"/>
    <w:rsid w:val="00911785"/>
    <w:rsid w:val="0091518A"/>
    <w:rsid w:val="00924724"/>
    <w:rsid w:val="009260BE"/>
    <w:rsid w:val="009269AF"/>
    <w:rsid w:val="00926FE8"/>
    <w:rsid w:val="009276D8"/>
    <w:rsid w:val="00930C31"/>
    <w:rsid w:val="00936D37"/>
    <w:rsid w:val="00945960"/>
    <w:rsid w:val="009514ED"/>
    <w:rsid w:val="009518D0"/>
    <w:rsid w:val="00952868"/>
    <w:rsid w:val="009601FB"/>
    <w:rsid w:val="00970432"/>
    <w:rsid w:val="00970BC0"/>
    <w:rsid w:val="0097492E"/>
    <w:rsid w:val="009762B9"/>
    <w:rsid w:val="00983304"/>
    <w:rsid w:val="00986C22"/>
    <w:rsid w:val="0098777C"/>
    <w:rsid w:val="009A7AEE"/>
    <w:rsid w:val="009B0DC3"/>
    <w:rsid w:val="009C18D0"/>
    <w:rsid w:val="009D07E4"/>
    <w:rsid w:val="009D24CF"/>
    <w:rsid w:val="009D6A17"/>
    <w:rsid w:val="009D7CD0"/>
    <w:rsid w:val="009E2573"/>
    <w:rsid w:val="009E6919"/>
    <w:rsid w:val="009E77EF"/>
    <w:rsid w:val="009E7DA1"/>
    <w:rsid w:val="00A03552"/>
    <w:rsid w:val="00A07AC7"/>
    <w:rsid w:val="00A07DA5"/>
    <w:rsid w:val="00A127CC"/>
    <w:rsid w:val="00A16F49"/>
    <w:rsid w:val="00A207AF"/>
    <w:rsid w:val="00A21B18"/>
    <w:rsid w:val="00A247EA"/>
    <w:rsid w:val="00A27A85"/>
    <w:rsid w:val="00A27BCC"/>
    <w:rsid w:val="00A35657"/>
    <w:rsid w:val="00A365AB"/>
    <w:rsid w:val="00A40AA4"/>
    <w:rsid w:val="00A40BCD"/>
    <w:rsid w:val="00A40C80"/>
    <w:rsid w:val="00A4149A"/>
    <w:rsid w:val="00A42A8E"/>
    <w:rsid w:val="00A43C8D"/>
    <w:rsid w:val="00A477F0"/>
    <w:rsid w:val="00A50C6D"/>
    <w:rsid w:val="00A548DA"/>
    <w:rsid w:val="00A55FAE"/>
    <w:rsid w:val="00A560F2"/>
    <w:rsid w:val="00A57543"/>
    <w:rsid w:val="00A57D2B"/>
    <w:rsid w:val="00A61226"/>
    <w:rsid w:val="00A65DE7"/>
    <w:rsid w:val="00A76382"/>
    <w:rsid w:val="00A7643A"/>
    <w:rsid w:val="00A765CE"/>
    <w:rsid w:val="00A837E1"/>
    <w:rsid w:val="00A85020"/>
    <w:rsid w:val="00A92C69"/>
    <w:rsid w:val="00A95A4B"/>
    <w:rsid w:val="00AA2F03"/>
    <w:rsid w:val="00AA416A"/>
    <w:rsid w:val="00AA4D39"/>
    <w:rsid w:val="00AB2F05"/>
    <w:rsid w:val="00AB316B"/>
    <w:rsid w:val="00AB713A"/>
    <w:rsid w:val="00AC4346"/>
    <w:rsid w:val="00AE03FE"/>
    <w:rsid w:val="00AE05B3"/>
    <w:rsid w:val="00AE2521"/>
    <w:rsid w:val="00AF45F9"/>
    <w:rsid w:val="00B00B8E"/>
    <w:rsid w:val="00B04921"/>
    <w:rsid w:val="00B063E7"/>
    <w:rsid w:val="00B06B02"/>
    <w:rsid w:val="00B1117F"/>
    <w:rsid w:val="00B11669"/>
    <w:rsid w:val="00B128C1"/>
    <w:rsid w:val="00B221C5"/>
    <w:rsid w:val="00B2556D"/>
    <w:rsid w:val="00B3747E"/>
    <w:rsid w:val="00B40DDD"/>
    <w:rsid w:val="00B41DA1"/>
    <w:rsid w:val="00B46AC3"/>
    <w:rsid w:val="00B5038D"/>
    <w:rsid w:val="00B52650"/>
    <w:rsid w:val="00B543E9"/>
    <w:rsid w:val="00B5546A"/>
    <w:rsid w:val="00B55A93"/>
    <w:rsid w:val="00B5637A"/>
    <w:rsid w:val="00B574D0"/>
    <w:rsid w:val="00B7286B"/>
    <w:rsid w:val="00B73E48"/>
    <w:rsid w:val="00B74A57"/>
    <w:rsid w:val="00B75F39"/>
    <w:rsid w:val="00B8047E"/>
    <w:rsid w:val="00B8055E"/>
    <w:rsid w:val="00B84BC8"/>
    <w:rsid w:val="00B86761"/>
    <w:rsid w:val="00B90092"/>
    <w:rsid w:val="00B97E46"/>
    <w:rsid w:val="00BB2067"/>
    <w:rsid w:val="00BB3339"/>
    <w:rsid w:val="00BB4E10"/>
    <w:rsid w:val="00BC47BF"/>
    <w:rsid w:val="00BC4AA5"/>
    <w:rsid w:val="00BC535A"/>
    <w:rsid w:val="00BD0849"/>
    <w:rsid w:val="00BD208B"/>
    <w:rsid w:val="00BD63CF"/>
    <w:rsid w:val="00BD6DB5"/>
    <w:rsid w:val="00BE1BED"/>
    <w:rsid w:val="00BE67A5"/>
    <w:rsid w:val="00BF1D0F"/>
    <w:rsid w:val="00BF35FB"/>
    <w:rsid w:val="00BF3D90"/>
    <w:rsid w:val="00C02027"/>
    <w:rsid w:val="00C021CA"/>
    <w:rsid w:val="00C02F88"/>
    <w:rsid w:val="00C03283"/>
    <w:rsid w:val="00C034CB"/>
    <w:rsid w:val="00C05537"/>
    <w:rsid w:val="00C0618C"/>
    <w:rsid w:val="00C101B0"/>
    <w:rsid w:val="00C104A9"/>
    <w:rsid w:val="00C12E52"/>
    <w:rsid w:val="00C13DB1"/>
    <w:rsid w:val="00C140A2"/>
    <w:rsid w:val="00C1585B"/>
    <w:rsid w:val="00C17FEF"/>
    <w:rsid w:val="00C21731"/>
    <w:rsid w:val="00C23710"/>
    <w:rsid w:val="00C24746"/>
    <w:rsid w:val="00C2514E"/>
    <w:rsid w:val="00C329B4"/>
    <w:rsid w:val="00C458FA"/>
    <w:rsid w:val="00C46018"/>
    <w:rsid w:val="00C479F6"/>
    <w:rsid w:val="00C47CE1"/>
    <w:rsid w:val="00C50C4C"/>
    <w:rsid w:val="00C52778"/>
    <w:rsid w:val="00C61123"/>
    <w:rsid w:val="00C63130"/>
    <w:rsid w:val="00C643C3"/>
    <w:rsid w:val="00C8308E"/>
    <w:rsid w:val="00C83D95"/>
    <w:rsid w:val="00C92F29"/>
    <w:rsid w:val="00C937B9"/>
    <w:rsid w:val="00C93C94"/>
    <w:rsid w:val="00CA11F3"/>
    <w:rsid w:val="00CA1758"/>
    <w:rsid w:val="00CA211E"/>
    <w:rsid w:val="00CA38E9"/>
    <w:rsid w:val="00CB0D8B"/>
    <w:rsid w:val="00CB442E"/>
    <w:rsid w:val="00CC103C"/>
    <w:rsid w:val="00CC66FD"/>
    <w:rsid w:val="00CC77B2"/>
    <w:rsid w:val="00CC7E7E"/>
    <w:rsid w:val="00CD7D2A"/>
    <w:rsid w:val="00CE246E"/>
    <w:rsid w:val="00CE2C69"/>
    <w:rsid w:val="00CE3AB5"/>
    <w:rsid w:val="00CE3B06"/>
    <w:rsid w:val="00CE4322"/>
    <w:rsid w:val="00CF6CDF"/>
    <w:rsid w:val="00D017A6"/>
    <w:rsid w:val="00D05701"/>
    <w:rsid w:val="00D06C0E"/>
    <w:rsid w:val="00D07423"/>
    <w:rsid w:val="00D12A9B"/>
    <w:rsid w:val="00D15AB6"/>
    <w:rsid w:val="00D21885"/>
    <w:rsid w:val="00D3030B"/>
    <w:rsid w:val="00D32D71"/>
    <w:rsid w:val="00D333B3"/>
    <w:rsid w:val="00D33C0B"/>
    <w:rsid w:val="00D340B4"/>
    <w:rsid w:val="00D361CE"/>
    <w:rsid w:val="00D36DB2"/>
    <w:rsid w:val="00D430C1"/>
    <w:rsid w:val="00D433F5"/>
    <w:rsid w:val="00D4370C"/>
    <w:rsid w:val="00D457B8"/>
    <w:rsid w:val="00D45DD7"/>
    <w:rsid w:val="00D60C56"/>
    <w:rsid w:val="00D633B5"/>
    <w:rsid w:val="00D651D5"/>
    <w:rsid w:val="00D6675A"/>
    <w:rsid w:val="00D66E36"/>
    <w:rsid w:val="00D67996"/>
    <w:rsid w:val="00D70AA7"/>
    <w:rsid w:val="00D73B93"/>
    <w:rsid w:val="00D7626F"/>
    <w:rsid w:val="00D82225"/>
    <w:rsid w:val="00D82C4F"/>
    <w:rsid w:val="00D85978"/>
    <w:rsid w:val="00D859A0"/>
    <w:rsid w:val="00D85A41"/>
    <w:rsid w:val="00D85E06"/>
    <w:rsid w:val="00D90AED"/>
    <w:rsid w:val="00D90BFA"/>
    <w:rsid w:val="00D90F47"/>
    <w:rsid w:val="00D91F0D"/>
    <w:rsid w:val="00D93410"/>
    <w:rsid w:val="00D94D58"/>
    <w:rsid w:val="00DA1170"/>
    <w:rsid w:val="00DA5909"/>
    <w:rsid w:val="00DB077C"/>
    <w:rsid w:val="00DB1CAB"/>
    <w:rsid w:val="00DB226E"/>
    <w:rsid w:val="00DC058F"/>
    <w:rsid w:val="00DC314F"/>
    <w:rsid w:val="00DC6C35"/>
    <w:rsid w:val="00DD104D"/>
    <w:rsid w:val="00DD2E22"/>
    <w:rsid w:val="00DD5A3F"/>
    <w:rsid w:val="00DE15B1"/>
    <w:rsid w:val="00DE2038"/>
    <w:rsid w:val="00DE2E1A"/>
    <w:rsid w:val="00DE3CC6"/>
    <w:rsid w:val="00DF0AC7"/>
    <w:rsid w:val="00DF34A5"/>
    <w:rsid w:val="00DF4086"/>
    <w:rsid w:val="00E003E5"/>
    <w:rsid w:val="00E0547E"/>
    <w:rsid w:val="00E06E33"/>
    <w:rsid w:val="00E07E77"/>
    <w:rsid w:val="00E14AAF"/>
    <w:rsid w:val="00E15CA3"/>
    <w:rsid w:val="00E15FCD"/>
    <w:rsid w:val="00E16769"/>
    <w:rsid w:val="00E172ED"/>
    <w:rsid w:val="00E1770E"/>
    <w:rsid w:val="00E21C02"/>
    <w:rsid w:val="00E26CCF"/>
    <w:rsid w:val="00E26FA7"/>
    <w:rsid w:val="00E27DAD"/>
    <w:rsid w:val="00E307C8"/>
    <w:rsid w:val="00E33314"/>
    <w:rsid w:val="00E33421"/>
    <w:rsid w:val="00E359EA"/>
    <w:rsid w:val="00E407E4"/>
    <w:rsid w:val="00E427FC"/>
    <w:rsid w:val="00E432C9"/>
    <w:rsid w:val="00E43B75"/>
    <w:rsid w:val="00E44E54"/>
    <w:rsid w:val="00E506A2"/>
    <w:rsid w:val="00E52F6E"/>
    <w:rsid w:val="00E5377B"/>
    <w:rsid w:val="00E54625"/>
    <w:rsid w:val="00E55AE9"/>
    <w:rsid w:val="00E6079F"/>
    <w:rsid w:val="00E7211D"/>
    <w:rsid w:val="00E73EE8"/>
    <w:rsid w:val="00E746EF"/>
    <w:rsid w:val="00E77765"/>
    <w:rsid w:val="00E802D0"/>
    <w:rsid w:val="00E81ADC"/>
    <w:rsid w:val="00E87201"/>
    <w:rsid w:val="00E92A3C"/>
    <w:rsid w:val="00EA5D98"/>
    <w:rsid w:val="00EB336A"/>
    <w:rsid w:val="00EB36CF"/>
    <w:rsid w:val="00EB4847"/>
    <w:rsid w:val="00EB4B26"/>
    <w:rsid w:val="00EB5DEA"/>
    <w:rsid w:val="00EB7781"/>
    <w:rsid w:val="00EC159D"/>
    <w:rsid w:val="00EC294E"/>
    <w:rsid w:val="00EC2D7F"/>
    <w:rsid w:val="00EC7214"/>
    <w:rsid w:val="00ED04C9"/>
    <w:rsid w:val="00ED0B86"/>
    <w:rsid w:val="00ED1C9B"/>
    <w:rsid w:val="00ED2D75"/>
    <w:rsid w:val="00ED4ADC"/>
    <w:rsid w:val="00EE2F36"/>
    <w:rsid w:val="00EE6F50"/>
    <w:rsid w:val="00EE7AF1"/>
    <w:rsid w:val="00EF0226"/>
    <w:rsid w:val="00EF4017"/>
    <w:rsid w:val="00F02245"/>
    <w:rsid w:val="00F03DEE"/>
    <w:rsid w:val="00F07E60"/>
    <w:rsid w:val="00F10752"/>
    <w:rsid w:val="00F10754"/>
    <w:rsid w:val="00F11C9D"/>
    <w:rsid w:val="00F17E2B"/>
    <w:rsid w:val="00F17F73"/>
    <w:rsid w:val="00F232A6"/>
    <w:rsid w:val="00F2465A"/>
    <w:rsid w:val="00F26475"/>
    <w:rsid w:val="00F2798C"/>
    <w:rsid w:val="00F27FFC"/>
    <w:rsid w:val="00F332E6"/>
    <w:rsid w:val="00F42F8F"/>
    <w:rsid w:val="00F4620B"/>
    <w:rsid w:val="00F51BE3"/>
    <w:rsid w:val="00F55003"/>
    <w:rsid w:val="00F55C65"/>
    <w:rsid w:val="00F57D67"/>
    <w:rsid w:val="00F61990"/>
    <w:rsid w:val="00F72B4C"/>
    <w:rsid w:val="00F74533"/>
    <w:rsid w:val="00F7540C"/>
    <w:rsid w:val="00F76B0C"/>
    <w:rsid w:val="00F7740E"/>
    <w:rsid w:val="00F81507"/>
    <w:rsid w:val="00F85C7B"/>
    <w:rsid w:val="00F85E9F"/>
    <w:rsid w:val="00FA0182"/>
    <w:rsid w:val="00FA1839"/>
    <w:rsid w:val="00FB230F"/>
    <w:rsid w:val="00FB280B"/>
    <w:rsid w:val="00FB4613"/>
    <w:rsid w:val="00FC3A51"/>
    <w:rsid w:val="00FD3CD5"/>
    <w:rsid w:val="00FE0852"/>
    <w:rsid w:val="00FE129E"/>
    <w:rsid w:val="00FF2F2F"/>
    <w:rsid w:val="00FF309A"/>
    <w:rsid w:val="00FF326C"/>
    <w:rsid w:val="00FF61DF"/>
    <w:rsid w:val="00FF7F32"/>
    <w:rsid w:val="07DA57F6"/>
    <w:rsid w:val="08A00529"/>
    <w:rsid w:val="09C86EB2"/>
    <w:rsid w:val="0DE46D89"/>
    <w:rsid w:val="0F155D25"/>
    <w:rsid w:val="110B74DC"/>
    <w:rsid w:val="244A1FFE"/>
    <w:rsid w:val="25E60294"/>
    <w:rsid w:val="295633ED"/>
    <w:rsid w:val="2BA56379"/>
    <w:rsid w:val="2C1C72EA"/>
    <w:rsid w:val="3033743A"/>
    <w:rsid w:val="3EEC227B"/>
    <w:rsid w:val="40572E86"/>
    <w:rsid w:val="49CD3F29"/>
    <w:rsid w:val="4CEF0C9C"/>
    <w:rsid w:val="4F526D72"/>
    <w:rsid w:val="57013E4C"/>
    <w:rsid w:val="58F95F2B"/>
    <w:rsid w:val="5C170B04"/>
    <w:rsid w:val="5CA66105"/>
    <w:rsid w:val="62244788"/>
    <w:rsid w:val="67006ED2"/>
    <w:rsid w:val="6743793B"/>
    <w:rsid w:val="743B1250"/>
    <w:rsid w:val="76CC1460"/>
    <w:rsid w:val="7DC8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7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1F7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11F77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611F7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11F7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1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1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611F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611F77"/>
    <w:rPr>
      <w:b/>
      <w:bCs/>
    </w:rPr>
  </w:style>
  <w:style w:type="table" w:styleId="aa">
    <w:name w:val="Table Grid"/>
    <w:basedOn w:val="a1"/>
    <w:uiPriority w:val="59"/>
    <w:qFormat/>
    <w:rsid w:val="0061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611F77"/>
    <w:rPr>
      <w:color w:val="0000FF"/>
      <w:u w:val="single"/>
    </w:rPr>
  </w:style>
  <w:style w:type="character" w:styleId="ac">
    <w:name w:val="annotation reference"/>
    <w:basedOn w:val="a0"/>
    <w:unhideWhenUsed/>
    <w:qFormat/>
    <w:rsid w:val="00611F7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611F7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11F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11F77"/>
    <w:rPr>
      <w:sz w:val="18"/>
      <w:szCs w:val="18"/>
    </w:rPr>
  </w:style>
  <w:style w:type="character" w:customStyle="1" w:styleId="Char0">
    <w:name w:val="批注文字 Char"/>
    <w:basedOn w:val="a0"/>
    <w:link w:val="a4"/>
    <w:qFormat/>
    <w:rsid w:val="00611F77"/>
  </w:style>
  <w:style w:type="character" w:customStyle="1" w:styleId="Char4">
    <w:name w:val="批注主题 Char"/>
    <w:basedOn w:val="Char0"/>
    <w:link w:val="a9"/>
    <w:uiPriority w:val="99"/>
    <w:semiHidden/>
    <w:qFormat/>
    <w:rsid w:val="00611F77"/>
    <w:rPr>
      <w:b/>
      <w:bCs/>
    </w:rPr>
  </w:style>
  <w:style w:type="paragraph" w:customStyle="1" w:styleId="1">
    <w:name w:val="修订1"/>
    <w:hidden/>
    <w:uiPriority w:val="99"/>
    <w:semiHidden/>
    <w:qFormat/>
    <w:rsid w:val="00611F77"/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11F77"/>
    <w:rPr>
      <w:rFonts w:ascii="宋体" w:eastAsia="宋体"/>
      <w:sz w:val="18"/>
      <w:szCs w:val="18"/>
    </w:rPr>
  </w:style>
  <w:style w:type="paragraph" w:customStyle="1" w:styleId="Char5">
    <w:name w:val="Char"/>
    <w:basedOn w:val="a"/>
    <w:qFormat/>
    <w:rsid w:val="00611F77"/>
    <w:rPr>
      <w:rFonts w:ascii="Times New Roman" w:eastAsia="宋体" w:hAnsi="Times New Roman" w:cs="Times New Roman"/>
      <w:szCs w:val="24"/>
    </w:rPr>
  </w:style>
  <w:style w:type="paragraph" w:customStyle="1" w:styleId="ad">
    <w:name w:val="项目"/>
    <w:basedOn w:val="4"/>
    <w:qFormat/>
    <w:rsid w:val="00611F77"/>
    <w:pPr>
      <w:snapToGrid w:val="0"/>
      <w:spacing w:before="120" w:after="120" w:line="360" w:lineRule="auto"/>
    </w:pPr>
    <w:rPr>
      <w:rFonts w:ascii="Times New Roman" w:eastAsia="楷体_GB2312" w:hAnsi="Times New Roman" w:cs="Times New Roman"/>
      <w:b w:val="0"/>
      <w:sz w:val="24"/>
      <w:szCs w:val="20"/>
    </w:rPr>
  </w:style>
  <w:style w:type="character" w:customStyle="1" w:styleId="4Char">
    <w:name w:val="标题 4 Char"/>
    <w:basedOn w:val="a0"/>
    <w:link w:val="4"/>
    <w:uiPriority w:val="9"/>
    <w:semiHidden/>
    <w:qFormat/>
    <w:rsid w:val="00611F7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611F77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11F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terui.j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F42F37-BA2D-4076-AACC-A3B667C2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4</DocSecurity>
  <Lines>28</Lines>
  <Paragraphs>8</Paragraphs>
  <ScaleCrop>false</ScaleCrop>
  <Company>wind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yfjiang.may</dc:creator>
  <cp:lastModifiedBy>ZHONGM</cp:lastModifiedBy>
  <cp:revision>2</cp:revision>
  <cp:lastPrinted>2020-05-07T05:46:00Z</cp:lastPrinted>
  <dcterms:created xsi:type="dcterms:W3CDTF">2020-12-29T16:27:00Z</dcterms:created>
  <dcterms:modified xsi:type="dcterms:W3CDTF">2020-12-29T16:27:00Z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