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C" w:rsidRPr="00AD49E6" w:rsidRDefault="008D58DC" w:rsidP="00F379CE">
      <w:pPr>
        <w:widowControl/>
        <w:spacing w:line="288" w:lineRule="auto"/>
        <w:jc w:val="center"/>
        <w:rPr>
          <w:rFonts w:ascii="黑体" w:eastAsia="黑体" w:hAnsi="宋体" w:cs="宋体"/>
          <w:b/>
          <w:color w:val="000000"/>
          <w:kern w:val="0"/>
          <w:sz w:val="28"/>
          <w:szCs w:val="30"/>
        </w:rPr>
      </w:pPr>
      <w:r w:rsidRPr="008D58DC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t>鹏华基金管理有限公司关于旗下</w:t>
      </w:r>
      <w:r w:rsidR="00046671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t>证券投资</w:t>
      </w:r>
      <w:r w:rsidRPr="008D58DC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t>基金持有的股票估值方法变更的提示性公告</w:t>
      </w:r>
    </w:p>
    <w:p w:rsidR="00D03A9C" w:rsidRPr="00F54F5B" w:rsidRDefault="00D03A9C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232A82">
        <w:rPr>
          <w:rFonts w:ascii="黑体" w:eastAsia="黑体" w:hint="eastAsia"/>
          <w:color w:val="000000"/>
          <w:sz w:val="22"/>
          <w:szCs w:val="22"/>
        </w:rPr>
        <w:t>根据中国证监会2017年9月5日下发的[2017]13号《中国</w:t>
      </w:r>
      <w:r>
        <w:rPr>
          <w:rFonts w:ascii="黑体" w:eastAsia="黑体" w:hint="eastAsia"/>
          <w:color w:val="000000"/>
          <w:sz w:val="22"/>
          <w:szCs w:val="22"/>
        </w:rPr>
        <w:t>证监会关于证券投资基金估值业务的指导意见》</w:t>
      </w:r>
      <w:r w:rsidRPr="00232A82">
        <w:rPr>
          <w:rFonts w:ascii="黑体" w:eastAsia="黑体" w:hint="eastAsia"/>
          <w:color w:val="000000"/>
          <w:sz w:val="22"/>
          <w:szCs w:val="22"/>
        </w:rPr>
        <w:t>及鹏华基金管理有限公司（以下简称“本公司”）</w:t>
      </w:r>
      <w:r w:rsidRPr="007C4765">
        <w:rPr>
          <w:rFonts w:ascii="黑体" w:eastAsia="黑体" w:hint="eastAsia"/>
          <w:color w:val="000000"/>
          <w:sz w:val="22"/>
          <w:szCs w:val="22"/>
        </w:rPr>
        <w:t>股</w:t>
      </w:r>
      <w:r w:rsidRPr="00232A82">
        <w:rPr>
          <w:rFonts w:ascii="黑体" w:eastAsia="黑体" w:hint="eastAsia"/>
          <w:color w:val="000000"/>
          <w:sz w:val="22"/>
          <w:szCs w:val="22"/>
        </w:rPr>
        <w:t>票的估值政策和程序</w:t>
      </w:r>
      <w:r w:rsidRPr="00F54F5B">
        <w:rPr>
          <w:rFonts w:ascii="黑体" w:eastAsia="黑体" w:hint="eastAsia"/>
          <w:color w:val="000000"/>
          <w:sz w:val="22"/>
          <w:szCs w:val="22"/>
        </w:rPr>
        <w:t>，经与托管行和会计师事务所协调一致，</w:t>
      </w:r>
      <w:r>
        <w:rPr>
          <w:rFonts w:ascii="黑体" w:eastAsia="黑体" w:hint="eastAsia"/>
          <w:color w:val="000000"/>
          <w:sz w:val="22"/>
          <w:szCs w:val="22"/>
        </w:rPr>
        <w:t>本</w:t>
      </w:r>
      <w:r w:rsidRPr="00F54F5B">
        <w:rPr>
          <w:rFonts w:ascii="黑体" w:eastAsia="黑体" w:hint="eastAsia"/>
          <w:color w:val="000000"/>
          <w:sz w:val="22"/>
          <w:szCs w:val="22"/>
        </w:rPr>
        <w:t>公司决定自</w:t>
      </w:r>
      <w:r w:rsidR="0061615E">
        <w:rPr>
          <w:rFonts w:ascii="黑体" w:eastAsia="黑体"/>
          <w:color w:val="000000"/>
          <w:sz w:val="22"/>
          <w:szCs w:val="22"/>
        </w:rPr>
        <w:t>2020</w:t>
      </w:r>
      <w:r w:rsidRPr="00F54F5B">
        <w:rPr>
          <w:rFonts w:ascii="黑体" w:eastAsia="黑体" w:hint="eastAsia"/>
          <w:color w:val="000000"/>
          <w:sz w:val="22"/>
          <w:szCs w:val="22"/>
        </w:rPr>
        <w:t>年</w:t>
      </w:r>
      <w:r w:rsidR="000B4EBC">
        <w:rPr>
          <w:rFonts w:ascii="黑体" w:eastAsia="黑体" w:hint="eastAsia"/>
          <w:color w:val="000000"/>
          <w:sz w:val="22"/>
          <w:szCs w:val="22"/>
        </w:rPr>
        <w:t>12</w:t>
      </w:r>
      <w:r w:rsidRPr="00F54F5B">
        <w:rPr>
          <w:rFonts w:ascii="黑体" w:eastAsia="黑体" w:hint="eastAsia"/>
          <w:color w:val="000000"/>
          <w:sz w:val="22"/>
          <w:szCs w:val="22"/>
        </w:rPr>
        <w:t>月</w:t>
      </w:r>
      <w:r w:rsidR="0061615E">
        <w:rPr>
          <w:rFonts w:ascii="黑体" w:eastAsia="黑体"/>
          <w:color w:val="000000"/>
          <w:sz w:val="22"/>
          <w:szCs w:val="22"/>
        </w:rPr>
        <w:t>28</w:t>
      </w:r>
      <w:r w:rsidRPr="00F54F5B">
        <w:rPr>
          <w:rFonts w:ascii="黑体" w:eastAsia="黑体" w:hint="eastAsia"/>
          <w:color w:val="000000"/>
          <w:sz w:val="22"/>
          <w:szCs w:val="22"/>
        </w:rPr>
        <w:t>日起对公司旗下基金（ETF基金除外）持有的</w:t>
      </w:r>
      <w:r>
        <w:rPr>
          <w:rFonts w:ascii="黑体" w:eastAsia="黑体" w:hint="eastAsia"/>
          <w:color w:val="000000"/>
          <w:sz w:val="22"/>
          <w:szCs w:val="22"/>
        </w:rPr>
        <w:t>“</w:t>
      </w:r>
      <w:r w:rsidR="0061615E" w:rsidRPr="0061615E">
        <w:rPr>
          <w:rFonts w:ascii="黑体" w:eastAsia="黑体" w:hint="eastAsia"/>
          <w:color w:val="000000"/>
          <w:sz w:val="22"/>
          <w:szCs w:val="22"/>
        </w:rPr>
        <w:t>星美控股</w:t>
      </w:r>
      <w:r>
        <w:rPr>
          <w:rFonts w:ascii="黑体" w:eastAsia="黑体" w:hint="eastAsia"/>
          <w:color w:val="000000"/>
          <w:sz w:val="22"/>
          <w:szCs w:val="22"/>
        </w:rPr>
        <w:t>”</w:t>
      </w:r>
      <w:r w:rsidRPr="00F54F5B">
        <w:rPr>
          <w:rFonts w:ascii="黑体" w:eastAsia="黑体" w:hint="eastAsia"/>
          <w:color w:val="000000"/>
          <w:sz w:val="22"/>
          <w:szCs w:val="22"/>
        </w:rPr>
        <w:t>（股票代码：</w:t>
      </w:r>
      <w:r w:rsidR="0061615E" w:rsidRPr="0061615E">
        <w:rPr>
          <w:rFonts w:ascii="黑体" w:eastAsia="黑体"/>
          <w:color w:val="000000"/>
          <w:sz w:val="22"/>
          <w:szCs w:val="22"/>
        </w:rPr>
        <w:t>00198</w:t>
      </w:r>
      <w:r w:rsidRPr="00F54F5B">
        <w:rPr>
          <w:rFonts w:ascii="黑体" w:eastAsia="黑体" w:hint="eastAsia"/>
          <w:color w:val="000000"/>
          <w:sz w:val="22"/>
          <w:szCs w:val="22"/>
        </w:rPr>
        <w:t>）进行估值调整，调整后的估值价格为</w:t>
      </w:r>
      <w:r w:rsidR="000B4EBC">
        <w:rPr>
          <w:rFonts w:ascii="黑体" w:eastAsia="黑体"/>
          <w:color w:val="000000"/>
          <w:sz w:val="22"/>
          <w:szCs w:val="22"/>
        </w:rPr>
        <w:t>0.00</w:t>
      </w:r>
      <w:r w:rsidR="000B4EBC">
        <w:rPr>
          <w:rFonts w:ascii="黑体" w:eastAsia="黑体" w:hint="eastAsia"/>
          <w:color w:val="000000"/>
          <w:sz w:val="22"/>
          <w:szCs w:val="22"/>
        </w:rPr>
        <w:t>港</w:t>
      </w:r>
      <w:r w:rsidR="00392E8C" w:rsidRPr="00392E8C">
        <w:rPr>
          <w:rFonts w:ascii="黑体" w:eastAsia="黑体" w:hint="eastAsia"/>
          <w:color w:val="000000"/>
          <w:sz w:val="22"/>
          <w:szCs w:val="22"/>
        </w:rPr>
        <w:t>元/股</w:t>
      </w:r>
      <w:r w:rsidRPr="00F54F5B">
        <w:rPr>
          <w:rFonts w:ascii="黑体" w:eastAsia="黑体" w:hint="eastAsia"/>
          <w:color w:val="000000"/>
          <w:sz w:val="22"/>
          <w:szCs w:val="22"/>
        </w:rPr>
        <w:t>。</w:t>
      </w:r>
    </w:p>
    <w:p w:rsidR="00C11DDB" w:rsidRDefault="00C11DDB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C11DDB">
        <w:rPr>
          <w:rFonts w:ascii="黑体" w:eastAsia="黑体" w:hint="eastAsia"/>
          <w:color w:val="000000"/>
          <w:sz w:val="22"/>
          <w:szCs w:val="22"/>
        </w:rPr>
        <w:t>本公司将密切关注"</w:t>
      </w:r>
      <w:r w:rsidR="0061615E" w:rsidRPr="0061615E">
        <w:rPr>
          <w:rFonts w:ascii="黑体" w:eastAsia="黑体" w:hint="eastAsia"/>
          <w:color w:val="000000"/>
          <w:sz w:val="22"/>
          <w:szCs w:val="22"/>
        </w:rPr>
        <w:t>星美控股</w:t>
      </w:r>
      <w:r w:rsidRPr="00C11DDB">
        <w:rPr>
          <w:rFonts w:ascii="黑体" w:eastAsia="黑体" w:hint="eastAsia"/>
          <w:color w:val="000000"/>
          <w:sz w:val="22"/>
          <w:szCs w:val="22"/>
        </w:rPr>
        <w:t>"后续经营情况及其他重大事项，进行合理评估，并与基金托管人协商，必要时进一步确定其估值价格。敬请投资者予以关注。</w:t>
      </w:r>
    </w:p>
    <w:p w:rsidR="00D03A9C" w:rsidRPr="00F54F5B" w:rsidRDefault="00D03A9C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F54F5B">
        <w:rPr>
          <w:rFonts w:ascii="黑体" w:eastAsia="黑体" w:hint="eastAsia"/>
          <w:color w:val="000000"/>
          <w:sz w:val="22"/>
          <w:szCs w:val="22"/>
        </w:rPr>
        <w:t>风险提示：本公司承诺以诚实信用、勤勉尽责的原则管理和运用基金资产，但不保证基金一定盈利，也不保证最低收益。敬请投资人注意投资风险。</w:t>
      </w:r>
    </w:p>
    <w:p w:rsidR="00D03A9C" w:rsidRPr="00F54F5B" w:rsidRDefault="00D03A9C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F54F5B">
        <w:rPr>
          <w:rFonts w:ascii="黑体" w:eastAsia="黑体" w:hint="eastAsia"/>
          <w:color w:val="000000"/>
          <w:sz w:val="22"/>
          <w:szCs w:val="22"/>
        </w:rPr>
        <w:t>  </w:t>
      </w:r>
      <w:r w:rsidRPr="00F54F5B">
        <w:rPr>
          <w:rFonts w:ascii="黑体" w:eastAsia="黑体" w:hint="eastAsia"/>
          <w:color w:val="000000"/>
          <w:sz w:val="22"/>
          <w:szCs w:val="22"/>
        </w:rPr>
        <w:t>特此公告</w:t>
      </w:r>
    </w:p>
    <w:p w:rsidR="00D03A9C" w:rsidRPr="00F54F5B" w:rsidRDefault="00D03A9C" w:rsidP="00D03A9C">
      <w:pPr>
        <w:pStyle w:val="a3"/>
        <w:spacing w:line="408" w:lineRule="auto"/>
        <w:jc w:val="right"/>
        <w:rPr>
          <w:rFonts w:ascii="黑体" w:eastAsia="黑体"/>
          <w:color w:val="000000"/>
          <w:sz w:val="22"/>
          <w:szCs w:val="22"/>
        </w:rPr>
      </w:pPr>
      <w:r w:rsidRPr="00F54F5B">
        <w:rPr>
          <w:rFonts w:ascii="黑体" w:eastAsia="黑体" w:hint="eastAsia"/>
          <w:color w:val="000000"/>
          <w:sz w:val="22"/>
          <w:szCs w:val="22"/>
        </w:rPr>
        <w:t>  </w:t>
      </w:r>
      <w:r w:rsidRPr="00F54F5B">
        <w:rPr>
          <w:rFonts w:ascii="黑体" w:eastAsia="黑体" w:hint="eastAsia"/>
          <w:color w:val="000000"/>
          <w:sz w:val="22"/>
          <w:szCs w:val="22"/>
        </w:rPr>
        <w:t>鹏华基金管理有限公司</w:t>
      </w:r>
    </w:p>
    <w:p w:rsidR="00D03A9C" w:rsidRPr="005A13F9" w:rsidRDefault="00D03A9C" w:rsidP="00D03A9C">
      <w:pPr>
        <w:jc w:val="right"/>
        <w:rPr>
          <w:rFonts w:ascii="黑体" w:eastAsia="黑体"/>
          <w:sz w:val="22"/>
        </w:rPr>
      </w:pPr>
      <w:r w:rsidRPr="00F54F5B">
        <w:rPr>
          <w:rFonts w:ascii="黑体" w:eastAsia="黑体" w:hint="eastAsia"/>
          <w:color w:val="000000"/>
          <w:sz w:val="22"/>
        </w:rPr>
        <w:t>  </w:t>
      </w:r>
      <w:r w:rsidR="0061615E">
        <w:rPr>
          <w:rFonts w:ascii="黑体" w:eastAsia="黑体" w:hint="eastAsia"/>
          <w:color w:val="000000"/>
          <w:sz w:val="22"/>
        </w:rPr>
        <w:t>二○二○年十二月二十九</w:t>
      </w:r>
      <w:bookmarkStart w:id="0" w:name="_GoBack"/>
      <w:bookmarkEnd w:id="0"/>
      <w:r w:rsidR="0061615E" w:rsidRPr="0061615E">
        <w:rPr>
          <w:rFonts w:ascii="黑体" w:eastAsia="黑体" w:hint="eastAsia"/>
          <w:color w:val="000000"/>
          <w:sz w:val="22"/>
        </w:rPr>
        <w:t>日</w:t>
      </w:r>
    </w:p>
    <w:p w:rsidR="00D4097F" w:rsidRDefault="00364BBE"/>
    <w:sectPr w:rsidR="00D4097F" w:rsidSect="00FB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C5" w:rsidRDefault="00CA32C5" w:rsidP="00F36754">
      <w:r>
        <w:separator/>
      </w:r>
    </w:p>
  </w:endnote>
  <w:endnote w:type="continuationSeparator" w:id="0">
    <w:p w:rsidR="00CA32C5" w:rsidRDefault="00CA32C5" w:rsidP="00F3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C5" w:rsidRDefault="00CA32C5" w:rsidP="00F36754">
      <w:r>
        <w:separator/>
      </w:r>
    </w:p>
  </w:footnote>
  <w:footnote w:type="continuationSeparator" w:id="0">
    <w:p w:rsidR="00CA32C5" w:rsidRDefault="00CA32C5" w:rsidP="00F3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9C"/>
    <w:rsid w:val="000324AE"/>
    <w:rsid w:val="00045AEC"/>
    <w:rsid w:val="00046671"/>
    <w:rsid w:val="00082A0F"/>
    <w:rsid w:val="000B4EBC"/>
    <w:rsid w:val="00160C2C"/>
    <w:rsid w:val="002015FE"/>
    <w:rsid w:val="003003DB"/>
    <w:rsid w:val="003108D5"/>
    <w:rsid w:val="00364BBE"/>
    <w:rsid w:val="00372F94"/>
    <w:rsid w:val="00392E8C"/>
    <w:rsid w:val="003A1F76"/>
    <w:rsid w:val="003A3DCA"/>
    <w:rsid w:val="003B137E"/>
    <w:rsid w:val="00413DBE"/>
    <w:rsid w:val="004470C1"/>
    <w:rsid w:val="0048106C"/>
    <w:rsid w:val="004A7993"/>
    <w:rsid w:val="004D1D82"/>
    <w:rsid w:val="004F2277"/>
    <w:rsid w:val="00514FFA"/>
    <w:rsid w:val="00571069"/>
    <w:rsid w:val="006149A8"/>
    <w:rsid w:val="0061615E"/>
    <w:rsid w:val="00682BAA"/>
    <w:rsid w:val="006D0283"/>
    <w:rsid w:val="00711A8E"/>
    <w:rsid w:val="007540B7"/>
    <w:rsid w:val="00777759"/>
    <w:rsid w:val="007A40FA"/>
    <w:rsid w:val="007C4765"/>
    <w:rsid w:val="007D2E70"/>
    <w:rsid w:val="00852CD3"/>
    <w:rsid w:val="008D58DC"/>
    <w:rsid w:val="008D670D"/>
    <w:rsid w:val="008F6B9C"/>
    <w:rsid w:val="00945B2F"/>
    <w:rsid w:val="00951D1A"/>
    <w:rsid w:val="00986E19"/>
    <w:rsid w:val="009C32AB"/>
    <w:rsid w:val="009E183E"/>
    <w:rsid w:val="00A3252E"/>
    <w:rsid w:val="00AC585A"/>
    <w:rsid w:val="00B23DB2"/>
    <w:rsid w:val="00B31D49"/>
    <w:rsid w:val="00B41B3D"/>
    <w:rsid w:val="00C11DDB"/>
    <w:rsid w:val="00C33DB2"/>
    <w:rsid w:val="00C52AC8"/>
    <w:rsid w:val="00C72BBC"/>
    <w:rsid w:val="00C9580B"/>
    <w:rsid w:val="00CA32C5"/>
    <w:rsid w:val="00CB1328"/>
    <w:rsid w:val="00D03A9C"/>
    <w:rsid w:val="00D73294"/>
    <w:rsid w:val="00EB5015"/>
    <w:rsid w:val="00F36754"/>
    <w:rsid w:val="00F379CE"/>
    <w:rsid w:val="00F5471D"/>
    <w:rsid w:val="00FB5A11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7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75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3D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13D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13DB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13D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13DB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13D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13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朱海燕</dc:creator>
  <cp:keywords/>
  <dc:description/>
  <cp:lastModifiedBy>ZHONGM</cp:lastModifiedBy>
  <cp:revision>2</cp:revision>
  <dcterms:created xsi:type="dcterms:W3CDTF">2020-12-28T16:36:00Z</dcterms:created>
  <dcterms:modified xsi:type="dcterms:W3CDTF">2020-12-28T16:36:00Z</dcterms:modified>
</cp:coreProperties>
</file>