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FF" w:rsidRDefault="005330FF">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AA72FE">
          <w:rPr>
            <w:rFonts w:ascii="宋体" w:hAnsi="宋体" w:hint="eastAsia"/>
            <w:b/>
            <w:color w:val="333333"/>
            <w:spacing w:val="33"/>
            <w:kern w:val="0"/>
            <w:sz w:val="24"/>
            <w:szCs w:val="24"/>
          </w:rPr>
          <w:t>南方基金</w:t>
        </w:r>
      </w:hyperlink>
      <w:r w:rsidR="00AA72FE">
        <w:rPr>
          <w:rFonts w:ascii="宋体" w:hAnsi="宋体" w:hint="eastAsia"/>
          <w:b/>
          <w:color w:val="333333"/>
          <w:spacing w:val="33"/>
          <w:kern w:val="0"/>
          <w:sz w:val="24"/>
          <w:szCs w:val="24"/>
        </w:rPr>
        <w:t>关于旗下部分基金增加</w:t>
      </w:r>
    </w:p>
    <w:p w:rsidR="005330FF" w:rsidRDefault="00AA72FE">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中国人寿为销售机构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5330FF" w:rsidRDefault="005330FF">
      <w:pPr>
        <w:spacing w:line="360" w:lineRule="auto"/>
        <w:ind w:firstLineChars="250" w:firstLine="525"/>
        <w:rPr>
          <w:rFonts w:ascii="宋体" w:hAnsi="宋体"/>
          <w:szCs w:val="21"/>
        </w:rPr>
      </w:pPr>
    </w:p>
    <w:p w:rsidR="005330FF" w:rsidRDefault="00AA72FE">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rPr>
            <w:rFonts w:ascii="宋体" w:hAnsi="宋体" w:hint="eastAsia"/>
            <w:szCs w:val="21"/>
          </w:rPr>
          <w:t>南方基金</w:t>
        </w:r>
      </w:hyperlink>
      <w:r>
        <w:rPr>
          <w:rFonts w:ascii="宋体" w:hAnsi="宋体" w:hint="eastAsia"/>
          <w:szCs w:val="21"/>
        </w:rPr>
        <w:t>管理股份有限公司（简称“本公司”）与中国人寿保险股份有限公司</w:t>
      </w:r>
      <w:r>
        <w:rPr>
          <w:rFonts w:hint="eastAsia"/>
        </w:rPr>
        <w:t>（简称“中国人寿”）签署的销售合作协议，中国人寿将</w:t>
      </w:r>
      <w:bookmarkStart w:id="0" w:name="_GoBack"/>
      <w:bookmarkEnd w:id="0"/>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28</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5330FF" w:rsidRDefault="00AA72FE">
      <w:pPr>
        <w:numPr>
          <w:ilvl w:val="0"/>
          <w:numId w:val="1"/>
        </w:numPr>
        <w:spacing w:line="360" w:lineRule="auto"/>
        <w:rPr>
          <w:rFonts w:ascii="宋体" w:hAnsi="宋体"/>
          <w:b/>
          <w:szCs w:val="21"/>
        </w:rPr>
      </w:pPr>
      <w:r>
        <w:rPr>
          <w:rFonts w:ascii="宋体" w:hAnsi="宋体" w:hint="eastAsia"/>
          <w:b/>
          <w:szCs w:val="21"/>
        </w:rPr>
        <w:t>适用基金及业务范围</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115"/>
        <w:gridCol w:w="1089"/>
        <w:gridCol w:w="4380"/>
        <w:gridCol w:w="954"/>
        <w:gridCol w:w="1087"/>
      </w:tblGrid>
      <w:tr w:rsidR="005330FF">
        <w:trPr>
          <w:trHeight w:val="315"/>
        </w:trPr>
        <w:tc>
          <w:tcPr>
            <w:tcW w:w="534"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115"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1089"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4380"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954"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1087" w:type="dxa"/>
          </w:tcPr>
          <w:p w:rsidR="005330FF" w:rsidRDefault="00AA72FE">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1</w:t>
            </w:r>
          </w:p>
        </w:tc>
        <w:tc>
          <w:tcPr>
            <w:tcW w:w="1115" w:type="dxa"/>
            <w:noWrap/>
          </w:tcPr>
          <w:p w:rsidR="005330FF" w:rsidRDefault="00AA72FE">
            <w:pPr>
              <w:widowControl/>
              <w:jc w:val="center"/>
              <w:rPr>
                <w:rFonts w:ascii="宋体" w:hAnsi="宋体" w:cs="宋体"/>
                <w:kern w:val="0"/>
                <w:sz w:val="18"/>
                <w:szCs w:val="18"/>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001691</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南方香港成长灵活配置混合型证券投资基金</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2</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008056</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南方上证</w:t>
            </w:r>
            <w:r>
              <w:rPr>
                <w:rFonts w:ascii="Helvetica" w:eastAsia="Helvetica" w:hAnsi="Helvetica" w:cs="Helvetica"/>
                <w:color w:val="333333"/>
                <w:sz w:val="18"/>
                <w:szCs w:val="18"/>
                <w:shd w:val="clear" w:color="auto" w:fill="FFFFFF"/>
                <w:lang/>
              </w:rPr>
              <w:t>50</w:t>
            </w:r>
            <w:r>
              <w:rPr>
                <w:rFonts w:ascii="Helvetica" w:eastAsia="Helvetica" w:hAnsi="Helvetica" w:cs="Helvetica"/>
                <w:color w:val="333333"/>
                <w:sz w:val="18"/>
                <w:szCs w:val="18"/>
                <w:shd w:val="clear" w:color="auto" w:fill="FFFFFF"/>
                <w:lang/>
              </w:rPr>
              <w:t>指数增强型发起式证券投资基金</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3</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008057</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南方上证</w:t>
            </w:r>
            <w:r>
              <w:rPr>
                <w:rFonts w:ascii="Helvetica" w:eastAsia="Helvetica" w:hAnsi="Helvetica" w:cs="Helvetica"/>
                <w:color w:val="333333"/>
                <w:sz w:val="18"/>
                <w:szCs w:val="18"/>
                <w:shd w:val="clear" w:color="auto" w:fill="FFFFFF"/>
                <w:lang/>
              </w:rPr>
              <w:t>50</w:t>
            </w:r>
            <w:r>
              <w:rPr>
                <w:rFonts w:ascii="Helvetica" w:eastAsia="Helvetica" w:hAnsi="Helvetica" w:cs="Helvetica"/>
                <w:color w:val="333333"/>
                <w:sz w:val="18"/>
                <w:szCs w:val="18"/>
                <w:shd w:val="clear" w:color="auto" w:fill="FFFFFF"/>
                <w:lang/>
              </w:rPr>
              <w:t>指数增强型发起式证券投资基金</w:t>
            </w:r>
            <w:r>
              <w:rPr>
                <w:rFonts w:ascii="Helvetica" w:eastAsia="Helvetica" w:hAnsi="Helvetica" w:cs="Helvetica"/>
                <w:color w:val="333333"/>
                <w:sz w:val="18"/>
                <w:szCs w:val="18"/>
                <w:shd w:val="clear" w:color="auto" w:fill="FFFFFF"/>
                <w:lang/>
              </w:rPr>
              <w:t>C</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4</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008163</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南方标普中国</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股大盘红利低波</w:t>
            </w:r>
            <w:r>
              <w:rPr>
                <w:rFonts w:ascii="Helvetica" w:eastAsia="Helvetica" w:hAnsi="Helvetica" w:cs="Helvetica"/>
                <w:color w:val="333333"/>
                <w:sz w:val="18"/>
                <w:szCs w:val="18"/>
                <w:shd w:val="clear" w:color="auto" w:fill="FFFFFF"/>
                <w:lang/>
              </w:rPr>
              <w:t>50</w:t>
            </w:r>
            <w:r>
              <w:rPr>
                <w:rFonts w:ascii="Helvetica" w:eastAsia="Helvetica" w:hAnsi="Helvetica" w:cs="Helvetica"/>
                <w:color w:val="333333"/>
                <w:sz w:val="18"/>
                <w:szCs w:val="18"/>
                <w:shd w:val="clear" w:color="auto" w:fill="FFFFFF"/>
                <w:lang/>
              </w:rPr>
              <w:t>交易型开放式指数证券投资基金联接基金</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5</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008164</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南方标普中国</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股大盘红利低波</w:t>
            </w:r>
            <w:r>
              <w:rPr>
                <w:rFonts w:ascii="Helvetica" w:eastAsia="Helvetica" w:hAnsi="Helvetica" w:cs="Helvetica"/>
                <w:color w:val="333333"/>
                <w:sz w:val="18"/>
                <w:szCs w:val="18"/>
                <w:shd w:val="clear" w:color="auto" w:fill="FFFFFF"/>
                <w:lang/>
              </w:rPr>
              <w:t>50</w:t>
            </w:r>
            <w:r>
              <w:rPr>
                <w:rFonts w:ascii="Helvetica" w:eastAsia="Helvetica" w:hAnsi="Helvetica" w:cs="Helvetica"/>
                <w:color w:val="333333"/>
                <w:sz w:val="18"/>
                <w:szCs w:val="18"/>
                <w:shd w:val="clear" w:color="auto" w:fill="FFFFFF"/>
                <w:lang/>
              </w:rPr>
              <w:t>交易型开放式指数证券投资基金联接基金</w:t>
            </w:r>
            <w:r>
              <w:rPr>
                <w:rFonts w:ascii="Helvetica" w:eastAsia="Helvetica" w:hAnsi="Helvetica" w:cs="Helvetica"/>
                <w:color w:val="333333"/>
                <w:sz w:val="18"/>
                <w:szCs w:val="18"/>
                <w:shd w:val="clear" w:color="auto" w:fill="FFFFFF"/>
                <w:lang/>
              </w:rPr>
              <w:t>C</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6</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009059</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南方沪深</w:t>
            </w:r>
            <w:r>
              <w:rPr>
                <w:rFonts w:ascii="Helvetica" w:eastAsia="Helvetica" w:hAnsi="Helvetica" w:cs="Helvetica"/>
                <w:color w:val="333333"/>
                <w:sz w:val="18"/>
                <w:szCs w:val="18"/>
                <w:shd w:val="clear" w:color="auto" w:fill="FFFFFF"/>
                <w:lang/>
              </w:rPr>
              <w:t>300</w:t>
            </w:r>
            <w:r>
              <w:rPr>
                <w:rFonts w:ascii="Helvetica" w:eastAsia="Helvetica" w:hAnsi="Helvetica" w:cs="Helvetica"/>
                <w:color w:val="333333"/>
                <w:sz w:val="18"/>
                <w:szCs w:val="18"/>
                <w:shd w:val="clear" w:color="auto" w:fill="FFFFFF"/>
                <w:lang/>
              </w:rPr>
              <w:t>指数增强型证券投资基金</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7</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009060</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南方沪深</w:t>
            </w:r>
            <w:r>
              <w:rPr>
                <w:rFonts w:ascii="Helvetica" w:eastAsia="Helvetica" w:hAnsi="Helvetica" w:cs="Helvetica"/>
                <w:color w:val="333333"/>
                <w:sz w:val="18"/>
                <w:szCs w:val="18"/>
                <w:shd w:val="clear" w:color="auto" w:fill="FFFFFF"/>
                <w:lang/>
              </w:rPr>
              <w:t>300</w:t>
            </w:r>
            <w:r>
              <w:rPr>
                <w:rFonts w:ascii="Helvetica" w:eastAsia="Helvetica" w:hAnsi="Helvetica" w:cs="Helvetica"/>
                <w:color w:val="333333"/>
                <w:sz w:val="18"/>
                <w:szCs w:val="18"/>
                <w:shd w:val="clear" w:color="auto" w:fill="FFFFFF"/>
                <w:lang/>
              </w:rPr>
              <w:t>指数增强型证券投资基金</w:t>
            </w:r>
            <w:r>
              <w:rPr>
                <w:rFonts w:ascii="Helvetica" w:eastAsia="Helvetica" w:hAnsi="Helvetica" w:cs="Helvetica"/>
                <w:color w:val="333333"/>
                <w:sz w:val="18"/>
                <w:szCs w:val="18"/>
                <w:shd w:val="clear" w:color="auto" w:fill="FFFFFF"/>
                <w:lang/>
              </w:rPr>
              <w:t>C</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8</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160105</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南方积极配置混合型证券投资基金</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9</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160106</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南方高增长混合型证券投资基金（前端）</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10</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160119</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南方中证</w:t>
            </w:r>
            <w:r>
              <w:rPr>
                <w:rFonts w:ascii="Helvetica" w:eastAsia="Helvetica" w:hAnsi="Helvetica" w:cs="Helvetica"/>
                <w:color w:val="333333"/>
                <w:sz w:val="18"/>
                <w:szCs w:val="18"/>
                <w:shd w:val="clear" w:color="auto" w:fill="FFFFFF"/>
                <w:lang/>
              </w:rPr>
              <w:t>500</w:t>
            </w:r>
            <w:r>
              <w:rPr>
                <w:rFonts w:ascii="Helvetica" w:eastAsia="Helvetica" w:hAnsi="Helvetica" w:cs="Helvetica"/>
                <w:color w:val="333333"/>
                <w:sz w:val="18"/>
                <w:szCs w:val="18"/>
                <w:shd w:val="clear" w:color="auto" w:fill="FFFFFF"/>
                <w:lang/>
              </w:rPr>
              <w:t>交易型开放式指数证券投资基金联接基金（</w:t>
            </w:r>
            <w:r>
              <w:rPr>
                <w:rFonts w:ascii="Helvetica" w:eastAsia="Helvetica" w:hAnsi="Helvetica" w:cs="Helvetica"/>
                <w:color w:val="333333"/>
                <w:sz w:val="18"/>
                <w:szCs w:val="18"/>
                <w:shd w:val="clear" w:color="auto" w:fill="FFFFFF"/>
                <w:lang/>
              </w:rPr>
              <w:t>LOF</w:t>
            </w:r>
            <w:r>
              <w:rPr>
                <w:rFonts w:ascii="Helvetica" w:eastAsia="Helvetica" w:hAnsi="Helvetica" w:cs="Helvetica"/>
                <w:color w:val="333333"/>
                <w:sz w:val="18"/>
                <w:szCs w:val="18"/>
                <w:shd w:val="clear" w:color="auto" w:fill="FFFFFF"/>
                <w:lang/>
              </w:rPr>
              <w:t>）</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类（前端）</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11</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160127</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南方新兴消费增长股票型证券投资基金（</w:t>
            </w:r>
            <w:r>
              <w:rPr>
                <w:rFonts w:ascii="Helvetica" w:eastAsia="Helvetica" w:hAnsi="Helvetica" w:cs="Helvetica"/>
                <w:color w:val="333333"/>
                <w:sz w:val="18"/>
                <w:szCs w:val="18"/>
                <w:shd w:val="clear" w:color="auto" w:fill="FFFFFF"/>
                <w:lang/>
              </w:rPr>
              <w:t>LOF</w:t>
            </w:r>
            <w:r>
              <w:rPr>
                <w:rFonts w:ascii="Helvetica" w:eastAsia="Helvetica" w:hAnsi="Helvetica" w:cs="Helvetica"/>
                <w:color w:val="333333"/>
                <w:sz w:val="18"/>
                <w:szCs w:val="18"/>
                <w:shd w:val="clear" w:color="auto" w:fill="FFFFFF"/>
                <w:lang/>
              </w:rPr>
              <w:t>）</w:t>
            </w:r>
            <w:r>
              <w:rPr>
                <w:rFonts w:ascii="Helvetica" w:eastAsia="Helvetica" w:hAnsi="Helvetica" w:cs="Helvetica"/>
                <w:color w:val="333333"/>
                <w:sz w:val="18"/>
                <w:szCs w:val="18"/>
                <w:shd w:val="clear" w:color="auto" w:fill="FFFFFF"/>
                <w:lang/>
              </w:rPr>
              <w:t>A</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12</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160133</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南方天元新产业股票型证券投资基金</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r w:rsidR="005330FF">
        <w:trPr>
          <w:trHeight w:val="345"/>
        </w:trPr>
        <w:tc>
          <w:tcPr>
            <w:tcW w:w="534" w:type="dxa"/>
            <w:noWrap/>
          </w:tcPr>
          <w:p w:rsidR="005330FF" w:rsidRDefault="00AA72FE">
            <w:pPr>
              <w:widowControl/>
              <w:jc w:val="center"/>
              <w:rPr>
                <w:rFonts w:ascii="宋体" w:hAnsi="宋体" w:cs="宋体"/>
                <w:kern w:val="0"/>
                <w:sz w:val="18"/>
                <w:szCs w:val="18"/>
              </w:rPr>
            </w:pPr>
            <w:r>
              <w:rPr>
                <w:rFonts w:ascii="宋体" w:hAnsi="宋体" w:cs="宋体" w:hint="eastAsia"/>
                <w:kern w:val="0"/>
                <w:sz w:val="18"/>
                <w:szCs w:val="18"/>
              </w:rPr>
              <w:t>13</w:t>
            </w:r>
          </w:p>
        </w:tc>
        <w:tc>
          <w:tcPr>
            <w:tcW w:w="1115" w:type="dxa"/>
            <w:noWrap/>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rPr>
              <w:t>中国人寿</w:t>
            </w:r>
          </w:p>
        </w:tc>
        <w:tc>
          <w:tcPr>
            <w:tcW w:w="1089"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160144</w:t>
            </w:r>
          </w:p>
        </w:tc>
        <w:tc>
          <w:tcPr>
            <w:tcW w:w="4380"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南方新兴消费增长股票型证券投资基金（</w:t>
            </w:r>
            <w:r>
              <w:rPr>
                <w:rFonts w:ascii="Helvetica" w:eastAsia="Helvetica" w:hAnsi="Helvetica" w:cs="Helvetica"/>
                <w:color w:val="333333"/>
                <w:sz w:val="18"/>
                <w:szCs w:val="18"/>
                <w:shd w:val="clear" w:color="auto" w:fill="FFFFFF"/>
                <w:lang/>
              </w:rPr>
              <w:t>LOF</w:t>
            </w:r>
            <w:r>
              <w:rPr>
                <w:rFonts w:ascii="Helvetica" w:eastAsia="Helvetica" w:hAnsi="Helvetica" w:cs="Helvetica"/>
                <w:color w:val="333333"/>
                <w:sz w:val="18"/>
                <w:szCs w:val="18"/>
                <w:shd w:val="clear" w:color="auto" w:fill="FFFFFF"/>
                <w:lang/>
              </w:rPr>
              <w:t>）</w:t>
            </w:r>
            <w:r>
              <w:rPr>
                <w:rFonts w:ascii="Helvetica" w:eastAsia="Helvetica" w:hAnsi="Helvetica" w:cs="Helvetica"/>
                <w:color w:val="333333"/>
                <w:sz w:val="18"/>
                <w:szCs w:val="18"/>
                <w:shd w:val="clear" w:color="auto" w:fill="FFFFFF"/>
                <w:lang/>
              </w:rPr>
              <w:t>C</w:t>
            </w:r>
            <w:r>
              <w:rPr>
                <w:rFonts w:ascii="Helvetica" w:eastAsia="Helvetica" w:hAnsi="Helvetica" w:cs="Helvetica"/>
                <w:color w:val="333333"/>
                <w:sz w:val="18"/>
                <w:szCs w:val="18"/>
                <w:shd w:val="clear" w:color="auto" w:fill="FFFFFF"/>
                <w:lang/>
              </w:rPr>
              <w:t>类</w:t>
            </w:r>
          </w:p>
        </w:tc>
        <w:tc>
          <w:tcPr>
            <w:tcW w:w="954"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开通</w:t>
            </w:r>
          </w:p>
        </w:tc>
        <w:tc>
          <w:tcPr>
            <w:tcW w:w="1087" w:type="dxa"/>
            <w:vAlign w:val="bottom"/>
          </w:tcPr>
          <w:p w:rsidR="005330FF" w:rsidRDefault="00AA72FE">
            <w:pPr>
              <w:widowControl/>
              <w:jc w:val="center"/>
              <w:rPr>
                <w:rFonts w:ascii="Helvetica" w:eastAsia="Helvetica" w:hAnsi="Helvetica" w:cs="Helvetica"/>
                <w:color w:val="333333"/>
                <w:sz w:val="18"/>
                <w:szCs w:val="18"/>
                <w:shd w:val="clear" w:color="auto" w:fill="FFFFFF"/>
              </w:rPr>
            </w:pPr>
            <w:r>
              <w:rPr>
                <w:rFonts w:ascii="Helvetica" w:eastAsia="Helvetica" w:hAnsi="Helvetica" w:cs="Helvetica"/>
                <w:color w:val="333333"/>
                <w:sz w:val="18"/>
                <w:szCs w:val="18"/>
                <w:shd w:val="clear" w:color="auto" w:fill="FFFFFF"/>
                <w:lang/>
              </w:rPr>
              <w:t>不开通</w:t>
            </w:r>
          </w:p>
        </w:tc>
      </w:tr>
    </w:tbl>
    <w:p w:rsidR="005330FF" w:rsidRDefault="00AA72FE">
      <w:pPr>
        <w:widowControl/>
        <w:spacing w:line="405" w:lineRule="atLeast"/>
        <w:ind w:firstLineChars="200" w:firstLine="420"/>
        <w:jc w:val="left"/>
        <w:rPr>
          <w:rFonts w:ascii="宋体" w:hAnsi="宋体"/>
          <w:szCs w:val="21"/>
        </w:rPr>
      </w:pPr>
      <w:r>
        <w:rPr>
          <w:rFonts w:ascii="宋体" w:hAnsi="宋体" w:hint="eastAsia"/>
          <w:szCs w:val="21"/>
        </w:rPr>
        <w:t>从</w:t>
      </w: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28</w:t>
      </w:r>
      <w:r>
        <w:rPr>
          <w:rFonts w:ascii="宋体" w:hAnsi="宋体" w:hint="eastAsia"/>
          <w:szCs w:val="21"/>
        </w:rPr>
        <w:t>日</w:t>
      </w:r>
      <w:r>
        <w:rPr>
          <w:rFonts w:ascii="宋体" w:hAnsi="宋体" w:hint="eastAsia"/>
          <w:szCs w:val="21"/>
        </w:rPr>
        <w:t>起，投资人可通过</w:t>
      </w:r>
      <w:r>
        <w:rPr>
          <w:rFonts w:ascii="宋体" w:hAnsi="宋体" w:hint="eastAsia"/>
          <w:szCs w:val="21"/>
        </w:rPr>
        <w:t>中国人寿</w:t>
      </w:r>
      <w:r>
        <w:rPr>
          <w:rFonts w:ascii="宋体" w:hAnsi="宋体" w:hint="eastAsia"/>
          <w:szCs w:val="21"/>
        </w:rPr>
        <w:t>办理</w:t>
      </w:r>
      <w:r>
        <w:rPr>
          <w:rFonts w:hint="eastAsia"/>
          <w:szCs w:val="21"/>
        </w:rPr>
        <w:t>上述列表中对应</w:t>
      </w:r>
      <w:r>
        <w:rPr>
          <w:rFonts w:ascii="宋体" w:hAnsi="宋体" w:hint="eastAsia"/>
          <w:szCs w:val="21"/>
        </w:rPr>
        <w:t>基金的</w:t>
      </w:r>
      <w:r>
        <w:rPr>
          <w:rFonts w:ascii="宋体" w:hAnsi="宋体"/>
          <w:szCs w:val="21"/>
        </w:rPr>
        <w:t>开户、申购、赎回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5330FF" w:rsidRDefault="00AA72FE">
      <w:pPr>
        <w:spacing w:line="360" w:lineRule="auto"/>
        <w:ind w:firstLineChars="200" w:firstLine="420"/>
        <w:rPr>
          <w:rFonts w:ascii="宋体" w:hAnsi="宋体"/>
          <w:color w:val="000000" w:themeColor="text1"/>
          <w:szCs w:val="21"/>
        </w:rPr>
      </w:pPr>
      <w:r>
        <w:rPr>
          <w:rFonts w:ascii="宋体" w:hAnsi="宋体" w:hint="eastAsia"/>
          <w:szCs w:val="21"/>
        </w:rPr>
        <w:t>上述列表中的基金可参与费率优惠活动，</w:t>
      </w:r>
      <w:r>
        <w:rPr>
          <w:rFonts w:ascii="宋体" w:hAnsi="宋体" w:hint="eastAsia"/>
          <w:color w:val="000000" w:themeColor="text1"/>
          <w:szCs w:val="21"/>
        </w:rPr>
        <w:t>具体优惠规则以</w:t>
      </w:r>
      <w:r>
        <w:rPr>
          <w:rFonts w:ascii="宋体" w:hAnsi="宋体" w:hint="eastAsia"/>
          <w:color w:val="000000" w:themeColor="text1"/>
          <w:szCs w:val="21"/>
        </w:rPr>
        <w:t>中国人寿</w:t>
      </w:r>
      <w:r>
        <w:rPr>
          <w:rFonts w:ascii="宋体" w:hAnsi="宋体" w:hint="eastAsia"/>
          <w:color w:val="000000" w:themeColor="text1"/>
          <w:szCs w:val="21"/>
        </w:rPr>
        <w:t>的安排为准。</w:t>
      </w:r>
    </w:p>
    <w:p w:rsidR="005330FF" w:rsidRDefault="00AA72FE">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5330FF" w:rsidRDefault="00AA72FE">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有关规定详见对应基金的《基金合同》和《招募说明书》等相关法律文件及本公司发布的最新业务公告。</w:t>
      </w:r>
    </w:p>
    <w:p w:rsidR="005330FF" w:rsidRDefault="00AA72FE">
      <w:pPr>
        <w:numPr>
          <w:ilvl w:val="0"/>
          <w:numId w:val="2"/>
        </w:numPr>
        <w:spacing w:line="360" w:lineRule="auto"/>
        <w:ind w:left="0" w:firstLine="357"/>
        <w:rPr>
          <w:color w:val="000000"/>
          <w:szCs w:val="21"/>
        </w:rPr>
      </w:pPr>
      <w:r>
        <w:rPr>
          <w:rFonts w:hint="eastAsia"/>
          <w:color w:val="000000"/>
          <w:szCs w:val="21"/>
        </w:rPr>
        <w:t>投资人可与</w:t>
      </w:r>
      <w:r>
        <w:rPr>
          <w:rFonts w:ascii="宋体" w:hAnsi="宋体" w:hint="eastAsia"/>
          <w:szCs w:val="21"/>
        </w:rPr>
        <w:t>中国人寿</w:t>
      </w:r>
      <w:r>
        <w:rPr>
          <w:rFonts w:hint="eastAsia"/>
          <w:color w:val="000000"/>
          <w:szCs w:val="21"/>
        </w:rPr>
        <w:t>约定定投业务的每期固定投资金额。目前，</w:t>
      </w:r>
      <w:r>
        <w:rPr>
          <w:rFonts w:hint="eastAsia"/>
        </w:rPr>
        <w:t>中国人寿</w:t>
      </w:r>
      <w:r>
        <w:rPr>
          <w:rFonts w:ascii="宋体" w:hAnsi="宋体" w:hint="eastAsia"/>
          <w:szCs w:val="21"/>
        </w:rPr>
        <w:t>可</w:t>
      </w:r>
      <w:r>
        <w:rPr>
          <w:rFonts w:hint="eastAsia"/>
          <w:color w:val="000000"/>
          <w:szCs w:val="21"/>
        </w:rPr>
        <w:t>办理上述适用基金列表中开通定投业务的基金，具体的定投业务规则请参考</w:t>
      </w:r>
      <w:r>
        <w:rPr>
          <w:rFonts w:hint="eastAsia"/>
        </w:rPr>
        <w:t>中国人寿</w:t>
      </w:r>
      <w:r>
        <w:rPr>
          <w:rFonts w:hint="eastAsia"/>
          <w:color w:val="000000"/>
          <w:szCs w:val="21"/>
        </w:rPr>
        <w:t>的相关规定。</w:t>
      </w:r>
    </w:p>
    <w:p w:rsidR="005330FF" w:rsidRDefault="00AA72FE">
      <w:pPr>
        <w:numPr>
          <w:ilvl w:val="0"/>
          <w:numId w:val="2"/>
        </w:numPr>
        <w:spacing w:line="360" w:lineRule="auto"/>
        <w:ind w:left="0" w:firstLine="357"/>
        <w:rPr>
          <w:color w:val="000000"/>
          <w:szCs w:val="21"/>
        </w:rPr>
      </w:pPr>
      <w:r>
        <w:rPr>
          <w:color w:val="000000"/>
          <w:szCs w:val="21"/>
        </w:rPr>
        <w:t>基金转换是指投资人可将其通过销售机构购买并持有的本公司旗下某只开放式基</w:t>
      </w:r>
      <w:r>
        <w:rPr>
          <w:color w:val="000000"/>
          <w:szCs w:val="21"/>
        </w:rPr>
        <w:lastRenderedPageBreak/>
        <w:t>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w:t>
      </w:r>
      <w:r>
        <w:rPr>
          <w:color w:val="000000"/>
          <w:szCs w:val="21"/>
        </w:rPr>
        <w:t>于旗下基金在部分代销机构开展转换业务的公告》和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5330FF" w:rsidRDefault="00AA72FE">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5330FF" w:rsidRDefault="00AA72FE">
      <w:pPr>
        <w:pStyle w:val="Ac"/>
        <w:spacing w:line="360" w:lineRule="auto"/>
        <w:ind w:firstLineChars="200" w:firstLine="420"/>
        <w:rPr>
          <w:rFonts w:ascii="Times New Roman" w:eastAsia="宋体" w:hAnsi="Times New Roman" w:cs="Times New Roman" w:hint="default"/>
          <w:color w:val="auto"/>
          <w:szCs w:val="20"/>
        </w:rPr>
      </w:pPr>
      <w:r>
        <w:rPr>
          <w:rFonts w:ascii="Times New Roman" w:eastAsia="宋体" w:hAnsi="Times New Roman" w:cs="Times New Roman"/>
          <w:color w:val="auto"/>
          <w:szCs w:val="20"/>
        </w:rPr>
        <w:t>中国人寿</w:t>
      </w:r>
      <w:r>
        <w:rPr>
          <w:rFonts w:ascii="Times New Roman" w:eastAsia="宋体" w:hAnsi="Times New Roman" w:cs="Times New Roman"/>
          <w:color w:val="auto"/>
          <w:szCs w:val="20"/>
        </w:rPr>
        <w:t>客服电话：</w:t>
      </w:r>
      <w:r>
        <w:rPr>
          <w:rFonts w:ascii="Times New Roman" w:eastAsia="宋体" w:hAnsi="Times New Roman" w:cs="Times New Roman"/>
          <w:color w:val="auto"/>
          <w:szCs w:val="20"/>
        </w:rPr>
        <w:t>95519</w:t>
      </w:r>
    </w:p>
    <w:p w:rsidR="005330FF" w:rsidRDefault="00AA72FE">
      <w:pPr>
        <w:pStyle w:val="Ac"/>
        <w:spacing w:line="360" w:lineRule="auto"/>
        <w:ind w:firstLineChars="200" w:firstLine="420"/>
        <w:rPr>
          <w:rFonts w:ascii="Times New Roman" w:eastAsia="宋体" w:hAnsi="Times New Roman" w:cs="Times New Roman" w:hint="default"/>
          <w:color w:val="auto"/>
          <w:szCs w:val="20"/>
        </w:rPr>
      </w:pPr>
      <w:r>
        <w:rPr>
          <w:rFonts w:ascii="Times New Roman" w:eastAsia="宋体" w:hAnsi="Times New Roman" w:cs="Times New Roman"/>
          <w:color w:val="auto"/>
          <w:szCs w:val="20"/>
        </w:rPr>
        <w:t>中国人寿</w:t>
      </w:r>
      <w:r>
        <w:rPr>
          <w:rFonts w:ascii="Times New Roman" w:eastAsia="宋体" w:hAnsi="Times New Roman" w:cs="Times New Roman"/>
          <w:color w:val="auto"/>
          <w:szCs w:val="20"/>
        </w:rPr>
        <w:t>网址：</w:t>
      </w:r>
      <w:r>
        <w:rPr>
          <w:rFonts w:ascii="Times New Roman" w:eastAsia="宋体" w:hAnsi="Times New Roman" w:cs="Times New Roman"/>
          <w:color w:val="auto"/>
          <w:szCs w:val="20"/>
        </w:rPr>
        <w:t>www.e-chinalife.com</w:t>
      </w:r>
    </w:p>
    <w:p w:rsidR="005330FF" w:rsidRDefault="005330FF">
      <w:pPr>
        <w:pStyle w:val="Ac"/>
        <w:spacing w:line="360" w:lineRule="auto"/>
        <w:ind w:firstLineChars="200" w:firstLine="420"/>
        <w:rPr>
          <w:rFonts w:ascii="Times New Roman" w:eastAsia="宋体" w:hAnsi="Times New Roman" w:cs="Times New Roman" w:hint="default"/>
        </w:rPr>
      </w:pPr>
      <w:hyperlink r:id="rId16" w:tgtFrame="_blank" w:history="1">
        <w:r w:rsidR="00AA72FE">
          <w:rPr>
            <w:rFonts w:ascii="Times New Roman" w:eastAsia="宋体" w:hAnsi="Times New Roman" w:cs="Times New Roman"/>
          </w:rPr>
          <w:t>南方基金</w:t>
        </w:r>
      </w:hyperlink>
      <w:r w:rsidR="00AA72FE">
        <w:rPr>
          <w:rFonts w:ascii="Times New Roman" w:eastAsia="宋体" w:hAnsi="Times New Roman" w:cs="Times New Roman"/>
        </w:rPr>
        <w:t>客服电话：</w:t>
      </w:r>
      <w:r w:rsidR="00AA72FE">
        <w:rPr>
          <w:rFonts w:ascii="Times New Roman" w:eastAsia="宋体" w:hAnsi="Times New Roman" w:cs="Times New Roman"/>
        </w:rPr>
        <w:t>400-889-8899</w:t>
      </w:r>
    </w:p>
    <w:p w:rsidR="005330FF" w:rsidRDefault="005330FF">
      <w:pPr>
        <w:pStyle w:val="Ac"/>
        <w:spacing w:line="360" w:lineRule="auto"/>
        <w:ind w:firstLineChars="200" w:firstLine="420"/>
        <w:rPr>
          <w:rFonts w:ascii="Times New Roman" w:eastAsia="宋体" w:hAnsi="Times New Roman" w:cs="Times New Roman" w:hint="default"/>
        </w:rPr>
      </w:pPr>
      <w:hyperlink r:id="rId17" w:tgtFrame="_blank" w:history="1">
        <w:r w:rsidR="00AA72FE">
          <w:rPr>
            <w:rFonts w:ascii="Times New Roman" w:eastAsia="宋体" w:hAnsi="Times New Roman" w:cs="Times New Roman"/>
          </w:rPr>
          <w:t>南方基金</w:t>
        </w:r>
      </w:hyperlink>
      <w:r w:rsidR="00AA72FE">
        <w:rPr>
          <w:rFonts w:ascii="Times New Roman" w:eastAsia="宋体" w:hAnsi="Times New Roman" w:cs="Times New Roman"/>
        </w:rPr>
        <w:t>网址：</w:t>
      </w:r>
      <w:hyperlink r:id="rId18" w:history="1">
        <w:r w:rsidR="00AA72FE">
          <w:rPr>
            <w:rFonts w:ascii="Times New Roman" w:eastAsia="宋体" w:hAnsi="Times New Roman" w:cs="Times New Roman"/>
          </w:rPr>
          <w:t>www.nffund.com</w:t>
        </w:r>
      </w:hyperlink>
    </w:p>
    <w:p w:rsidR="005330FF" w:rsidRDefault="00AA72FE">
      <w:pPr>
        <w:pStyle w:val="ab"/>
        <w:numPr>
          <w:ilvl w:val="0"/>
          <w:numId w:val="1"/>
        </w:numPr>
        <w:spacing w:line="360" w:lineRule="auto"/>
        <w:ind w:firstLineChars="0"/>
        <w:rPr>
          <w:color w:val="000000"/>
          <w:szCs w:val="21"/>
        </w:rPr>
      </w:pPr>
      <w:r>
        <w:rPr>
          <w:rFonts w:ascii="宋体" w:hAnsi="宋体" w:hint="eastAsia"/>
          <w:b/>
          <w:szCs w:val="21"/>
        </w:rPr>
        <w:t>风险提示：</w:t>
      </w:r>
    </w:p>
    <w:p w:rsidR="005330FF" w:rsidRDefault="00AA72FE">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5330FF" w:rsidRDefault="00AA72FE">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、投资人应当充分了解基金</w:t>
      </w:r>
      <w:r>
        <w:rPr>
          <w:rFonts w:ascii="宋体" w:hAnsi="宋体" w:hint="eastAsia"/>
          <w:szCs w:val="21"/>
        </w:rPr>
        <w:t>定投</w:t>
      </w:r>
      <w:r>
        <w:rPr>
          <w:rFonts w:ascii="宋体" w:hAnsi="宋体"/>
          <w:szCs w:val="21"/>
        </w:rPr>
        <w:t>和零存整取等储蓄方式的区别。定期定额投资是引导投资人进</w:t>
      </w:r>
      <w:r>
        <w:rPr>
          <w:rFonts w:ascii="宋体" w:hAnsi="宋体"/>
          <w:szCs w:val="21"/>
        </w:rPr>
        <w:t>行长期投资、平均投资成本的一种简单易行的投资方式。但是</w:t>
      </w:r>
      <w:r>
        <w:rPr>
          <w:rFonts w:ascii="宋体" w:hAnsi="宋体" w:hint="eastAsia"/>
          <w:szCs w:val="21"/>
        </w:rPr>
        <w:t>定投</w:t>
      </w:r>
      <w:r>
        <w:rPr>
          <w:rFonts w:ascii="宋体" w:hAnsi="宋体"/>
          <w:szCs w:val="21"/>
        </w:rPr>
        <w:t>并不能规避基金投资所固有的风险，不能保证投资人获得收益，也不是替代储蓄的等效理财方式。</w:t>
      </w:r>
    </w:p>
    <w:p w:rsidR="005330FF" w:rsidRDefault="005330FF">
      <w:pPr>
        <w:spacing w:line="360" w:lineRule="auto"/>
        <w:ind w:firstLineChars="200" w:firstLine="420"/>
        <w:rPr>
          <w:rFonts w:ascii="宋体" w:hAnsi="宋体"/>
          <w:szCs w:val="21"/>
        </w:rPr>
      </w:pPr>
    </w:p>
    <w:p w:rsidR="005330FF" w:rsidRDefault="00AA72FE">
      <w:pPr>
        <w:spacing w:line="360" w:lineRule="auto"/>
        <w:ind w:firstLineChars="200" w:firstLine="420"/>
        <w:rPr>
          <w:rFonts w:ascii="宋体" w:hAnsi="宋体"/>
          <w:szCs w:val="21"/>
        </w:rPr>
      </w:pPr>
      <w:r>
        <w:rPr>
          <w:rFonts w:ascii="宋体" w:hAnsi="宋体" w:hint="eastAsia"/>
          <w:szCs w:val="21"/>
        </w:rPr>
        <w:t>特此公告</w:t>
      </w:r>
    </w:p>
    <w:p w:rsidR="005330FF" w:rsidRDefault="00AA72FE">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5330FF" w:rsidRDefault="005330FF">
      <w:pPr>
        <w:spacing w:line="360" w:lineRule="auto"/>
        <w:ind w:firstLineChars="200" w:firstLine="420"/>
        <w:jc w:val="right"/>
        <w:rPr>
          <w:rFonts w:ascii="宋体" w:hAnsi="宋体"/>
          <w:szCs w:val="21"/>
        </w:rPr>
      </w:pPr>
    </w:p>
    <w:p w:rsidR="005330FF" w:rsidRDefault="005330FF">
      <w:pPr>
        <w:spacing w:line="360" w:lineRule="auto"/>
        <w:ind w:firstLineChars="200" w:firstLine="420"/>
        <w:jc w:val="right"/>
        <w:rPr>
          <w:rFonts w:ascii="宋体" w:hAnsi="宋体"/>
          <w:szCs w:val="21"/>
        </w:rPr>
      </w:pPr>
    </w:p>
    <w:p w:rsidR="005330FF" w:rsidRDefault="00AA72FE">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5330FF" w:rsidRDefault="00AA72FE">
      <w:pPr>
        <w:spacing w:line="360" w:lineRule="auto"/>
        <w:ind w:firstLineChars="200" w:firstLine="420"/>
        <w:jc w:val="right"/>
      </w:pP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28</w:t>
      </w:r>
      <w:r>
        <w:rPr>
          <w:rFonts w:ascii="宋体" w:hAnsi="宋体" w:hint="eastAsia"/>
          <w:szCs w:val="21"/>
        </w:rPr>
        <w:t>日</w:t>
      </w:r>
    </w:p>
    <w:p w:rsidR="005330FF" w:rsidRDefault="005330FF"/>
    <w:sectPr w:rsidR="005330FF" w:rsidSect="005330FF">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FE" w:rsidRDefault="00AA72FE" w:rsidP="00AA72FE">
      <w:r>
        <w:separator/>
      </w:r>
    </w:p>
  </w:endnote>
  <w:endnote w:type="continuationSeparator" w:id="0">
    <w:p w:rsidR="00AA72FE" w:rsidRDefault="00AA72FE" w:rsidP="00AA7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FE" w:rsidRDefault="00AA72FE" w:rsidP="00AA72FE">
      <w:r>
        <w:separator/>
      </w:r>
    </w:p>
  </w:footnote>
  <w:footnote w:type="continuationSeparator" w:id="0">
    <w:p w:rsidR="00AA72FE" w:rsidRDefault="00AA72FE" w:rsidP="00AA7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2926"/>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30FF"/>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47"/>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2FE"/>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20E5A52"/>
    <w:rsid w:val="1E051577"/>
    <w:rsid w:val="4B0C3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330FF"/>
    <w:rPr>
      <w:rFonts w:ascii="宋体"/>
      <w:sz w:val="18"/>
      <w:szCs w:val="18"/>
    </w:rPr>
  </w:style>
  <w:style w:type="paragraph" w:styleId="a4">
    <w:name w:val="annotation text"/>
    <w:basedOn w:val="a"/>
    <w:link w:val="Char0"/>
    <w:uiPriority w:val="99"/>
    <w:semiHidden/>
    <w:unhideWhenUsed/>
    <w:rsid w:val="005330FF"/>
    <w:pPr>
      <w:jc w:val="left"/>
    </w:pPr>
  </w:style>
  <w:style w:type="paragraph" w:styleId="a5">
    <w:name w:val="Balloon Text"/>
    <w:basedOn w:val="a"/>
    <w:link w:val="Char1"/>
    <w:uiPriority w:val="99"/>
    <w:semiHidden/>
    <w:unhideWhenUsed/>
    <w:rsid w:val="005330FF"/>
    <w:rPr>
      <w:sz w:val="18"/>
      <w:szCs w:val="18"/>
    </w:rPr>
  </w:style>
  <w:style w:type="paragraph" w:styleId="a6">
    <w:name w:val="footer"/>
    <w:basedOn w:val="a"/>
    <w:link w:val="Char2"/>
    <w:uiPriority w:val="99"/>
    <w:unhideWhenUsed/>
    <w:qFormat/>
    <w:rsid w:val="005330F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330FF"/>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5330FF"/>
    <w:rPr>
      <w:b/>
      <w:bCs/>
    </w:rPr>
  </w:style>
  <w:style w:type="character" w:styleId="HTML">
    <w:name w:val="HTML Typewriter"/>
    <w:uiPriority w:val="99"/>
    <w:qFormat/>
    <w:rsid w:val="005330FF"/>
    <w:rPr>
      <w:rFonts w:ascii="宋体" w:eastAsia="宋体" w:hAnsi="宋体" w:cs="宋体"/>
      <w:sz w:val="24"/>
      <w:szCs w:val="24"/>
    </w:rPr>
  </w:style>
  <w:style w:type="character" w:styleId="a9">
    <w:name w:val="Hyperlink"/>
    <w:basedOn w:val="a0"/>
    <w:uiPriority w:val="99"/>
    <w:unhideWhenUsed/>
    <w:qFormat/>
    <w:rsid w:val="005330FF"/>
    <w:rPr>
      <w:color w:val="0000FF" w:themeColor="hyperlink"/>
      <w:u w:val="single"/>
    </w:rPr>
  </w:style>
  <w:style w:type="character" w:styleId="aa">
    <w:name w:val="annotation reference"/>
    <w:basedOn w:val="a0"/>
    <w:uiPriority w:val="99"/>
    <w:semiHidden/>
    <w:unhideWhenUsed/>
    <w:qFormat/>
    <w:rsid w:val="005330FF"/>
    <w:rPr>
      <w:sz w:val="21"/>
      <w:szCs w:val="21"/>
    </w:rPr>
  </w:style>
  <w:style w:type="character" w:customStyle="1" w:styleId="Char3">
    <w:name w:val="页眉 Char"/>
    <w:basedOn w:val="a0"/>
    <w:link w:val="a7"/>
    <w:uiPriority w:val="99"/>
    <w:qFormat/>
    <w:rsid w:val="005330FF"/>
    <w:rPr>
      <w:rFonts w:ascii="Times New Roman" w:eastAsia="宋体" w:hAnsi="Times New Roman" w:cs="Times New Roman"/>
      <w:sz w:val="18"/>
      <w:szCs w:val="18"/>
    </w:rPr>
  </w:style>
  <w:style w:type="character" w:customStyle="1" w:styleId="Char2">
    <w:name w:val="页脚 Char"/>
    <w:basedOn w:val="a0"/>
    <w:link w:val="a6"/>
    <w:uiPriority w:val="99"/>
    <w:qFormat/>
    <w:rsid w:val="005330FF"/>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5330FF"/>
    <w:rPr>
      <w:rFonts w:ascii="Times New Roman" w:eastAsia="宋体" w:hAnsi="Times New Roman" w:cs="Times New Roman"/>
      <w:sz w:val="18"/>
      <w:szCs w:val="18"/>
    </w:rPr>
  </w:style>
  <w:style w:type="paragraph" w:styleId="ab">
    <w:name w:val="List Paragraph"/>
    <w:basedOn w:val="a"/>
    <w:uiPriority w:val="34"/>
    <w:qFormat/>
    <w:rsid w:val="005330FF"/>
    <w:pPr>
      <w:ind w:firstLineChars="200" w:firstLine="420"/>
    </w:pPr>
  </w:style>
  <w:style w:type="character" w:customStyle="1" w:styleId="Char0">
    <w:name w:val="批注文字 Char"/>
    <w:basedOn w:val="a0"/>
    <w:link w:val="a4"/>
    <w:uiPriority w:val="99"/>
    <w:semiHidden/>
    <w:qFormat/>
    <w:rsid w:val="005330FF"/>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5330FF"/>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5330FF"/>
    <w:rPr>
      <w:rFonts w:ascii="宋体" w:eastAsia="宋体" w:hAnsi="Times New Roman" w:cs="Times New Roman"/>
      <w:sz w:val="18"/>
      <w:szCs w:val="18"/>
    </w:rPr>
  </w:style>
  <w:style w:type="paragraph" w:customStyle="1" w:styleId="Ac">
    <w:name w:val="正文 A"/>
    <w:qFormat/>
    <w:rsid w:val="005330FF"/>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rsid w:val="005330FF"/>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89629-7FF3-4111-B3AB-9F0EDEDD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4</DocSecurity>
  <Lines>15</Lines>
  <Paragraphs>4</Paragraphs>
  <ScaleCrop>false</ScaleCrop>
  <Company>CNSTOCK</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2020-12-27T16:06:00Z</dcterms:created>
  <dcterms:modified xsi:type="dcterms:W3CDTF">2020-12-27T16:06:00Z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