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6E" w:rsidRPr="00581B25" w:rsidRDefault="00A24577">
      <w:pPr>
        <w:spacing w:line="360" w:lineRule="auto"/>
        <w:jc w:val="center"/>
        <w:rPr>
          <w:rFonts w:asciiTheme="minorEastAsia" w:eastAsiaTheme="minorEastAsia" w:hAnsiTheme="minorEastAsia"/>
          <w:b/>
          <w:sz w:val="32"/>
          <w:szCs w:val="24"/>
        </w:rPr>
      </w:pPr>
      <w:r w:rsidRPr="00581B25">
        <w:rPr>
          <w:rFonts w:asciiTheme="minorEastAsia" w:eastAsiaTheme="minorEastAsia" w:hAnsiTheme="minorEastAsia" w:hint="eastAsia"/>
          <w:b/>
          <w:sz w:val="32"/>
          <w:szCs w:val="24"/>
        </w:rPr>
        <w:t>西藏东财基金管理有限公司关于旗下基金参与</w:t>
      </w:r>
      <w:r w:rsidR="005B0099" w:rsidRPr="00581B25">
        <w:rPr>
          <w:rFonts w:asciiTheme="minorEastAsia" w:eastAsiaTheme="minorEastAsia" w:hAnsiTheme="minorEastAsia" w:hint="eastAsia"/>
          <w:b/>
          <w:sz w:val="32"/>
          <w:szCs w:val="24"/>
        </w:rPr>
        <w:t>申万宏源证券有限公司、申万宏源西部证券有限公司</w:t>
      </w:r>
      <w:r w:rsidRPr="00581B25">
        <w:rPr>
          <w:rFonts w:asciiTheme="minorEastAsia" w:eastAsiaTheme="minorEastAsia" w:hAnsiTheme="minorEastAsia" w:hint="eastAsia"/>
          <w:b/>
          <w:sz w:val="32"/>
          <w:szCs w:val="24"/>
        </w:rPr>
        <w:t>申购（含定期定额投资）费率优惠活动的公告</w:t>
      </w:r>
    </w:p>
    <w:p w:rsidR="00FD686E" w:rsidRPr="00581B25" w:rsidRDefault="00A24577">
      <w:pPr>
        <w:spacing w:line="360" w:lineRule="auto"/>
        <w:rPr>
          <w:rFonts w:asciiTheme="minorEastAsia" w:eastAsiaTheme="minorEastAsia" w:hAnsiTheme="minorEastAsia"/>
        </w:rPr>
      </w:pPr>
      <w:r w:rsidRPr="00581B25">
        <w:rPr>
          <w:rFonts w:asciiTheme="minorEastAsia" w:eastAsiaTheme="minorEastAsia" w:hAnsiTheme="minorEastAsia"/>
        </w:rPr>
        <w:tab/>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为更好地满足广大投资者的理财需求，西藏东财基金管理有限公司（以下简称</w:t>
      </w:r>
      <w:r w:rsidRPr="00581B25">
        <w:rPr>
          <w:rFonts w:asciiTheme="minorEastAsia" w:eastAsiaTheme="minorEastAsia" w:hAnsiTheme="minorEastAsia"/>
          <w:sz w:val="24"/>
          <w:szCs w:val="24"/>
        </w:rPr>
        <w:t>“</w:t>
      </w:r>
      <w:r w:rsidRPr="00581B25">
        <w:rPr>
          <w:rFonts w:asciiTheme="minorEastAsia" w:eastAsiaTheme="minorEastAsia" w:hAnsiTheme="minorEastAsia" w:hint="eastAsia"/>
          <w:sz w:val="24"/>
          <w:szCs w:val="24"/>
        </w:rPr>
        <w:t>本公司</w:t>
      </w:r>
      <w:r w:rsidRPr="00581B25">
        <w:rPr>
          <w:rFonts w:asciiTheme="minorEastAsia" w:eastAsiaTheme="minorEastAsia" w:hAnsiTheme="minorEastAsia"/>
          <w:sz w:val="24"/>
          <w:szCs w:val="24"/>
        </w:rPr>
        <w:t>”</w:t>
      </w:r>
      <w:r w:rsidRPr="00581B25">
        <w:rPr>
          <w:rFonts w:asciiTheme="minorEastAsia" w:eastAsiaTheme="minorEastAsia" w:hAnsiTheme="minorEastAsia" w:hint="eastAsia"/>
          <w:sz w:val="24"/>
          <w:szCs w:val="24"/>
        </w:rPr>
        <w:t>）决定参与</w:t>
      </w:r>
      <w:r w:rsidR="005B0099" w:rsidRPr="00581B25">
        <w:rPr>
          <w:rFonts w:asciiTheme="minorEastAsia" w:eastAsiaTheme="minorEastAsia" w:hAnsiTheme="minorEastAsia" w:hint="eastAsia"/>
          <w:sz w:val="24"/>
          <w:szCs w:val="24"/>
        </w:rPr>
        <w:t>申万宏源证券有限公司</w:t>
      </w:r>
      <w:r w:rsidR="005204F8" w:rsidRPr="00581B25">
        <w:rPr>
          <w:rFonts w:asciiTheme="minorEastAsia" w:eastAsiaTheme="minorEastAsia" w:hAnsiTheme="minorEastAsia" w:hint="eastAsia"/>
          <w:sz w:val="24"/>
          <w:szCs w:val="24"/>
        </w:rPr>
        <w:t>（以下简称</w:t>
      </w:r>
      <w:r w:rsidR="005204F8" w:rsidRPr="00581B25">
        <w:rPr>
          <w:rFonts w:asciiTheme="minorEastAsia" w:eastAsiaTheme="minorEastAsia" w:hAnsiTheme="minorEastAsia"/>
          <w:sz w:val="24"/>
          <w:szCs w:val="24"/>
        </w:rPr>
        <w:t>“</w:t>
      </w:r>
      <w:r w:rsidR="005204F8" w:rsidRPr="00581B25">
        <w:rPr>
          <w:rFonts w:asciiTheme="minorEastAsia" w:eastAsiaTheme="minorEastAsia" w:hAnsiTheme="minorEastAsia" w:hint="eastAsia"/>
          <w:sz w:val="24"/>
          <w:szCs w:val="24"/>
        </w:rPr>
        <w:t>申万宏源证券</w:t>
      </w:r>
      <w:r w:rsidR="005204F8" w:rsidRPr="00581B25">
        <w:rPr>
          <w:rFonts w:asciiTheme="minorEastAsia" w:eastAsiaTheme="minorEastAsia" w:hAnsiTheme="minorEastAsia"/>
          <w:sz w:val="24"/>
          <w:szCs w:val="24"/>
        </w:rPr>
        <w:t>”</w:t>
      </w:r>
      <w:r w:rsidR="005204F8" w:rsidRPr="00581B25">
        <w:rPr>
          <w:rFonts w:asciiTheme="minorEastAsia" w:eastAsiaTheme="minorEastAsia" w:hAnsiTheme="minorEastAsia" w:hint="eastAsia"/>
          <w:sz w:val="24"/>
          <w:szCs w:val="24"/>
        </w:rPr>
        <w:t>）</w:t>
      </w:r>
      <w:r w:rsidR="005B0099" w:rsidRPr="00581B25">
        <w:rPr>
          <w:rFonts w:asciiTheme="minorEastAsia" w:eastAsiaTheme="minorEastAsia" w:hAnsiTheme="minorEastAsia" w:hint="eastAsia"/>
          <w:sz w:val="24"/>
          <w:szCs w:val="24"/>
        </w:rPr>
        <w:t>、申万宏源西部证券有限公司</w:t>
      </w:r>
      <w:r w:rsidRPr="00581B25">
        <w:rPr>
          <w:rFonts w:asciiTheme="minorEastAsia" w:eastAsiaTheme="minorEastAsia" w:hAnsiTheme="minorEastAsia" w:hint="eastAsia"/>
          <w:sz w:val="24"/>
          <w:szCs w:val="24"/>
        </w:rPr>
        <w:t>（以下简称</w:t>
      </w:r>
      <w:r w:rsidRPr="00581B25">
        <w:rPr>
          <w:rFonts w:asciiTheme="minorEastAsia" w:eastAsiaTheme="minorEastAsia" w:hAnsiTheme="minorEastAsia"/>
          <w:sz w:val="24"/>
          <w:szCs w:val="24"/>
        </w:rPr>
        <w:t>“</w:t>
      </w:r>
      <w:r w:rsidR="005B0099" w:rsidRPr="00581B25">
        <w:rPr>
          <w:rFonts w:asciiTheme="minorEastAsia" w:eastAsiaTheme="minorEastAsia" w:hAnsiTheme="minorEastAsia" w:hint="eastAsia"/>
          <w:sz w:val="24"/>
          <w:szCs w:val="24"/>
        </w:rPr>
        <w:t>申万宏源西部证券</w:t>
      </w:r>
      <w:r w:rsidRPr="00581B25">
        <w:rPr>
          <w:rFonts w:asciiTheme="minorEastAsia" w:eastAsiaTheme="minorEastAsia" w:hAnsiTheme="minorEastAsia"/>
          <w:sz w:val="24"/>
          <w:szCs w:val="24"/>
        </w:rPr>
        <w:t>”</w:t>
      </w:r>
      <w:r w:rsidRPr="00581B25">
        <w:rPr>
          <w:rFonts w:asciiTheme="minorEastAsia" w:eastAsiaTheme="minorEastAsia" w:hAnsiTheme="minorEastAsia" w:hint="eastAsia"/>
          <w:sz w:val="24"/>
          <w:szCs w:val="24"/>
        </w:rPr>
        <w:t>）基金申购（含定期定额投资）费率优惠活动。具体如下：</w:t>
      </w:r>
    </w:p>
    <w:p w:rsidR="00FD686E" w:rsidRPr="00581B25" w:rsidRDefault="00FD686E">
      <w:pPr>
        <w:autoSpaceDE w:val="0"/>
        <w:autoSpaceDN w:val="0"/>
        <w:adjustRightInd w:val="0"/>
        <w:spacing w:line="360" w:lineRule="auto"/>
        <w:ind w:firstLineChars="200" w:firstLine="480"/>
        <w:rPr>
          <w:rFonts w:asciiTheme="minorEastAsia" w:eastAsia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适用时间</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费率优惠期限以</w:t>
      </w:r>
      <w:r w:rsidR="005B0099" w:rsidRPr="00581B25">
        <w:rPr>
          <w:rFonts w:asciiTheme="minorEastAsia" w:eastAsiaTheme="minorEastAsia" w:hAnsiTheme="minorEastAsia" w:hint="eastAsia"/>
          <w:sz w:val="24"/>
          <w:szCs w:val="24"/>
        </w:rPr>
        <w:t>申万宏源证券、申万宏源西部证券</w:t>
      </w:r>
      <w:r w:rsidRPr="00581B25">
        <w:rPr>
          <w:rFonts w:asciiTheme="minorEastAsia" w:eastAsiaTheme="minorEastAsia" w:hAnsiTheme="minorEastAsia" w:hint="eastAsia"/>
          <w:sz w:val="24"/>
          <w:szCs w:val="24"/>
        </w:rPr>
        <w:t>公示为准。</w:t>
      </w:r>
    </w:p>
    <w:p w:rsidR="00FD686E" w:rsidRPr="00581B25"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适用基金范围</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西藏东财上证</w:t>
      </w:r>
      <w:r w:rsidRPr="004D57F6">
        <w:rPr>
          <w:rFonts w:asciiTheme="minorEastAsia" w:eastAsiaTheme="minorEastAsia" w:hAnsiTheme="minorEastAsia"/>
          <w:sz w:val="24"/>
          <w:szCs w:val="24"/>
        </w:rPr>
        <w:t>50指数型发起式证券投资基金A（基金代码：A类：008240）</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西藏东财中证通信技术主题指数型发起式证券投资基金</w:t>
      </w:r>
      <w:r w:rsidRPr="004D57F6">
        <w:rPr>
          <w:rFonts w:asciiTheme="minorEastAsia" w:eastAsiaTheme="minorEastAsia" w:hAnsiTheme="minorEastAsia"/>
          <w:sz w:val="24"/>
          <w:szCs w:val="24"/>
        </w:rPr>
        <w:t>A（基金代码：A类：008326）</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西藏东财中证医药卫生指数型发起式证券投资基金</w:t>
      </w:r>
      <w:r w:rsidRPr="004D57F6">
        <w:rPr>
          <w:rFonts w:asciiTheme="minorEastAsia" w:eastAsiaTheme="minorEastAsia" w:hAnsiTheme="minorEastAsia"/>
          <w:sz w:val="24"/>
          <w:szCs w:val="24"/>
        </w:rPr>
        <w:t>A（基金代码：A类：008551）</w:t>
      </w:r>
    </w:p>
    <w:p w:rsidR="005B0099" w:rsidRPr="004D57F6" w:rsidRDefault="005B0099">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西藏东财创业板指数型发起式证券投资基金</w:t>
      </w:r>
      <w:r w:rsidRPr="004D57F6">
        <w:rPr>
          <w:rFonts w:asciiTheme="minorEastAsia" w:eastAsiaTheme="minorEastAsia" w:hAnsiTheme="minorEastAsia"/>
          <w:sz w:val="24"/>
          <w:szCs w:val="24"/>
        </w:rPr>
        <w:t>A（基金代码：A类：009046）</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西藏东财量化精选混合型发起式证券投资基金</w:t>
      </w:r>
      <w:r w:rsidRPr="004D57F6">
        <w:rPr>
          <w:rFonts w:asciiTheme="minorEastAsia" w:eastAsiaTheme="minorEastAsia" w:hAnsiTheme="minorEastAsia"/>
          <w:sz w:val="24"/>
          <w:szCs w:val="24"/>
        </w:rPr>
        <w:t>A</w:t>
      </w:r>
      <w:r w:rsidRPr="004D57F6">
        <w:rPr>
          <w:rFonts w:asciiTheme="minorEastAsia" w:eastAsiaTheme="minorEastAsia" w:hAnsiTheme="minorEastAsia" w:hint="eastAsia"/>
          <w:sz w:val="24"/>
          <w:szCs w:val="24"/>
        </w:rPr>
        <w:t>（基金代码：</w:t>
      </w:r>
      <w:r w:rsidRPr="004D57F6">
        <w:rPr>
          <w:rFonts w:asciiTheme="minorEastAsia" w:eastAsiaTheme="minorEastAsia" w:hAnsiTheme="minorEastAsia"/>
          <w:sz w:val="24"/>
          <w:szCs w:val="24"/>
        </w:rPr>
        <w:t>A</w:t>
      </w:r>
      <w:r w:rsidRPr="004D57F6">
        <w:rPr>
          <w:rFonts w:asciiTheme="minorEastAsia" w:eastAsiaTheme="minorEastAsia" w:hAnsiTheme="minorEastAsia" w:hint="eastAsia"/>
          <w:sz w:val="24"/>
          <w:szCs w:val="24"/>
        </w:rPr>
        <w:t>类：</w:t>
      </w:r>
      <w:r w:rsidRPr="004D57F6">
        <w:rPr>
          <w:rFonts w:asciiTheme="minorEastAsia" w:eastAsiaTheme="minorEastAsia" w:hAnsiTheme="minorEastAsia"/>
          <w:sz w:val="24"/>
          <w:szCs w:val="24"/>
        </w:rPr>
        <w:t>009840</w:t>
      </w:r>
      <w:r w:rsidRPr="004D57F6">
        <w:rPr>
          <w:rFonts w:asciiTheme="minorEastAsia" w:eastAsiaTheme="minorEastAsia" w:hAnsiTheme="minorEastAsia" w:hint="eastAsia"/>
          <w:sz w:val="24"/>
          <w:szCs w:val="24"/>
        </w:rPr>
        <w:t>）</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西藏东财消费精选混合型发起式证券投资基金</w:t>
      </w:r>
      <w:r w:rsidRPr="004D57F6">
        <w:rPr>
          <w:rFonts w:asciiTheme="minorEastAsia" w:eastAsiaTheme="minorEastAsia" w:hAnsiTheme="minorEastAsia"/>
          <w:sz w:val="24"/>
          <w:szCs w:val="24"/>
        </w:rPr>
        <w:t>A（基金代码：A类：010151</w:t>
      </w:r>
      <w:r w:rsidRPr="004D57F6">
        <w:rPr>
          <w:rFonts w:asciiTheme="minorEastAsia" w:eastAsiaTheme="minorEastAsia" w:hAnsiTheme="minorEastAsia" w:hint="eastAsia"/>
          <w:sz w:val="24"/>
          <w:szCs w:val="24"/>
        </w:rPr>
        <w:t>）</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西藏东财信息产业精选混合型发起式证券投资基金</w:t>
      </w:r>
      <w:r w:rsidRPr="004D57F6">
        <w:rPr>
          <w:rFonts w:asciiTheme="minorEastAsia" w:eastAsiaTheme="minorEastAsia" w:hAnsiTheme="minorEastAsia"/>
          <w:sz w:val="24"/>
          <w:szCs w:val="24"/>
        </w:rPr>
        <w:t>A（基金代码：A类：010307</w:t>
      </w:r>
      <w:r w:rsidRPr="004D57F6">
        <w:rPr>
          <w:rFonts w:asciiTheme="minorEastAsia" w:eastAsiaTheme="minorEastAsia" w:hAnsiTheme="minorEastAsia" w:hint="eastAsia"/>
          <w:sz w:val="24"/>
          <w:szCs w:val="24"/>
        </w:rPr>
        <w:t>）</w:t>
      </w:r>
    </w:p>
    <w:p w:rsidR="00FD686E" w:rsidRPr="004D57F6"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4D57F6">
        <w:rPr>
          <w:rFonts w:asciiTheme="minorEastAsia" w:eastAsiaTheme="minorEastAsia" w:hAnsiTheme="minorEastAsia" w:hint="eastAsia"/>
          <w:sz w:val="24"/>
          <w:szCs w:val="24"/>
        </w:rPr>
        <w:t>费率优惠期限内，如本公司新增通过</w:t>
      </w:r>
      <w:r w:rsidR="005B0099" w:rsidRPr="004D57F6">
        <w:rPr>
          <w:rFonts w:asciiTheme="minorEastAsia" w:eastAsiaTheme="minorEastAsia" w:hAnsiTheme="minorEastAsia" w:hint="eastAsia"/>
          <w:sz w:val="24"/>
          <w:szCs w:val="24"/>
        </w:rPr>
        <w:t>申万宏源证券、申万宏源西部证券</w:t>
      </w:r>
      <w:r w:rsidRPr="004D57F6">
        <w:rPr>
          <w:rFonts w:asciiTheme="minorEastAsia" w:eastAsiaTheme="minorEastAsia" w:hAnsiTheme="minorEastAsia" w:hint="eastAsia"/>
          <w:sz w:val="24"/>
          <w:szCs w:val="24"/>
        </w:rPr>
        <w:t>销售基金产品的，则自该基金产品在</w:t>
      </w:r>
      <w:r w:rsidR="005B0099" w:rsidRPr="004D57F6">
        <w:rPr>
          <w:rFonts w:asciiTheme="minorEastAsia" w:eastAsiaTheme="minorEastAsia" w:hAnsiTheme="minorEastAsia" w:hint="eastAsia"/>
          <w:sz w:val="24"/>
          <w:szCs w:val="24"/>
        </w:rPr>
        <w:t>申万宏源证券、申万宏源西部证券</w:t>
      </w:r>
      <w:r w:rsidRPr="004D57F6">
        <w:rPr>
          <w:rFonts w:asciiTheme="minorEastAsia" w:eastAsiaTheme="minorEastAsia" w:hAnsiTheme="minorEastAsia" w:hint="eastAsia"/>
          <w:sz w:val="24"/>
          <w:szCs w:val="24"/>
        </w:rPr>
        <w:t>销售之日起，同时开通该基金在</w:t>
      </w:r>
      <w:r w:rsidR="005B0099" w:rsidRPr="004D57F6">
        <w:rPr>
          <w:rFonts w:asciiTheme="minorEastAsia" w:eastAsiaTheme="minorEastAsia" w:hAnsiTheme="minorEastAsia" w:hint="eastAsia"/>
          <w:sz w:val="24"/>
          <w:szCs w:val="24"/>
        </w:rPr>
        <w:t>申万宏源证券、申万宏源西部证券</w:t>
      </w:r>
      <w:r w:rsidRPr="004D57F6">
        <w:rPr>
          <w:rFonts w:asciiTheme="minorEastAsia" w:eastAsiaTheme="minorEastAsia" w:hAnsiTheme="minorEastAsia" w:hint="eastAsia"/>
          <w:sz w:val="24"/>
          <w:szCs w:val="24"/>
        </w:rPr>
        <w:t>的申购费率优惠活动。</w:t>
      </w:r>
    </w:p>
    <w:p w:rsidR="00FD686E" w:rsidRPr="00581B25"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费率优惠方案</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费率优惠期限内，投资者通过</w:t>
      </w:r>
      <w:r w:rsidR="005B0099" w:rsidRPr="00581B25">
        <w:rPr>
          <w:rFonts w:asciiTheme="minorEastAsia" w:eastAsiaTheme="minorEastAsia" w:hAnsiTheme="minorEastAsia" w:hint="eastAsia"/>
          <w:sz w:val="24"/>
          <w:szCs w:val="24"/>
        </w:rPr>
        <w:t>申万宏源证券、申万宏源西部证券</w:t>
      </w:r>
      <w:r w:rsidRPr="00581B25">
        <w:rPr>
          <w:rFonts w:asciiTheme="minorEastAsia" w:eastAsiaTheme="minorEastAsia" w:hAnsiTheme="minorEastAsia" w:hint="eastAsia"/>
          <w:sz w:val="24"/>
          <w:szCs w:val="24"/>
        </w:rPr>
        <w:t>申购（含定期定额投资）上述基金的，申购费率不设折扣限制，具体折扣费率以</w:t>
      </w:r>
      <w:r w:rsidR="005B0099" w:rsidRPr="00581B25">
        <w:rPr>
          <w:rFonts w:asciiTheme="minorEastAsia" w:eastAsiaTheme="minorEastAsia" w:hAnsiTheme="minorEastAsia" w:hint="eastAsia"/>
          <w:sz w:val="24"/>
          <w:szCs w:val="24"/>
        </w:rPr>
        <w:t>申万宏源证</w:t>
      </w:r>
      <w:r w:rsidR="005B0099" w:rsidRPr="00581B25">
        <w:rPr>
          <w:rFonts w:asciiTheme="minorEastAsia" w:eastAsiaTheme="minorEastAsia" w:hAnsiTheme="minorEastAsia" w:hint="eastAsia"/>
          <w:sz w:val="24"/>
          <w:szCs w:val="24"/>
        </w:rPr>
        <w:lastRenderedPageBreak/>
        <w:t>券、申万宏源西部证券</w:t>
      </w:r>
      <w:r w:rsidRPr="00581B25">
        <w:rPr>
          <w:rFonts w:asciiTheme="minorEastAsia" w:eastAsiaTheme="minorEastAsia" w:hAnsiTheme="minorEastAsia" w:hint="eastAsia"/>
          <w:sz w:val="24"/>
          <w:szCs w:val="24"/>
        </w:rPr>
        <w:t>公示为准，但折扣不低于1折。原费率为固定费用的，将不再享有折扣优惠，按固定费用执行。上述基金原费率请详见基金合同、招募说明书等法律文件及其更新，和本公司发布的相关公告。</w:t>
      </w:r>
    </w:p>
    <w:p w:rsidR="00FD686E" w:rsidRPr="00581B25" w:rsidRDefault="00FD686E">
      <w:pPr>
        <w:autoSpaceDE w:val="0"/>
        <w:autoSpaceDN w:val="0"/>
        <w:adjustRightInd w:val="0"/>
        <w:spacing w:line="360" w:lineRule="auto"/>
        <w:ind w:firstLine="200"/>
        <w:rPr>
          <w:rFonts w:asciiTheme="minorEastAsia" w:eastAsia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适用投资者</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通过</w:t>
      </w:r>
      <w:r w:rsidR="005B0099" w:rsidRPr="00581B25">
        <w:rPr>
          <w:rFonts w:asciiTheme="minorEastAsia" w:eastAsiaTheme="minorEastAsia" w:hAnsiTheme="minorEastAsia" w:hint="eastAsia"/>
          <w:sz w:val="24"/>
          <w:szCs w:val="24"/>
        </w:rPr>
        <w:t>申万宏源证券、申万宏源西部证券</w:t>
      </w:r>
      <w:r w:rsidRPr="00581B25">
        <w:rPr>
          <w:rFonts w:asciiTheme="minorEastAsia" w:eastAsiaTheme="minorEastAsia" w:hAnsiTheme="minorEastAsia" w:hint="eastAsia"/>
          <w:sz w:val="24"/>
          <w:szCs w:val="24"/>
        </w:rPr>
        <w:t>申购（含定期定额投资）上述基金的投资者。</w:t>
      </w:r>
    </w:p>
    <w:p w:rsidR="00FD686E" w:rsidRPr="00581B25" w:rsidRDefault="00FD686E">
      <w:pPr>
        <w:pStyle w:val="ab"/>
        <w:autoSpaceDE w:val="0"/>
        <w:autoSpaceDN w:val="0"/>
        <w:adjustRightInd w:val="0"/>
        <w:spacing w:line="360" w:lineRule="auto"/>
        <w:ind w:firstLineChars="0" w:firstLine="200"/>
        <w:rPr>
          <w:rFonts w:ascii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重要提示</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sz w:val="24"/>
          <w:szCs w:val="24"/>
        </w:rPr>
        <w:t>1、</w:t>
      </w:r>
      <w:r w:rsidRPr="00581B25">
        <w:rPr>
          <w:rFonts w:asciiTheme="minorEastAsia" w:eastAsiaTheme="minorEastAsia" w:hAnsiTheme="minorEastAsia" w:hint="eastAsia"/>
          <w:sz w:val="24"/>
          <w:szCs w:val="24"/>
        </w:rPr>
        <w:t>上述基金的详细情况以及原申购费率详见相关基金的基金合同、招募说明书等法律文件及其更新以及本公司发布的最新相关业务公告。</w:t>
      </w:r>
    </w:p>
    <w:p w:rsidR="00FD686E" w:rsidRPr="00581B25" w:rsidRDefault="00A24577">
      <w:pPr>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sz w:val="24"/>
          <w:szCs w:val="24"/>
        </w:rPr>
        <w:t>2、</w:t>
      </w:r>
      <w:r w:rsidRPr="00581B25">
        <w:rPr>
          <w:rFonts w:asciiTheme="minorEastAsia" w:eastAsiaTheme="minorEastAsia" w:hAnsiTheme="minorEastAsia" w:hint="eastAsia"/>
          <w:sz w:val="24"/>
          <w:szCs w:val="24"/>
        </w:rPr>
        <w:t>上述费率优惠活动的具体费率优惠方案及适用时间等如有变化，届时以</w:t>
      </w:r>
      <w:r w:rsidR="005B0099" w:rsidRPr="00581B25">
        <w:rPr>
          <w:rFonts w:asciiTheme="minorEastAsia" w:eastAsiaTheme="minorEastAsia" w:hAnsiTheme="minorEastAsia" w:hint="eastAsia"/>
          <w:sz w:val="24"/>
          <w:szCs w:val="24"/>
        </w:rPr>
        <w:t>申万宏源证券、申万宏源西部证券</w:t>
      </w:r>
      <w:r w:rsidRPr="00581B25">
        <w:rPr>
          <w:rFonts w:asciiTheme="minorEastAsia" w:eastAsiaTheme="minorEastAsia" w:hAnsiTheme="minorEastAsia" w:hint="eastAsia"/>
          <w:sz w:val="24"/>
          <w:szCs w:val="24"/>
        </w:rPr>
        <w:t>的</w:t>
      </w:r>
      <w:r w:rsidRPr="00581B25">
        <w:rPr>
          <w:rFonts w:asciiTheme="minorEastAsia" w:eastAsiaTheme="minorEastAsia" w:hAnsiTheme="minorEastAsia"/>
          <w:sz w:val="24"/>
          <w:szCs w:val="24"/>
        </w:rPr>
        <w:t>相关</w:t>
      </w:r>
      <w:r w:rsidRPr="00581B25">
        <w:rPr>
          <w:rFonts w:asciiTheme="minorEastAsia" w:eastAsiaTheme="minorEastAsia" w:hAnsiTheme="minorEastAsia" w:hint="eastAsia"/>
          <w:sz w:val="24"/>
          <w:szCs w:val="24"/>
        </w:rPr>
        <w:t>最新公告以及其传输至本公司的业务数据为准，</w:t>
      </w:r>
      <w:r w:rsidRPr="00581B25">
        <w:rPr>
          <w:rFonts w:asciiTheme="minorEastAsia" w:eastAsiaTheme="minorEastAsia" w:hAnsiTheme="minorEastAsia"/>
          <w:sz w:val="24"/>
          <w:szCs w:val="24"/>
        </w:rPr>
        <w:t>敬请投资者留意</w:t>
      </w:r>
      <w:r w:rsidRPr="00581B25">
        <w:rPr>
          <w:rFonts w:asciiTheme="minorEastAsia" w:eastAsiaTheme="minorEastAsia" w:hAnsiTheme="minorEastAsia" w:hint="eastAsia"/>
          <w:sz w:val="24"/>
          <w:szCs w:val="24"/>
        </w:rPr>
        <w:t>。</w:t>
      </w:r>
    </w:p>
    <w:p w:rsidR="00FD686E" w:rsidRPr="00581B25" w:rsidRDefault="00A24577">
      <w:pPr>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3、本次费率优惠活动的解释权归</w:t>
      </w:r>
      <w:r w:rsidR="005B0099" w:rsidRPr="00581B25">
        <w:rPr>
          <w:rFonts w:asciiTheme="minorEastAsia" w:eastAsiaTheme="minorEastAsia" w:hAnsiTheme="minorEastAsia"/>
          <w:sz w:val="24"/>
          <w:szCs w:val="24"/>
        </w:rPr>
        <w:t>申万宏源证券、申万宏源西部证券</w:t>
      </w:r>
      <w:r w:rsidRPr="00581B25">
        <w:rPr>
          <w:rFonts w:asciiTheme="minorEastAsia" w:eastAsiaTheme="minorEastAsia" w:hAnsiTheme="minorEastAsia" w:hint="eastAsia"/>
          <w:sz w:val="24"/>
          <w:szCs w:val="24"/>
        </w:rPr>
        <w:t>所有，费率优惠活动期间具体业务办理的规则与流程以</w:t>
      </w:r>
      <w:r w:rsidR="005B0099" w:rsidRPr="00581B25">
        <w:rPr>
          <w:rFonts w:asciiTheme="minorEastAsia" w:eastAsiaTheme="minorEastAsia" w:hAnsiTheme="minorEastAsia" w:hint="eastAsia"/>
          <w:sz w:val="24"/>
          <w:szCs w:val="24"/>
        </w:rPr>
        <w:t>申万宏源证券、申万宏源西部证券</w:t>
      </w:r>
      <w:r w:rsidRPr="00581B25">
        <w:rPr>
          <w:rFonts w:asciiTheme="minorEastAsia" w:eastAsiaTheme="minorEastAsia" w:hAnsiTheme="minorEastAsia" w:hint="eastAsia"/>
          <w:sz w:val="24"/>
          <w:szCs w:val="24"/>
        </w:rPr>
        <w:t>的规定为准。</w:t>
      </w:r>
    </w:p>
    <w:p w:rsidR="00FD686E" w:rsidRPr="00581B25" w:rsidRDefault="00FD686E">
      <w:pPr>
        <w:ind w:firstLine="200"/>
        <w:rPr>
          <w:rFonts w:asciiTheme="minorEastAsia" w:eastAsiaTheme="minorEastAsia" w:hAnsiTheme="minorEastAsia"/>
          <w:sz w:val="24"/>
          <w:szCs w:val="24"/>
        </w:rPr>
      </w:pPr>
    </w:p>
    <w:p w:rsidR="00FD686E" w:rsidRPr="00581B25" w:rsidRDefault="00A24577">
      <w:pPr>
        <w:pStyle w:val="ab"/>
        <w:numPr>
          <w:ilvl w:val="0"/>
          <w:numId w:val="1"/>
        </w:numPr>
        <w:autoSpaceDE w:val="0"/>
        <w:autoSpaceDN w:val="0"/>
        <w:adjustRightInd w:val="0"/>
        <w:spacing w:line="360" w:lineRule="auto"/>
        <w:ind w:left="0" w:firstLine="480"/>
        <w:rPr>
          <w:rFonts w:asciiTheme="minorEastAsia" w:hAnsiTheme="minorEastAsia"/>
          <w:sz w:val="24"/>
          <w:szCs w:val="24"/>
        </w:rPr>
      </w:pPr>
      <w:r w:rsidRPr="00581B25">
        <w:rPr>
          <w:rFonts w:asciiTheme="minorEastAsia" w:hAnsiTheme="minorEastAsia" w:hint="eastAsia"/>
          <w:sz w:val="24"/>
          <w:szCs w:val="24"/>
        </w:rPr>
        <w:t>投资者可通过以下途径咨询详情</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sz w:val="24"/>
          <w:szCs w:val="24"/>
        </w:rPr>
        <w:t>1、</w:t>
      </w:r>
      <w:r w:rsidRPr="00581B25">
        <w:rPr>
          <w:rFonts w:asciiTheme="minorEastAsia" w:eastAsiaTheme="minorEastAsia" w:hAnsiTheme="minorEastAsia" w:hint="eastAsia"/>
          <w:sz w:val="24"/>
          <w:szCs w:val="24"/>
        </w:rPr>
        <w:t>西藏东财基金管理有限公司</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客户服务电话：</w:t>
      </w:r>
      <w:r w:rsidRPr="00581B25">
        <w:rPr>
          <w:rFonts w:asciiTheme="minorEastAsia" w:eastAsiaTheme="minorEastAsia" w:hAnsiTheme="minorEastAsia"/>
          <w:sz w:val="24"/>
          <w:szCs w:val="24"/>
        </w:rPr>
        <w:t>400-9210-107</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网址：</w:t>
      </w:r>
      <w:hyperlink r:id="rId9" w:history="1">
        <w:r w:rsidRPr="00581B25">
          <w:rPr>
            <w:rStyle w:val="a9"/>
            <w:rFonts w:asciiTheme="minorEastAsia" w:eastAsiaTheme="minorEastAsia" w:hAnsiTheme="minorEastAsia"/>
            <w:color w:val="auto"/>
            <w:sz w:val="24"/>
            <w:szCs w:val="24"/>
            <w:u w:val="none"/>
          </w:rPr>
          <w:t>www.dongcaijijin.com</w:t>
        </w:r>
      </w:hyperlink>
    </w:p>
    <w:p w:rsidR="00FD686E" w:rsidRPr="00581B25" w:rsidRDefault="00FD686E">
      <w:pPr>
        <w:autoSpaceDE w:val="0"/>
        <w:autoSpaceDN w:val="0"/>
        <w:adjustRightInd w:val="0"/>
        <w:spacing w:line="360" w:lineRule="auto"/>
        <w:ind w:firstLine="200"/>
        <w:rPr>
          <w:rFonts w:asciiTheme="minorEastAsia" w:eastAsiaTheme="minorEastAsia" w:hAnsiTheme="minorEastAsia"/>
          <w:sz w:val="24"/>
          <w:szCs w:val="24"/>
        </w:rPr>
      </w:pPr>
    </w:p>
    <w:p w:rsidR="009C7849"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sz w:val="24"/>
          <w:szCs w:val="24"/>
        </w:rPr>
        <w:t>2</w:t>
      </w:r>
      <w:r w:rsidRPr="00581B25">
        <w:rPr>
          <w:rFonts w:asciiTheme="minorEastAsia" w:eastAsiaTheme="minorEastAsia" w:hAnsiTheme="minorEastAsia" w:hint="eastAsia"/>
          <w:sz w:val="24"/>
          <w:szCs w:val="24"/>
        </w:rPr>
        <w:t>、</w:t>
      </w:r>
      <w:r w:rsidR="005B0099" w:rsidRPr="00581B25">
        <w:rPr>
          <w:rFonts w:asciiTheme="minorEastAsia" w:eastAsiaTheme="minorEastAsia" w:hAnsiTheme="minorEastAsia" w:hint="eastAsia"/>
          <w:sz w:val="24"/>
          <w:szCs w:val="24"/>
        </w:rPr>
        <w:t>申万宏源证券有限公司</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客户服务电话</w:t>
      </w:r>
      <w:r w:rsidRPr="00581B25">
        <w:rPr>
          <w:rFonts w:asciiTheme="minorEastAsia" w:eastAsiaTheme="minorEastAsia" w:hAnsiTheme="minorEastAsia"/>
          <w:sz w:val="24"/>
          <w:szCs w:val="24"/>
        </w:rPr>
        <w:t>：</w:t>
      </w:r>
      <w:r w:rsidR="009C7849" w:rsidRPr="00581B25">
        <w:rPr>
          <w:rFonts w:asciiTheme="minorEastAsia" w:eastAsiaTheme="minorEastAsia" w:hAnsiTheme="minorEastAsia"/>
          <w:sz w:val="24"/>
          <w:szCs w:val="24"/>
        </w:rPr>
        <w:t>95523</w:t>
      </w:r>
    </w:p>
    <w:p w:rsidR="00FD686E" w:rsidRPr="00990AA9" w:rsidRDefault="00A24577" w:rsidP="00990AA9">
      <w:pPr>
        <w:autoSpaceDE w:val="0"/>
        <w:autoSpaceDN w:val="0"/>
        <w:adjustRightInd w:val="0"/>
        <w:spacing w:line="360" w:lineRule="auto"/>
        <w:ind w:firstLineChars="200" w:firstLine="480"/>
        <w:rPr>
          <w:rFonts w:asciiTheme="minorEastAsia" w:eastAsiaTheme="minorEastAsia" w:hAnsiTheme="minorEastAsia"/>
          <w:sz w:val="24"/>
          <w:szCs w:val="24"/>
        </w:rPr>
      </w:pPr>
      <w:r w:rsidRPr="00990AA9">
        <w:rPr>
          <w:rFonts w:asciiTheme="minorEastAsia" w:eastAsiaTheme="minorEastAsia" w:hAnsiTheme="minorEastAsia" w:hint="eastAsia"/>
          <w:sz w:val="24"/>
          <w:szCs w:val="24"/>
        </w:rPr>
        <w:t>网址：</w:t>
      </w:r>
      <w:hyperlink r:id="rId10" w:history="1">
        <w:r w:rsidR="009C7849" w:rsidRPr="00990AA9">
          <w:rPr>
            <w:rFonts w:asciiTheme="minorEastAsia" w:eastAsiaTheme="minorEastAsia" w:hAnsiTheme="minorEastAsia"/>
            <w:sz w:val="24"/>
            <w:szCs w:val="24"/>
          </w:rPr>
          <w:t>www.swhysc.com</w:t>
        </w:r>
      </w:hyperlink>
      <w:bookmarkStart w:id="0" w:name="_GoBack"/>
      <w:bookmarkEnd w:id="0"/>
    </w:p>
    <w:p w:rsidR="009C7849" w:rsidRPr="00581B25" w:rsidRDefault="009C7849">
      <w:pPr>
        <w:autoSpaceDE w:val="0"/>
        <w:autoSpaceDN w:val="0"/>
        <w:adjustRightInd w:val="0"/>
        <w:spacing w:line="360" w:lineRule="auto"/>
        <w:ind w:firstLineChars="200" w:firstLine="480"/>
        <w:rPr>
          <w:rFonts w:asciiTheme="minorEastAsia" w:eastAsiaTheme="minorEastAsia" w:hAnsiTheme="minorEastAsia"/>
          <w:sz w:val="24"/>
          <w:szCs w:val="24"/>
        </w:rPr>
      </w:pPr>
    </w:p>
    <w:p w:rsidR="009C7849" w:rsidRPr="00581B25" w:rsidRDefault="00E30ED1" w:rsidP="009C7849">
      <w:pPr>
        <w:autoSpaceDE w:val="0"/>
        <w:autoSpaceDN w:val="0"/>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w:t>
      </w:r>
      <w:r w:rsidR="009C7849" w:rsidRPr="00581B25">
        <w:rPr>
          <w:rFonts w:asciiTheme="minorEastAsia" w:eastAsiaTheme="minorEastAsia" w:hAnsiTheme="minorEastAsia" w:hint="eastAsia"/>
          <w:sz w:val="24"/>
          <w:szCs w:val="24"/>
        </w:rPr>
        <w:t>、申万宏源西部证券有限公司</w:t>
      </w:r>
    </w:p>
    <w:p w:rsidR="009C7849" w:rsidRPr="00581B25" w:rsidRDefault="009C7849" w:rsidP="009C7849">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客户服务电话</w:t>
      </w:r>
      <w:r w:rsidRPr="00581B25">
        <w:rPr>
          <w:rFonts w:asciiTheme="minorEastAsia" w:eastAsiaTheme="minorEastAsia" w:hAnsiTheme="minorEastAsia"/>
          <w:sz w:val="24"/>
          <w:szCs w:val="24"/>
        </w:rPr>
        <w:t>：</w:t>
      </w:r>
      <w:r w:rsidR="00936D1F" w:rsidRPr="00581B25">
        <w:rPr>
          <w:rFonts w:asciiTheme="minorEastAsia" w:eastAsiaTheme="minorEastAsia" w:hAnsiTheme="minorEastAsia"/>
          <w:sz w:val="24"/>
          <w:szCs w:val="24"/>
        </w:rPr>
        <w:t>400-800-0562</w:t>
      </w:r>
    </w:p>
    <w:p w:rsidR="00FD686E" w:rsidRPr="00581B25" w:rsidRDefault="009C7849" w:rsidP="00AC0C32">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网址：</w:t>
      </w:r>
      <w:r w:rsidR="00936D1F" w:rsidRPr="00581B25">
        <w:rPr>
          <w:rFonts w:asciiTheme="minorEastAsia" w:eastAsiaTheme="minorEastAsia" w:hAnsiTheme="minorEastAsia"/>
          <w:sz w:val="24"/>
          <w:szCs w:val="24"/>
        </w:rPr>
        <w:t>www.</w:t>
      </w:r>
      <w:r w:rsidRPr="00581B25">
        <w:rPr>
          <w:rFonts w:asciiTheme="minorEastAsia" w:eastAsiaTheme="minorEastAsia" w:hAnsiTheme="minorEastAsia"/>
          <w:sz w:val="24"/>
          <w:szCs w:val="24"/>
        </w:rPr>
        <w:t>hys</w:t>
      </w:r>
      <w:r w:rsidR="00936D1F" w:rsidRPr="00581B25">
        <w:rPr>
          <w:rFonts w:asciiTheme="minorEastAsia" w:eastAsiaTheme="minorEastAsia" w:hAnsiTheme="minorEastAsia" w:hint="eastAsia"/>
          <w:sz w:val="24"/>
          <w:szCs w:val="24"/>
        </w:rPr>
        <w:t>e</w:t>
      </w:r>
      <w:r w:rsidRPr="00581B25">
        <w:rPr>
          <w:rFonts w:asciiTheme="minorEastAsia" w:eastAsiaTheme="minorEastAsia" w:hAnsiTheme="minorEastAsia"/>
          <w:sz w:val="24"/>
          <w:szCs w:val="24"/>
        </w:rPr>
        <w:t>c.com</w:t>
      </w:r>
    </w:p>
    <w:p w:rsidR="00FD686E" w:rsidRPr="00581B25" w:rsidRDefault="00A24577">
      <w:pPr>
        <w:autoSpaceDE w:val="0"/>
        <w:autoSpaceDN w:val="0"/>
        <w:adjustRightInd w:val="0"/>
        <w:spacing w:line="360" w:lineRule="auto"/>
        <w:jc w:val="left"/>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lastRenderedPageBreak/>
        <w:t>风险提示：</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基金管理人承诺以诚实信用、勤勉尽责的原则管理和运用基金资产，但并不保证基金一定盈利，也不保证最低收益。</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基金不同于银行储蓄和债券等能够提供固定收益预期的金融工具，基金投资人购买基金，既可能按其持有份额分享基金投资所产生的收益，也可能承担基金投资所带来的损失。基金的过往业绩及其净值高低并不预示其未来业绩表现，基金管理人管理的其他基金的业绩并不构成基金业绩表现的保证。指数历史业绩不预示指数未来表现，也不代表本基金的未来业绩表现。我国基金运作时间较短，不能反映证券市场发展的所有阶段。基金投资人在做出投资决策后，基金运营状况与基金净值波动变化引致的投资风险由投资人自行负担。</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基金投资人在做出投资决策前，请务必详细阅读该基金相关的《基金合同》、《招募说明书》、《基金产品资料概要》及其更新等法律文件，全面了解该基金的具体情况、风险评级及特有风险。请务必了解投资者适当性管理相关规定，提前进行风险承受能力测评，在了解基金收益与风险特征的前提下选择与自身风险承受能力相匹配的基金产品进行投资。如基金投资人开立基金账户时提供的相关信息发生重要变化，可能影响风险承受能力评价结果，请及时告知基金销售机构并更新风险承受能力测评结果。</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基金有风险，投资需谨慎。</w:t>
      </w:r>
    </w:p>
    <w:p w:rsidR="00FD686E" w:rsidRPr="00581B25" w:rsidRDefault="00A24577">
      <w:pPr>
        <w:autoSpaceDE w:val="0"/>
        <w:autoSpaceDN w:val="0"/>
        <w:adjustRightInd w:val="0"/>
        <w:spacing w:line="360" w:lineRule="auto"/>
        <w:ind w:firstLineChars="200" w:firstLine="480"/>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特此公告。</w:t>
      </w:r>
    </w:p>
    <w:p w:rsidR="00FD686E" w:rsidRPr="00581B25" w:rsidRDefault="00FD686E">
      <w:pPr>
        <w:autoSpaceDE w:val="0"/>
        <w:autoSpaceDN w:val="0"/>
        <w:adjustRightInd w:val="0"/>
        <w:spacing w:line="360" w:lineRule="auto"/>
        <w:ind w:firstLineChars="200" w:firstLine="480"/>
        <w:jc w:val="left"/>
        <w:rPr>
          <w:rFonts w:asciiTheme="minorEastAsia" w:eastAsiaTheme="minorEastAsia" w:hAnsiTheme="minorEastAsia"/>
          <w:sz w:val="24"/>
          <w:szCs w:val="24"/>
        </w:rPr>
      </w:pPr>
    </w:p>
    <w:p w:rsidR="00FD686E" w:rsidRPr="00581B25" w:rsidRDefault="00FD686E">
      <w:pPr>
        <w:autoSpaceDE w:val="0"/>
        <w:autoSpaceDN w:val="0"/>
        <w:adjustRightInd w:val="0"/>
        <w:spacing w:line="360" w:lineRule="auto"/>
        <w:ind w:firstLineChars="200" w:firstLine="480"/>
        <w:jc w:val="left"/>
        <w:rPr>
          <w:rFonts w:asciiTheme="minorEastAsia" w:eastAsiaTheme="minorEastAsia" w:hAnsiTheme="minorEastAsia"/>
          <w:sz w:val="24"/>
          <w:szCs w:val="24"/>
        </w:rPr>
      </w:pPr>
    </w:p>
    <w:p w:rsidR="00FD686E" w:rsidRPr="00581B25" w:rsidRDefault="00A24577">
      <w:pPr>
        <w:autoSpaceDE w:val="0"/>
        <w:autoSpaceDN w:val="0"/>
        <w:adjustRightInd w:val="0"/>
        <w:spacing w:line="360" w:lineRule="auto"/>
        <w:ind w:firstLineChars="200" w:firstLine="480"/>
        <w:jc w:val="right"/>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西藏</w:t>
      </w:r>
      <w:r w:rsidRPr="00581B25">
        <w:rPr>
          <w:rFonts w:asciiTheme="minorEastAsia" w:eastAsiaTheme="minorEastAsia" w:hAnsiTheme="minorEastAsia"/>
          <w:sz w:val="24"/>
          <w:szCs w:val="24"/>
        </w:rPr>
        <w:t>东财基金管理有限公司</w:t>
      </w:r>
    </w:p>
    <w:p w:rsidR="00FD686E" w:rsidRPr="00581B25" w:rsidRDefault="00A24577">
      <w:pPr>
        <w:wordWrap w:val="0"/>
        <w:autoSpaceDE w:val="0"/>
        <w:autoSpaceDN w:val="0"/>
        <w:adjustRightInd w:val="0"/>
        <w:spacing w:line="360" w:lineRule="auto"/>
        <w:ind w:right="520" w:firstLineChars="200" w:firstLine="480"/>
        <w:jc w:val="right"/>
        <w:rPr>
          <w:rFonts w:asciiTheme="minorEastAsia" w:eastAsiaTheme="minorEastAsia" w:hAnsiTheme="minorEastAsia"/>
          <w:sz w:val="24"/>
          <w:szCs w:val="24"/>
        </w:rPr>
      </w:pPr>
      <w:r w:rsidRPr="00581B25">
        <w:rPr>
          <w:rFonts w:asciiTheme="minorEastAsia" w:eastAsiaTheme="minorEastAsia" w:hAnsiTheme="minorEastAsia" w:hint="eastAsia"/>
          <w:sz w:val="24"/>
          <w:szCs w:val="24"/>
        </w:rPr>
        <w:t>2</w:t>
      </w:r>
      <w:r w:rsidRPr="00581B25">
        <w:rPr>
          <w:rFonts w:asciiTheme="minorEastAsia" w:eastAsiaTheme="minorEastAsia" w:hAnsiTheme="minorEastAsia"/>
          <w:sz w:val="24"/>
          <w:szCs w:val="24"/>
        </w:rPr>
        <w:t>0</w:t>
      </w:r>
      <w:r w:rsidRPr="00581B25">
        <w:rPr>
          <w:rFonts w:asciiTheme="minorEastAsia" w:eastAsiaTheme="minorEastAsia" w:hAnsiTheme="minorEastAsia" w:hint="eastAsia"/>
          <w:sz w:val="24"/>
          <w:szCs w:val="24"/>
        </w:rPr>
        <w:t>20年12月</w:t>
      </w:r>
      <w:r w:rsidR="007D6CDC" w:rsidRPr="00581B25">
        <w:rPr>
          <w:rFonts w:asciiTheme="minorEastAsia" w:eastAsiaTheme="minorEastAsia" w:hAnsiTheme="minorEastAsia" w:hint="eastAsia"/>
          <w:sz w:val="24"/>
          <w:szCs w:val="24"/>
        </w:rPr>
        <w:t>24</w:t>
      </w:r>
      <w:r w:rsidRPr="00581B25">
        <w:rPr>
          <w:rFonts w:asciiTheme="minorEastAsia" w:eastAsiaTheme="minorEastAsia" w:hAnsiTheme="minorEastAsia" w:hint="eastAsia"/>
          <w:sz w:val="24"/>
          <w:szCs w:val="24"/>
        </w:rPr>
        <w:t>日</w:t>
      </w:r>
    </w:p>
    <w:p w:rsidR="00FD686E" w:rsidRPr="00581B25" w:rsidRDefault="00FD686E">
      <w:pPr>
        <w:rPr>
          <w:rFonts w:asciiTheme="minorEastAsia" w:eastAsiaTheme="minorEastAsia" w:hAnsiTheme="minorEastAsia"/>
        </w:rPr>
      </w:pPr>
    </w:p>
    <w:sectPr w:rsidR="00FD686E" w:rsidRPr="00581B25" w:rsidSect="00EF3620">
      <w:pgSz w:w="11906" w:h="16838"/>
      <w:pgMar w:top="1440" w:right="1800" w:bottom="1440" w:left="1800"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D4" w:rsidRDefault="00D74AD4" w:rsidP="004D57F6">
      <w:r>
        <w:separator/>
      </w:r>
    </w:p>
  </w:endnote>
  <w:endnote w:type="continuationSeparator" w:id="0">
    <w:p w:rsidR="00D74AD4" w:rsidRDefault="00D74AD4" w:rsidP="004D5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D4" w:rsidRDefault="00D74AD4" w:rsidP="004D57F6">
      <w:r>
        <w:separator/>
      </w:r>
    </w:p>
  </w:footnote>
  <w:footnote w:type="continuationSeparator" w:id="0">
    <w:p w:rsidR="00D74AD4" w:rsidRDefault="00D74AD4" w:rsidP="004D5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17E01"/>
    <w:multiLevelType w:val="multilevel"/>
    <w:tmpl w:val="6C717E01"/>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5CB"/>
    <w:rsid w:val="00007301"/>
    <w:rsid w:val="000144E7"/>
    <w:rsid w:val="00022376"/>
    <w:rsid w:val="00033115"/>
    <w:rsid w:val="000356F7"/>
    <w:rsid w:val="00040237"/>
    <w:rsid w:val="000508D6"/>
    <w:rsid w:val="0005157B"/>
    <w:rsid w:val="00062AC1"/>
    <w:rsid w:val="0009132D"/>
    <w:rsid w:val="0009278A"/>
    <w:rsid w:val="000955E7"/>
    <w:rsid w:val="000A6D26"/>
    <w:rsid w:val="000D7CCC"/>
    <w:rsid w:val="000E4087"/>
    <w:rsid w:val="000F28E3"/>
    <w:rsid w:val="0010254C"/>
    <w:rsid w:val="00102835"/>
    <w:rsid w:val="001049F7"/>
    <w:rsid w:val="00136134"/>
    <w:rsid w:val="00146DB3"/>
    <w:rsid w:val="00151039"/>
    <w:rsid w:val="00151830"/>
    <w:rsid w:val="00152CC9"/>
    <w:rsid w:val="00163310"/>
    <w:rsid w:val="00163C82"/>
    <w:rsid w:val="001735CB"/>
    <w:rsid w:val="00184198"/>
    <w:rsid w:val="001847F0"/>
    <w:rsid w:val="001851DB"/>
    <w:rsid w:val="00187CDF"/>
    <w:rsid w:val="0019026C"/>
    <w:rsid w:val="0019160B"/>
    <w:rsid w:val="001A2DE1"/>
    <w:rsid w:val="001B4B3C"/>
    <w:rsid w:val="001B6CC5"/>
    <w:rsid w:val="001C090E"/>
    <w:rsid w:val="001D102E"/>
    <w:rsid w:val="001D1389"/>
    <w:rsid w:val="001E2674"/>
    <w:rsid w:val="0022508B"/>
    <w:rsid w:val="00237DD2"/>
    <w:rsid w:val="00255A27"/>
    <w:rsid w:val="00261157"/>
    <w:rsid w:val="00282CA2"/>
    <w:rsid w:val="00284802"/>
    <w:rsid w:val="00286017"/>
    <w:rsid w:val="00287AFA"/>
    <w:rsid w:val="00293C62"/>
    <w:rsid w:val="00296B9B"/>
    <w:rsid w:val="00297789"/>
    <w:rsid w:val="002A1F44"/>
    <w:rsid w:val="002A62E5"/>
    <w:rsid w:val="002B7549"/>
    <w:rsid w:val="002C7729"/>
    <w:rsid w:val="002D6FD5"/>
    <w:rsid w:val="002D78E1"/>
    <w:rsid w:val="002E33AE"/>
    <w:rsid w:val="002F018B"/>
    <w:rsid w:val="002F395F"/>
    <w:rsid w:val="002F6934"/>
    <w:rsid w:val="002F7DBC"/>
    <w:rsid w:val="003061D2"/>
    <w:rsid w:val="00315AF7"/>
    <w:rsid w:val="003170F5"/>
    <w:rsid w:val="00321AC3"/>
    <w:rsid w:val="00351F63"/>
    <w:rsid w:val="003644D6"/>
    <w:rsid w:val="0037591B"/>
    <w:rsid w:val="00382151"/>
    <w:rsid w:val="00385ABB"/>
    <w:rsid w:val="003867E0"/>
    <w:rsid w:val="00397AD5"/>
    <w:rsid w:val="003B1F49"/>
    <w:rsid w:val="003B5B31"/>
    <w:rsid w:val="003D35C5"/>
    <w:rsid w:val="003D6468"/>
    <w:rsid w:val="003E08A5"/>
    <w:rsid w:val="003F5348"/>
    <w:rsid w:val="004036E4"/>
    <w:rsid w:val="00403B07"/>
    <w:rsid w:val="00404434"/>
    <w:rsid w:val="004044AC"/>
    <w:rsid w:val="00406D82"/>
    <w:rsid w:val="00413337"/>
    <w:rsid w:val="00420AB5"/>
    <w:rsid w:val="0042716F"/>
    <w:rsid w:val="00436BBC"/>
    <w:rsid w:val="00454B10"/>
    <w:rsid w:val="00454B24"/>
    <w:rsid w:val="004705E4"/>
    <w:rsid w:val="00482F13"/>
    <w:rsid w:val="004835BE"/>
    <w:rsid w:val="004A0D12"/>
    <w:rsid w:val="004D0846"/>
    <w:rsid w:val="004D230C"/>
    <w:rsid w:val="004D511F"/>
    <w:rsid w:val="004D57F6"/>
    <w:rsid w:val="004E03C3"/>
    <w:rsid w:val="004F70FF"/>
    <w:rsid w:val="00511DAB"/>
    <w:rsid w:val="00515C7B"/>
    <w:rsid w:val="005204F8"/>
    <w:rsid w:val="00521DB9"/>
    <w:rsid w:val="00530D92"/>
    <w:rsid w:val="00542EE2"/>
    <w:rsid w:val="005443C4"/>
    <w:rsid w:val="00544AAA"/>
    <w:rsid w:val="00553F57"/>
    <w:rsid w:val="00572DE0"/>
    <w:rsid w:val="00581B25"/>
    <w:rsid w:val="00591822"/>
    <w:rsid w:val="00595ACD"/>
    <w:rsid w:val="005B0099"/>
    <w:rsid w:val="005C5AD8"/>
    <w:rsid w:val="005C6B22"/>
    <w:rsid w:val="005D49FA"/>
    <w:rsid w:val="005D5552"/>
    <w:rsid w:val="005D59A0"/>
    <w:rsid w:val="005E7664"/>
    <w:rsid w:val="005F27B9"/>
    <w:rsid w:val="00600C81"/>
    <w:rsid w:val="00615DB1"/>
    <w:rsid w:val="00637E0F"/>
    <w:rsid w:val="00653439"/>
    <w:rsid w:val="00665F84"/>
    <w:rsid w:val="00674411"/>
    <w:rsid w:val="0067463B"/>
    <w:rsid w:val="00675D2F"/>
    <w:rsid w:val="00686E16"/>
    <w:rsid w:val="006911F7"/>
    <w:rsid w:val="00696666"/>
    <w:rsid w:val="006A2FD4"/>
    <w:rsid w:val="006A59BC"/>
    <w:rsid w:val="006A7CF6"/>
    <w:rsid w:val="006B443A"/>
    <w:rsid w:val="006C6542"/>
    <w:rsid w:val="006D090B"/>
    <w:rsid w:val="006E7E9D"/>
    <w:rsid w:val="006E7FCE"/>
    <w:rsid w:val="006F635B"/>
    <w:rsid w:val="007025D3"/>
    <w:rsid w:val="007076B8"/>
    <w:rsid w:val="0071728D"/>
    <w:rsid w:val="00722351"/>
    <w:rsid w:val="00726717"/>
    <w:rsid w:val="00733581"/>
    <w:rsid w:val="00737E0C"/>
    <w:rsid w:val="00740276"/>
    <w:rsid w:val="0075205B"/>
    <w:rsid w:val="0076114C"/>
    <w:rsid w:val="00761308"/>
    <w:rsid w:val="007729DB"/>
    <w:rsid w:val="007733C6"/>
    <w:rsid w:val="0077380D"/>
    <w:rsid w:val="00777C46"/>
    <w:rsid w:val="00785E08"/>
    <w:rsid w:val="00786D93"/>
    <w:rsid w:val="007A46FC"/>
    <w:rsid w:val="007A507B"/>
    <w:rsid w:val="007D0E19"/>
    <w:rsid w:val="007D6CDC"/>
    <w:rsid w:val="007F0474"/>
    <w:rsid w:val="007F3C90"/>
    <w:rsid w:val="00802D2E"/>
    <w:rsid w:val="00810B65"/>
    <w:rsid w:val="00837175"/>
    <w:rsid w:val="00840FE3"/>
    <w:rsid w:val="0085541D"/>
    <w:rsid w:val="00857440"/>
    <w:rsid w:val="00863264"/>
    <w:rsid w:val="0087190A"/>
    <w:rsid w:val="00876801"/>
    <w:rsid w:val="008779FE"/>
    <w:rsid w:val="0088421F"/>
    <w:rsid w:val="00895126"/>
    <w:rsid w:val="008961AF"/>
    <w:rsid w:val="008964E3"/>
    <w:rsid w:val="008A596B"/>
    <w:rsid w:val="008A5AD7"/>
    <w:rsid w:val="008B64B4"/>
    <w:rsid w:val="008C013D"/>
    <w:rsid w:val="008C0237"/>
    <w:rsid w:val="008E0332"/>
    <w:rsid w:val="008E16D7"/>
    <w:rsid w:val="008E46D9"/>
    <w:rsid w:val="008F04ED"/>
    <w:rsid w:val="008F177F"/>
    <w:rsid w:val="008F2AF6"/>
    <w:rsid w:val="008F54C9"/>
    <w:rsid w:val="008F5A36"/>
    <w:rsid w:val="00904D80"/>
    <w:rsid w:val="00925ED2"/>
    <w:rsid w:val="00931952"/>
    <w:rsid w:val="00936D1F"/>
    <w:rsid w:val="00936D86"/>
    <w:rsid w:val="00944B22"/>
    <w:rsid w:val="00980378"/>
    <w:rsid w:val="00983051"/>
    <w:rsid w:val="009837DF"/>
    <w:rsid w:val="00990AA9"/>
    <w:rsid w:val="009A26ED"/>
    <w:rsid w:val="009A414E"/>
    <w:rsid w:val="009B45FE"/>
    <w:rsid w:val="009B5D76"/>
    <w:rsid w:val="009B61A1"/>
    <w:rsid w:val="009C23F2"/>
    <w:rsid w:val="009C5989"/>
    <w:rsid w:val="009C5C0B"/>
    <w:rsid w:val="009C7849"/>
    <w:rsid w:val="009D3B33"/>
    <w:rsid w:val="009E1538"/>
    <w:rsid w:val="009F00B9"/>
    <w:rsid w:val="009F118C"/>
    <w:rsid w:val="009F1767"/>
    <w:rsid w:val="009F18CA"/>
    <w:rsid w:val="009F5759"/>
    <w:rsid w:val="00A0142A"/>
    <w:rsid w:val="00A027B2"/>
    <w:rsid w:val="00A02F28"/>
    <w:rsid w:val="00A0334F"/>
    <w:rsid w:val="00A123D2"/>
    <w:rsid w:val="00A21E32"/>
    <w:rsid w:val="00A22CD8"/>
    <w:rsid w:val="00A24577"/>
    <w:rsid w:val="00A26B84"/>
    <w:rsid w:val="00A30A77"/>
    <w:rsid w:val="00A66208"/>
    <w:rsid w:val="00A82356"/>
    <w:rsid w:val="00A850C5"/>
    <w:rsid w:val="00A8618E"/>
    <w:rsid w:val="00A925D6"/>
    <w:rsid w:val="00A929AC"/>
    <w:rsid w:val="00A96939"/>
    <w:rsid w:val="00A96B40"/>
    <w:rsid w:val="00AB2C9B"/>
    <w:rsid w:val="00AB45AD"/>
    <w:rsid w:val="00AB4AE0"/>
    <w:rsid w:val="00AB57B0"/>
    <w:rsid w:val="00AC0C32"/>
    <w:rsid w:val="00AC2E28"/>
    <w:rsid w:val="00AC33A7"/>
    <w:rsid w:val="00AC6DAE"/>
    <w:rsid w:val="00AD6D58"/>
    <w:rsid w:val="00AE0180"/>
    <w:rsid w:val="00AF02C9"/>
    <w:rsid w:val="00AF2AFC"/>
    <w:rsid w:val="00B00805"/>
    <w:rsid w:val="00B03FF8"/>
    <w:rsid w:val="00B06327"/>
    <w:rsid w:val="00B169C4"/>
    <w:rsid w:val="00B23104"/>
    <w:rsid w:val="00B24EFB"/>
    <w:rsid w:val="00B31EF5"/>
    <w:rsid w:val="00B34DEF"/>
    <w:rsid w:val="00B361AA"/>
    <w:rsid w:val="00B46943"/>
    <w:rsid w:val="00B510A3"/>
    <w:rsid w:val="00B52688"/>
    <w:rsid w:val="00B53770"/>
    <w:rsid w:val="00B54915"/>
    <w:rsid w:val="00B60871"/>
    <w:rsid w:val="00B64387"/>
    <w:rsid w:val="00B710F8"/>
    <w:rsid w:val="00B733C8"/>
    <w:rsid w:val="00B804BA"/>
    <w:rsid w:val="00B84155"/>
    <w:rsid w:val="00B9104D"/>
    <w:rsid w:val="00B966D8"/>
    <w:rsid w:val="00BA6F9B"/>
    <w:rsid w:val="00BA799A"/>
    <w:rsid w:val="00BB2F4B"/>
    <w:rsid w:val="00BC5CB1"/>
    <w:rsid w:val="00BD1C82"/>
    <w:rsid w:val="00BD1D1D"/>
    <w:rsid w:val="00BD4AC0"/>
    <w:rsid w:val="00BD4ADC"/>
    <w:rsid w:val="00BD4E99"/>
    <w:rsid w:val="00BE0A25"/>
    <w:rsid w:val="00BE7290"/>
    <w:rsid w:val="00C04B84"/>
    <w:rsid w:val="00C12DAE"/>
    <w:rsid w:val="00C2501A"/>
    <w:rsid w:val="00C3291A"/>
    <w:rsid w:val="00C349D0"/>
    <w:rsid w:val="00C535A2"/>
    <w:rsid w:val="00C62910"/>
    <w:rsid w:val="00C8159E"/>
    <w:rsid w:val="00CB2DBD"/>
    <w:rsid w:val="00CB42FB"/>
    <w:rsid w:val="00CC054C"/>
    <w:rsid w:val="00CC16B4"/>
    <w:rsid w:val="00CC2555"/>
    <w:rsid w:val="00CE53EB"/>
    <w:rsid w:val="00CE6B97"/>
    <w:rsid w:val="00CF4C19"/>
    <w:rsid w:val="00CF4F55"/>
    <w:rsid w:val="00D01842"/>
    <w:rsid w:val="00D03CC5"/>
    <w:rsid w:val="00D0457D"/>
    <w:rsid w:val="00D0794D"/>
    <w:rsid w:val="00D23632"/>
    <w:rsid w:val="00D26BBA"/>
    <w:rsid w:val="00D336C6"/>
    <w:rsid w:val="00D479C5"/>
    <w:rsid w:val="00D578C2"/>
    <w:rsid w:val="00D62574"/>
    <w:rsid w:val="00D65119"/>
    <w:rsid w:val="00D660A1"/>
    <w:rsid w:val="00D74AD4"/>
    <w:rsid w:val="00D90E5E"/>
    <w:rsid w:val="00D92DA9"/>
    <w:rsid w:val="00DA1FC2"/>
    <w:rsid w:val="00DB06D5"/>
    <w:rsid w:val="00DB39A2"/>
    <w:rsid w:val="00DB7537"/>
    <w:rsid w:val="00DC0BE3"/>
    <w:rsid w:val="00DC23E4"/>
    <w:rsid w:val="00DE1F1D"/>
    <w:rsid w:val="00DE7AC5"/>
    <w:rsid w:val="00DF674E"/>
    <w:rsid w:val="00E01B1E"/>
    <w:rsid w:val="00E104AB"/>
    <w:rsid w:val="00E20E2C"/>
    <w:rsid w:val="00E249A4"/>
    <w:rsid w:val="00E30ED1"/>
    <w:rsid w:val="00E362A0"/>
    <w:rsid w:val="00E46443"/>
    <w:rsid w:val="00E61BB2"/>
    <w:rsid w:val="00E71632"/>
    <w:rsid w:val="00E74494"/>
    <w:rsid w:val="00E80BF7"/>
    <w:rsid w:val="00E943D6"/>
    <w:rsid w:val="00E975B6"/>
    <w:rsid w:val="00EB202D"/>
    <w:rsid w:val="00EB412D"/>
    <w:rsid w:val="00EC10A9"/>
    <w:rsid w:val="00EC5386"/>
    <w:rsid w:val="00EF3620"/>
    <w:rsid w:val="00F13B63"/>
    <w:rsid w:val="00F242BA"/>
    <w:rsid w:val="00F35B86"/>
    <w:rsid w:val="00F372D0"/>
    <w:rsid w:val="00F45CCF"/>
    <w:rsid w:val="00F461E5"/>
    <w:rsid w:val="00F61D5C"/>
    <w:rsid w:val="00F71771"/>
    <w:rsid w:val="00F7450B"/>
    <w:rsid w:val="00F76492"/>
    <w:rsid w:val="00F84C0F"/>
    <w:rsid w:val="00F9201D"/>
    <w:rsid w:val="00FA16CB"/>
    <w:rsid w:val="00FC4AAD"/>
    <w:rsid w:val="00FD5926"/>
    <w:rsid w:val="00FD686E"/>
    <w:rsid w:val="04FB6CD9"/>
    <w:rsid w:val="62927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620"/>
    <w:pPr>
      <w:jc w:val="both"/>
    </w:pPr>
    <w:rPr>
      <w:rFonts w:ascii="Calibri" w:eastAsia="宋体" w:hAnsi="Calibri"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EF3620"/>
    <w:pPr>
      <w:jc w:val="left"/>
    </w:pPr>
  </w:style>
  <w:style w:type="paragraph" w:styleId="a4">
    <w:name w:val="Balloon Text"/>
    <w:basedOn w:val="a"/>
    <w:link w:val="Char0"/>
    <w:uiPriority w:val="99"/>
    <w:semiHidden/>
    <w:unhideWhenUsed/>
    <w:qFormat/>
    <w:rsid w:val="00EF3620"/>
    <w:rPr>
      <w:sz w:val="18"/>
      <w:szCs w:val="18"/>
    </w:rPr>
  </w:style>
  <w:style w:type="paragraph" w:styleId="a5">
    <w:name w:val="footer"/>
    <w:basedOn w:val="a"/>
    <w:link w:val="Char1"/>
    <w:uiPriority w:val="99"/>
    <w:unhideWhenUsed/>
    <w:qFormat/>
    <w:rsid w:val="00EF3620"/>
    <w:pPr>
      <w:tabs>
        <w:tab w:val="center" w:pos="4153"/>
        <w:tab w:val="right" w:pos="8306"/>
      </w:tabs>
      <w:snapToGrid w:val="0"/>
      <w:jc w:val="left"/>
    </w:pPr>
    <w:rPr>
      <w:sz w:val="18"/>
      <w:szCs w:val="18"/>
    </w:rPr>
  </w:style>
  <w:style w:type="paragraph" w:styleId="a6">
    <w:name w:val="header"/>
    <w:basedOn w:val="a"/>
    <w:link w:val="Char2"/>
    <w:uiPriority w:val="99"/>
    <w:unhideWhenUsed/>
    <w:rsid w:val="00EF362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EF3620"/>
    <w:rPr>
      <w:b/>
      <w:bCs/>
    </w:rPr>
  </w:style>
  <w:style w:type="character" w:styleId="a8">
    <w:name w:val="FollowedHyperlink"/>
    <w:basedOn w:val="a0"/>
    <w:uiPriority w:val="99"/>
    <w:semiHidden/>
    <w:unhideWhenUsed/>
    <w:qFormat/>
    <w:rsid w:val="00EF3620"/>
    <w:rPr>
      <w:color w:val="954F72" w:themeColor="followedHyperlink"/>
      <w:u w:val="single"/>
    </w:rPr>
  </w:style>
  <w:style w:type="character" w:styleId="a9">
    <w:name w:val="Hyperlink"/>
    <w:basedOn w:val="a0"/>
    <w:uiPriority w:val="99"/>
    <w:unhideWhenUsed/>
    <w:qFormat/>
    <w:rsid w:val="00EF3620"/>
    <w:rPr>
      <w:color w:val="0563C1" w:themeColor="hyperlink"/>
      <w:u w:val="single"/>
    </w:rPr>
  </w:style>
  <w:style w:type="character" w:styleId="aa">
    <w:name w:val="annotation reference"/>
    <w:basedOn w:val="a0"/>
    <w:uiPriority w:val="99"/>
    <w:semiHidden/>
    <w:unhideWhenUsed/>
    <w:qFormat/>
    <w:rsid w:val="00EF3620"/>
    <w:rPr>
      <w:sz w:val="21"/>
      <w:szCs w:val="21"/>
    </w:rPr>
  </w:style>
  <w:style w:type="character" w:customStyle="1" w:styleId="Char2">
    <w:name w:val="页眉 Char"/>
    <w:basedOn w:val="a0"/>
    <w:link w:val="a6"/>
    <w:uiPriority w:val="99"/>
    <w:qFormat/>
    <w:rsid w:val="00EF3620"/>
    <w:rPr>
      <w:sz w:val="18"/>
      <w:szCs w:val="18"/>
    </w:rPr>
  </w:style>
  <w:style w:type="character" w:customStyle="1" w:styleId="Char1">
    <w:name w:val="页脚 Char"/>
    <w:basedOn w:val="a0"/>
    <w:link w:val="a5"/>
    <w:uiPriority w:val="99"/>
    <w:qFormat/>
    <w:rsid w:val="00EF3620"/>
    <w:rPr>
      <w:sz w:val="18"/>
      <w:szCs w:val="18"/>
    </w:rPr>
  </w:style>
  <w:style w:type="paragraph" w:styleId="ab">
    <w:name w:val="List Paragraph"/>
    <w:basedOn w:val="a"/>
    <w:uiPriority w:val="34"/>
    <w:qFormat/>
    <w:rsid w:val="00EF3620"/>
    <w:pPr>
      <w:widowControl w:val="0"/>
      <w:ind w:firstLineChars="200" w:firstLine="420"/>
    </w:pPr>
    <w:rPr>
      <w:rFonts w:asciiTheme="minorHAnsi" w:eastAsiaTheme="minorEastAsia" w:hAnsiTheme="minorHAnsi" w:cstheme="minorBidi"/>
      <w:kern w:val="2"/>
      <w:szCs w:val="22"/>
    </w:rPr>
  </w:style>
  <w:style w:type="character" w:customStyle="1" w:styleId="Char0">
    <w:name w:val="批注框文本 Char"/>
    <w:basedOn w:val="a0"/>
    <w:link w:val="a4"/>
    <w:uiPriority w:val="99"/>
    <w:semiHidden/>
    <w:qFormat/>
    <w:rsid w:val="00EF3620"/>
    <w:rPr>
      <w:rFonts w:ascii="Calibri" w:eastAsia="宋体" w:hAnsi="Calibri" w:cs="宋体"/>
      <w:kern w:val="0"/>
      <w:sz w:val="18"/>
      <w:szCs w:val="18"/>
    </w:rPr>
  </w:style>
  <w:style w:type="paragraph" w:customStyle="1" w:styleId="1">
    <w:name w:val="修订1"/>
    <w:hidden/>
    <w:uiPriority w:val="99"/>
    <w:semiHidden/>
    <w:qFormat/>
    <w:rsid w:val="00EF3620"/>
    <w:rPr>
      <w:rFonts w:ascii="Calibri" w:eastAsia="宋体" w:hAnsi="Calibri" w:cs="宋体"/>
      <w:sz w:val="21"/>
      <w:szCs w:val="21"/>
    </w:rPr>
  </w:style>
  <w:style w:type="paragraph" w:customStyle="1" w:styleId="Default">
    <w:name w:val="Default"/>
    <w:qFormat/>
    <w:rsid w:val="00EF3620"/>
    <w:pPr>
      <w:widowControl w:val="0"/>
      <w:autoSpaceDE w:val="0"/>
      <w:autoSpaceDN w:val="0"/>
      <w:adjustRightInd w:val="0"/>
    </w:pPr>
    <w:rPr>
      <w:rFonts w:ascii="宋体" w:eastAsia="宋体" w:cs="宋体"/>
      <w:color w:val="000000"/>
      <w:sz w:val="24"/>
      <w:szCs w:val="24"/>
    </w:rPr>
  </w:style>
  <w:style w:type="character" w:customStyle="1" w:styleId="Char">
    <w:name w:val="批注文字 Char"/>
    <w:basedOn w:val="a0"/>
    <w:link w:val="a3"/>
    <w:uiPriority w:val="99"/>
    <w:semiHidden/>
    <w:rsid w:val="00EF3620"/>
    <w:rPr>
      <w:rFonts w:ascii="Calibri" w:eastAsia="宋体" w:hAnsi="Calibri" w:cs="宋体"/>
      <w:kern w:val="0"/>
      <w:szCs w:val="21"/>
    </w:rPr>
  </w:style>
  <w:style w:type="character" w:customStyle="1" w:styleId="Char3">
    <w:name w:val="批注主题 Char"/>
    <w:basedOn w:val="Char"/>
    <w:link w:val="a7"/>
    <w:uiPriority w:val="99"/>
    <w:semiHidden/>
    <w:rsid w:val="00EF3620"/>
    <w:rPr>
      <w:rFonts w:ascii="Calibri" w:eastAsia="宋体" w:hAnsi="Calibri" w:cs="宋体"/>
      <w:b/>
      <w:bCs/>
      <w:kern w:val="0"/>
      <w:szCs w:val="21"/>
    </w:rPr>
  </w:style>
  <w:style w:type="paragraph" w:styleId="ac">
    <w:name w:val="Revision"/>
    <w:hidden/>
    <w:uiPriority w:val="99"/>
    <w:semiHidden/>
    <w:rsid w:val="00AB57B0"/>
    <w:rPr>
      <w:rFonts w:ascii="Calibri" w:eastAsia="宋体" w:hAnsi="Calibri" w:cs="宋体"/>
      <w:sz w:val="21"/>
      <w:szCs w:val="21"/>
    </w:rPr>
  </w:style>
</w:styles>
</file>

<file path=word/webSettings.xml><?xml version="1.0" encoding="utf-8"?>
<w:webSettings xmlns:r="http://schemas.openxmlformats.org/officeDocument/2006/relationships" xmlns:w="http://schemas.openxmlformats.org/wordprocessingml/2006/main">
  <w:divs>
    <w:div w:id="2130121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whysc.com" TargetMode="External"/><Relationship Id="rId4" Type="http://schemas.openxmlformats.org/officeDocument/2006/relationships/styles" Target="styles.xml"/><Relationship Id="rId9" Type="http://schemas.openxmlformats.org/officeDocument/2006/relationships/hyperlink" Target="http://www.dongcai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5351D-2933-44F0-8A7C-557849C5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1585</Characters>
  <Application>Microsoft Office Word</Application>
  <DocSecurity>4</DocSecurity>
  <Lines>13</Lines>
  <Paragraphs>3</Paragraphs>
  <ScaleCrop>false</ScaleCrop>
  <Company>Microsoft</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林东来</dc:creator>
  <cp:keywords/>
  <dc:description/>
  <cp:lastModifiedBy>ZHONGM</cp:lastModifiedBy>
  <cp:revision>2</cp:revision>
  <cp:lastPrinted>2020-12-23T05:07:00Z</cp:lastPrinted>
  <dcterms:created xsi:type="dcterms:W3CDTF">2020-12-23T16:25:00Z</dcterms:created>
  <dcterms:modified xsi:type="dcterms:W3CDTF">2020-12-23T16:25:00Z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