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4E" w:rsidRPr="007A7034" w:rsidRDefault="006B664E" w:rsidP="006B664E">
      <w:pPr>
        <w:jc w:val="center"/>
        <w:rPr>
          <w:rFonts w:ascii="仿宋" w:eastAsia="仿宋" w:hAnsi="仿宋"/>
          <w:b/>
          <w:kern w:val="0"/>
          <w:position w:val="-18"/>
          <w:sz w:val="30"/>
          <w:szCs w:val="30"/>
        </w:rPr>
      </w:pPr>
      <w:r w:rsidRPr="007A7034">
        <w:rPr>
          <w:rFonts w:ascii="仿宋" w:eastAsia="仿宋" w:hAnsi="仿宋" w:hint="eastAsia"/>
          <w:b/>
          <w:kern w:val="0"/>
          <w:position w:val="-18"/>
          <w:sz w:val="30"/>
          <w:szCs w:val="30"/>
        </w:rPr>
        <w:t>泰信基金管理有限公司关于旗下部分基金参加</w:t>
      </w:r>
      <w:r w:rsidR="00023311" w:rsidRPr="007A7034">
        <w:rPr>
          <w:rFonts w:ascii="仿宋" w:eastAsia="仿宋" w:hAnsi="仿宋" w:hint="eastAsia"/>
          <w:b/>
          <w:kern w:val="0"/>
          <w:position w:val="-18"/>
          <w:sz w:val="30"/>
          <w:szCs w:val="30"/>
        </w:rPr>
        <w:t>工商银行</w:t>
      </w:r>
      <w:r w:rsidRPr="007A7034">
        <w:rPr>
          <w:rFonts w:ascii="仿宋" w:eastAsia="仿宋" w:hAnsi="仿宋" w:hint="eastAsia"/>
          <w:b/>
          <w:kern w:val="0"/>
          <w:position w:val="-18"/>
          <w:sz w:val="30"/>
          <w:szCs w:val="30"/>
        </w:rPr>
        <w:t>基金申购费率优惠活动的公告</w:t>
      </w:r>
    </w:p>
    <w:p w:rsidR="006B664E" w:rsidRPr="007A7034" w:rsidRDefault="006B664E" w:rsidP="007A7034">
      <w:pPr>
        <w:spacing w:line="360" w:lineRule="auto"/>
        <w:ind w:firstLineChars="200" w:firstLine="480"/>
        <w:rPr>
          <w:rFonts w:ascii="仿宋" w:eastAsia="仿宋" w:hAnsi="仿宋"/>
          <w:sz w:val="24"/>
          <w:szCs w:val="24"/>
        </w:rPr>
      </w:pPr>
      <w:r w:rsidRPr="007A7034">
        <w:rPr>
          <w:rFonts w:ascii="仿宋" w:eastAsia="仿宋" w:hAnsi="仿宋" w:hint="eastAsia"/>
          <w:sz w:val="24"/>
          <w:szCs w:val="24"/>
        </w:rPr>
        <w:t>为更好满足广大投资者的理财需求，经泰信基金管理有限公司（以下简称“本公司”）与</w:t>
      </w:r>
      <w:r w:rsidR="00023311" w:rsidRPr="007A7034">
        <w:rPr>
          <w:rFonts w:ascii="仿宋" w:eastAsia="仿宋" w:hAnsi="仿宋" w:hint="eastAsia"/>
          <w:sz w:val="24"/>
          <w:szCs w:val="24"/>
        </w:rPr>
        <w:t>中国工商银行</w:t>
      </w:r>
      <w:r w:rsidRPr="007A7034">
        <w:rPr>
          <w:rFonts w:ascii="仿宋" w:eastAsia="仿宋" w:hAnsi="仿宋" w:hint="eastAsia"/>
          <w:sz w:val="24"/>
          <w:szCs w:val="24"/>
        </w:rPr>
        <w:t>股份有限公司（以下简称“</w:t>
      </w:r>
      <w:r w:rsidR="00023311" w:rsidRPr="007A7034">
        <w:rPr>
          <w:rFonts w:ascii="仿宋" w:eastAsia="仿宋" w:hAnsi="仿宋" w:hint="eastAsia"/>
          <w:sz w:val="24"/>
          <w:szCs w:val="24"/>
        </w:rPr>
        <w:t>工商银行</w:t>
      </w:r>
      <w:r w:rsidRPr="007A7034">
        <w:rPr>
          <w:rFonts w:ascii="仿宋" w:eastAsia="仿宋" w:hAnsi="仿宋" w:hint="eastAsia"/>
          <w:sz w:val="24"/>
          <w:szCs w:val="24"/>
        </w:rPr>
        <w:t>”）协商一致，自2</w:t>
      </w:r>
      <w:r w:rsidRPr="007A7034">
        <w:rPr>
          <w:rFonts w:ascii="仿宋" w:eastAsia="仿宋" w:hAnsi="仿宋"/>
          <w:sz w:val="24"/>
          <w:szCs w:val="24"/>
        </w:rPr>
        <w:t>02</w:t>
      </w:r>
      <w:r w:rsidR="00023311" w:rsidRPr="007A7034">
        <w:rPr>
          <w:rFonts w:ascii="仿宋" w:eastAsia="仿宋" w:hAnsi="仿宋"/>
          <w:sz w:val="24"/>
          <w:szCs w:val="24"/>
        </w:rPr>
        <w:t>1</w:t>
      </w:r>
      <w:r w:rsidRPr="007A7034">
        <w:rPr>
          <w:rFonts w:ascii="仿宋" w:eastAsia="仿宋" w:hAnsi="仿宋" w:hint="eastAsia"/>
          <w:sz w:val="24"/>
          <w:szCs w:val="24"/>
        </w:rPr>
        <w:t>年1月1日起，本公司旗下部分基金参加</w:t>
      </w:r>
      <w:r w:rsidR="00023311" w:rsidRPr="007A7034">
        <w:rPr>
          <w:rFonts w:ascii="仿宋" w:eastAsia="仿宋" w:hAnsi="仿宋" w:hint="eastAsia"/>
          <w:sz w:val="24"/>
          <w:szCs w:val="24"/>
        </w:rPr>
        <w:t>工商银行</w:t>
      </w:r>
      <w:r w:rsidRPr="007A7034">
        <w:rPr>
          <w:rFonts w:ascii="仿宋" w:eastAsia="仿宋" w:hAnsi="仿宋" w:hint="eastAsia"/>
          <w:sz w:val="24"/>
          <w:szCs w:val="24"/>
        </w:rPr>
        <w:t>开展的基金申购费率优惠活动，具体的活动时间、优惠费率以</w:t>
      </w:r>
      <w:r w:rsidR="00023311" w:rsidRPr="007A7034">
        <w:rPr>
          <w:rFonts w:ascii="仿宋" w:eastAsia="仿宋" w:hAnsi="仿宋" w:hint="eastAsia"/>
          <w:sz w:val="24"/>
          <w:szCs w:val="24"/>
        </w:rPr>
        <w:t>工商银行</w:t>
      </w:r>
      <w:r w:rsidRPr="007A7034">
        <w:rPr>
          <w:rFonts w:ascii="仿宋" w:eastAsia="仿宋" w:hAnsi="仿宋" w:hint="eastAsia"/>
          <w:sz w:val="24"/>
          <w:szCs w:val="24"/>
        </w:rPr>
        <w:t>的规定为准。相关优惠方案公告如下：</w:t>
      </w:r>
    </w:p>
    <w:p w:rsidR="006B664E" w:rsidRPr="007A7034" w:rsidRDefault="006B664E" w:rsidP="006B664E">
      <w:pPr>
        <w:ind w:firstLineChars="200" w:firstLine="480"/>
        <w:rPr>
          <w:rFonts w:ascii="仿宋" w:eastAsia="仿宋" w:hAnsi="仿宋"/>
          <w:sz w:val="24"/>
          <w:szCs w:val="24"/>
        </w:rPr>
      </w:pPr>
    </w:p>
    <w:p w:rsidR="006B664E" w:rsidRPr="007A7034" w:rsidRDefault="006B664E" w:rsidP="006B664E">
      <w:pPr>
        <w:pStyle w:val="a6"/>
        <w:numPr>
          <w:ilvl w:val="0"/>
          <w:numId w:val="1"/>
        </w:numPr>
        <w:ind w:firstLineChars="0"/>
        <w:rPr>
          <w:rFonts w:ascii="仿宋" w:eastAsia="仿宋" w:hAnsi="仿宋"/>
          <w:b/>
          <w:sz w:val="24"/>
          <w:szCs w:val="24"/>
        </w:rPr>
      </w:pPr>
      <w:r w:rsidRPr="007A7034">
        <w:rPr>
          <w:rFonts w:ascii="仿宋" w:eastAsia="仿宋" w:hAnsi="仿宋" w:hint="eastAsia"/>
          <w:b/>
          <w:sz w:val="24"/>
          <w:szCs w:val="24"/>
        </w:rPr>
        <w:t>适用基金</w:t>
      </w:r>
    </w:p>
    <w:tbl>
      <w:tblPr>
        <w:tblStyle w:val="a7"/>
        <w:tblW w:w="0" w:type="auto"/>
        <w:tblInd w:w="279" w:type="dxa"/>
        <w:tblLook w:val="04A0"/>
      </w:tblPr>
      <w:tblGrid>
        <w:gridCol w:w="709"/>
        <w:gridCol w:w="5418"/>
        <w:gridCol w:w="1559"/>
      </w:tblGrid>
      <w:tr w:rsidR="003906E4" w:rsidRPr="007A7034" w:rsidTr="007A7034">
        <w:tc>
          <w:tcPr>
            <w:tcW w:w="709" w:type="dxa"/>
            <w:vAlign w:val="center"/>
          </w:tcPr>
          <w:p w:rsidR="003906E4" w:rsidRPr="007A7034" w:rsidRDefault="003906E4" w:rsidP="007A7034">
            <w:pPr>
              <w:rPr>
                <w:rFonts w:ascii="仿宋" w:eastAsia="仿宋" w:hAnsi="仿宋"/>
                <w:position w:val="-18"/>
                <w:sz w:val="24"/>
                <w:szCs w:val="24"/>
              </w:rPr>
            </w:pPr>
            <w:r w:rsidRPr="007A7034">
              <w:rPr>
                <w:rFonts w:ascii="仿宋" w:eastAsia="仿宋" w:hAnsi="仿宋" w:hint="eastAsia"/>
                <w:sz w:val="24"/>
                <w:szCs w:val="24"/>
              </w:rPr>
              <w:t>序号</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基金名称</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基金代码</w:t>
            </w:r>
          </w:p>
        </w:tc>
      </w:tr>
      <w:tr w:rsidR="003906E4" w:rsidRPr="007A7034" w:rsidTr="007A7034">
        <w:tc>
          <w:tcPr>
            <w:tcW w:w="70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1</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泰信先行策略开放式证券投资基金</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290002</w:t>
            </w:r>
          </w:p>
        </w:tc>
      </w:tr>
      <w:tr w:rsidR="003906E4" w:rsidRPr="007A7034" w:rsidTr="007A7034">
        <w:tc>
          <w:tcPr>
            <w:tcW w:w="70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2</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泰信双息双利债券型证券投资基金</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290003</w:t>
            </w:r>
          </w:p>
        </w:tc>
      </w:tr>
      <w:tr w:rsidR="003906E4" w:rsidRPr="007A7034" w:rsidTr="007A7034">
        <w:tc>
          <w:tcPr>
            <w:tcW w:w="70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3</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泰信优质生活混合型证券投资基金</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290004</w:t>
            </w:r>
          </w:p>
        </w:tc>
      </w:tr>
      <w:tr w:rsidR="003906E4" w:rsidRPr="007A7034" w:rsidTr="007A7034">
        <w:tc>
          <w:tcPr>
            <w:tcW w:w="70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4</w:t>
            </w:r>
          </w:p>
        </w:tc>
        <w:tc>
          <w:tcPr>
            <w:tcW w:w="5418"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泰信优势增长灵活配置混合型证券投资基金</w:t>
            </w:r>
          </w:p>
        </w:tc>
        <w:tc>
          <w:tcPr>
            <w:tcW w:w="155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290005</w:t>
            </w:r>
          </w:p>
        </w:tc>
      </w:tr>
      <w:tr w:rsidR="003906E4" w:rsidRPr="007A7034" w:rsidTr="007A7034">
        <w:tc>
          <w:tcPr>
            <w:tcW w:w="70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5</w:t>
            </w:r>
          </w:p>
        </w:tc>
        <w:tc>
          <w:tcPr>
            <w:tcW w:w="5418"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泰信蓝筹精选混合型证券投资基金</w:t>
            </w:r>
          </w:p>
        </w:tc>
        <w:tc>
          <w:tcPr>
            <w:tcW w:w="155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290006</w:t>
            </w:r>
          </w:p>
        </w:tc>
      </w:tr>
      <w:tr w:rsidR="003906E4" w:rsidRPr="007A7034" w:rsidTr="007A7034">
        <w:tc>
          <w:tcPr>
            <w:tcW w:w="709" w:type="dxa"/>
            <w:vMerge w:val="restart"/>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6</w:t>
            </w:r>
          </w:p>
        </w:tc>
        <w:tc>
          <w:tcPr>
            <w:tcW w:w="5418" w:type="dxa"/>
            <w:vMerge w:val="restart"/>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泰信增强收益债券型证券投资基金</w:t>
            </w:r>
          </w:p>
        </w:tc>
        <w:tc>
          <w:tcPr>
            <w:tcW w:w="155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sz w:val="24"/>
                <w:szCs w:val="24"/>
              </w:rPr>
              <w:t>290007</w:t>
            </w:r>
          </w:p>
        </w:tc>
      </w:tr>
      <w:tr w:rsidR="003906E4" w:rsidRPr="007A7034" w:rsidTr="007A7034">
        <w:tc>
          <w:tcPr>
            <w:tcW w:w="709" w:type="dxa"/>
            <w:vMerge/>
            <w:vAlign w:val="center"/>
          </w:tcPr>
          <w:p w:rsidR="003906E4" w:rsidRPr="007A7034" w:rsidRDefault="003906E4" w:rsidP="00427842">
            <w:pPr>
              <w:jc w:val="center"/>
              <w:rPr>
                <w:rFonts w:ascii="仿宋" w:eastAsia="仿宋" w:hAnsi="仿宋"/>
                <w:sz w:val="24"/>
                <w:szCs w:val="24"/>
              </w:rPr>
            </w:pPr>
          </w:p>
        </w:tc>
        <w:tc>
          <w:tcPr>
            <w:tcW w:w="5418" w:type="dxa"/>
            <w:vMerge/>
            <w:vAlign w:val="center"/>
          </w:tcPr>
          <w:p w:rsidR="003906E4" w:rsidRPr="007A7034" w:rsidRDefault="003906E4" w:rsidP="00427842">
            <w:pPr>
              <w:jc w:val="center"/>
              <w:rPr>
                <w:rFonts w:ascii="仿宋" w:eastAsia="仿宋" w:hAnsi="仿宋"/>
                <w:sz w:val="24"/>
                <w:szCs w:val="24"/>
              </w:rPr>
            </w:pPr>
          </w:p>
        </w:tc>
        <w:tc>
          <w:tcPr>
            <w:tcW w:w="155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291007</w:t>
            </w:r>
          </w:p>
        </w:tc>
      </w:tr>
      <w:tr w:rsidR="003906E4" w:rsidRPr="007A7034" w:rsidTr="007A7034">
        <w:tc>
          <w:tcPr>
            <w:tcW w:w="70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7</w:t>
            </w:r>
          </w:p>
        </w:tc>
        <w:tc>
          <w:tcPr>
            <w:tcW w:w="5418"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泰信发展主题混合型证券投资基金</w:t>
            </w:r>
          </w:p>
        </w:tc>
        <w:tc>
          <w:tcPr>
            <w:tcW w:w="155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290008</w:t>
            </w:r>
          </w:p>
        </w:tc>
      </w:tr>
      <w:tr w:rsidR="003906E4" w:rsidRPr="007A7034" w:rsidTr="007A7034">
        <w:tc>
          <w:tcPr>
            <w:tcW w:w="70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8</w:t>
            </w:r>
          </w:p>
        </w:tc>
        <w:tc>
          <w:tcPr>
            <w:tcW w:w="5418"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泰信周期回报债券型证券投资基金</w:t>
            </w:r>
          </w:p>
        </w:tc>
        <w:tc>
          <w:tcPr>
            <w:tcW w:w="155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2</w:t>
            </w:r>
            <w:r w:rsidRPr="007A7034">
              <w:rPr>
                <w:rFonts w:ascii="仿宋" w:eastAsia="仿宋" w:hAnsi="仿宋"/>
                <w:sz w:val="24"/>
                <w:szCs w:val="24"/>
              </w:rPr>
              <w:t>90009</w:t>
            </w:r>
          </w:p>
        </w:tc>
      </w:tr>
      <w:tr w:rsidR="003906E4" w:rsidRPr="007A7034" w:rsidTr="007A7034">
        <w:tc>
          <w:tcPr>
            <w:tcW w:w="70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9</w:t>
            </w:r>
          </w:p>
        </w:tc>
        <w:tc>
          <w:tcPr>
            <w:tcW w:w="5418"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泰信中证200指数证券投资基金</w:t>
            </w:r>
          </w:p>
        </w:tc>
        <w:tc>
          <w:tcPr>
            <w:tcW w:w="155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290010</w:t>
            </w:r>
          </w:p>
        </w:tc>
      </w:tr>
      <w:tr w:rsidR="003906E4" w:rsidRPr="007A7034" w:rsidTr="007A7034">
        <w:tc>
          <w:tcPr>
            <w:tcW w:w="70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10</w:t>
            </w:r>
          </w:p>
        </w:tc>
        <w:tc>
          <w:tcPr>
            <w:tcW w:w="5418"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泰信中小盘精选混合型证券投资基金</w:t>
            </w:r>
          </w:p>
        </w:tc>
        <w:tc>
          <w:tcPr>
            <w:tcW w:w="155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290011</w:t>
            </w:r>
          </w:p>
        </w:tc>
      </w:tr>
      <w:tr w:rsidR="003906E4" w:rsidRPr="007A7034" w:rsidTr="007A7034">
        <w:tc>
          <w:tcPr>
            <w:tcW w:w="70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11</w:t>
            </w:r>
          </w:p>
        </w:tc>
        <w:tc>
          <w:tcPr>
            <w:tcW w:w="5418"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泰信行业精选混合型证券投资基金</w:t>
            </w:r>
          </w:p>
        </w:tc>
        <w:tc>
          <w:tcPr>
            <w:tcW w:w="1559" w:type="dxa"/>
            <w:vAlign w:val="center"/>
          </w:tcPr>
          <w:p w:rsidR="003906E4" w:rsidRPr="007A7034" w:rsidRDefault="003906E4" w:rsidP="00427842">
            <w:pPr>
              <w:jc w:val="center"/>
              <w:rPr>
                <w:rFonts w:ascii="仿宋" w:eastAsia="仿宋" w:hAnsi="仿宋"/>
                <w:sz w:val="24"/>
                <w:szCs w:val="24"/>
              </w:rPr>
            </w:pPr>
            <w:r w:rsidRPr="007A7034">
              <w:rPr>
                <w:rFonts w:ascii="仿宋" w:eastAsia="仿宋" w:hAnsi="仿宋" w:hint="eastAsia"/>
                <w:sz w:val="24"/>
                <w:szCs w:val="24"/>
              </w:rPr>
              <w:t>290012</w:t>
            </w:r>
          </w:p>
        </w:tc>
      </w:tr>
      <w:tr w:rsidR="003906E4" w:rsidRPr="007A7034" w:rsidTr="007A7034">
        <w:tc>
          <w:tcPr>
            <w:tcW w:w="70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12</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泰信中证锐联基本面400指数证券投资基金</w:t>
            </w:r>
            <w:r w:rsidRPr="007A7034">
              <w:rPr>
                <w:rFonts w:ascii="仿宋" w:eastAsia="仿宋" w:hAnsi="仿宋" w:hint="eastAsia"/>
                <w:sz w:val="24"/>
                <w:szCs w:val="24"/>
              </w:rPr>
              <w:lastRenderedPageBreak/>
              <w:t>（LOF）</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lastRenderedPageBreak/>
              <w:t>162907</w:t>
            </w:r>
          </w:p>
        </w:tc>
      </w:tr>
      <w:tr w:rsidR="003906E4" w:rsidRPr="007A7034" w:rsidTr="007A7034">
        <w:tc>
          <w:tcPr>
            <w:tcW w:w="70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lastRenderedPageBreak/>
              <w:t>13</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泰信现代服务业混合型证券投资基金</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290014</w:t>
            </w:r>
          </w:p>
        </w:tc>
      </w:tr>
      <w:tr w:rsidR="003906E4" w:rsidRPr="007A7034" w:rsidTr="007A7034">
        <w:tc>
          <w:tcPr>
            <w:tcW w:w="70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14</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泰信国策驱动灵活配置混合型证券投资基金</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001569</w:t>
            </w:r>
          </w:p>
        </w:tc>
      </w:tr>
      <w:tr w:rsidR="003906E4" w:rsidRPr="007A7034" w:rsidTr="007A7034">
        <w:tc>
          <w:tcPr>
            <w:tcW w:w="70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15</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泰信鑫选灵活配置混合型证券投资基金</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001970</w:t>
            </w:r>
          </w:p>
        </w:tc>
      </w:tr>
      <w:tr w:rsidR="003906E4" w:rsidRPr="007A7034" w:rsidTr="007A7034">
        <w:tc>
          <w:tcPr>
            <w:tcW w:w="70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16</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泰信互联网+主题灵活配置混合型证券投资基金</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001978</w:t>
            </w:r>
          </w:p>
        </w:tc>
      </w:tr>
      <w:tr w:rsidR="003906E4" w:rsidRPr="007A7034" w:rsidTr="007A7034">
        <w:tc>
          <w:tcPr>
            <w:tcW w:w="70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17</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泰信智选成长灵活配置混合型证券投资基金</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003333</w:t>
            </w:r>
          </w:p>
        </w:tc>
      </w:tr>
      <w:tr w:rsidR="003906E4" w:rsidRPr="007A7034" w:rsidTr="007A7034">
        <w:tc>
          <w:tcPr>
            <w:tcW w:w="709" w:type="dxa"/>
            <w:vMerge w:val="restart"/>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18</w:t>
            </w:r>
          </w:p>
        </w:tc>
        <w:tc>
          <w:tcPr>
            <w:tcW w:w="5418" w:type="dxa"/>
            <w:vMerge w:val="restart"/>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泰信鑫利混合型证券投资基金</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004227</w:t>
            </w:r>
          </w:p>
        </w:tc>
      </w:tr>
      <w:tr w:rsidR="003906E4" w:rsidRPr="007A7034" w:rsidTr="007A7034">
        <w:tc>
          <w:tcPr>
            <w:tcW w:w="709" w:type="dxa"/>
            <w:vMerge/>
            <w:vAlign w:val="center"/>
          </w:tcPr>
          <w:p w:rsidR="003906E4" w:rsidRPr="007A7034" w:rsidRDefault="003906E4" w:rsidP="00427842">
            <w:pPr>
              <w:jc w:val="center"/>
              <w:rPr>
                <w:rFonts w:ascii="仿宋" w:eastAsia="仿宋" w:hAnsi="仿宋"/>
                <w:position w:val="-18"/>
                <w:sz w:val="24"/>
                <w:szCs w:val="24"/>
              </w:rPr>
            </w:pPr>
          </w:p>
        </w:tc>
        <w:tc>
          <w:tcPr>
            <w:tcW w:w="5418" w:type="dxa"/>
            <w:vMerge/>
            <w:vAlign w:val="center"/>
          </w:tcPr>
          <w:p w:rsidR="003906E4" w:rsidRPr="007A7034" w:rsidRDefault="003906E4" w:rsidP="00427842">
            <w:pPr>
              <w:jc w:val="center"/>
              <w:rPr>
                <w:rFonts w:ascii="仿宋" w:eastAsia="仿宋" w:hAnsi="仿宋"/>
                <w:position w:val="-18"/>
                <w:sz w:val="24"/>
                <w:szCs w:val="24"/>
              </w:rPr>
            </w:pP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sz w:val="24"/>
                <w:szCs w:val="24"/>
              </w:rPr>
              <w:t>004228</w:t>
            </w:r>
          </w:p>
        </w:tc>
      </w:tr>
      <w:tr w:rsidR="003906E4" w:rsidRPr="007A7034" w:rsidTr="007A7034">
        <w:tc>
          <w:tcPr>
            <w:tcW w:w="70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19</w:t>
            </w:r>
          </w:p>
        </w:tc>
        <w:tc>
          <w:tcPr>
            <w:tcW w:w="5418"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泰信竞争优选</w:t>
            </w:r>
            <w:r w:rsidR="008D398A" w:rsidRPr="008D398A">
              <w:rPr>
                <w:rFonts w:ascii="仿宋" w:eastAsia="仿宋" w:hAnsi="仿宋" w:hint="eastAsia"/>
                <w:sz w:val="24"/>
                <w:szCs w:val="24"/>
              </w:rPr>
              <w:t>灵活配置</w:t>
            </w:r>
            <w:bookmarkStart w:id="0" w:name="_GoBack"/>
            <w:bookmarkEnd w:id="0"/>
            <w:r w:rsidRPr="007A7034">
              <w:rPr>
                <w:rFonts w:ascii="仿宋" w:eastAsia="仿宋" w:hAnsi="仿宋" w:hint="eastAsia"/>
                <w:sz w:val="24"/>
                <w:szCs w:val="24"/>
              </w:rPr>
              <w:t>混合型证券投资基金</w:t>
            </w:r>
          </w:p>
        </w:tc>
        <w:tc>
          <w:tcPr>
            <w:tcW w:w="1559" w:type="dxa"/>
            <w:vAlign w:val="center"/>
          </w:tcPr>
          <w:p w:rsidR="003906E4" w:rsidRPr="007A7034" w:rsidRDefault="003906E4" w:rsidP="00427842">
            <w:pPr>
              <w:jc w:val="center"/>
              <w:rPr>
                <w:rFonts w:ascii="仿宋" w:eastAsia="仿宋" w:hAnsi="仿宋"/>
                <w:position w:val="-18"/>
                <w:sz w:val="24"/>
                <w:szCs w:val="24"/>
              </w:rPr>
            </w:pPr>
            <w:r w:rsidRPr="007A7034">
              <w:rPr>
                <w:rFonts w:ascii="仿宋" w:eastAsia="仿宋" w:hAnsi="仿宋" w:hint="eastAsia"/>
                <w:sz w:val="24"/>
                <w:szCs w:val="24"/>
              </w:rPr>
              <w:t>005535</w:t>
            </w:r>
          </w:p>
        </w:tc>
      </w:tr>
    </w:tbl>
    <w:p w:rsidR="006B664E" w:rsidRPr="007A7034" w:rsidRDefault="006B664E" w:rsidP="007A7034">
      <w:pPr>
        <w:ind w:firstLineChars="200" w:firstLine="480"/>
        <w:rPr>
          <w:rFonts w:ascii="仿宋" w:eastAsia="仿宋" w:hAnsi="仿宋"/>
          <w:sz w:val="24"/>
          <w:szCs w:val="24"/>
        </w:rPr>
      </w:pPr>
      <w:r w:rsidRPr="007A7034">
        <w:rPr>
          <w:rFonts w:ascii="仿宋" w:eastAsia="仿宋" w:hAnsi="仿宋" w:hint="eastAsia"/>
          <w:sz w:val="24"/>
          <w:szCs w:val="24"/>
        </w:rPr>
        <w:t>注：上述基金最新业务状态详见本公司发布的相关公告。</w:t>
      </w:r>
    </w:p>
    <w:p w:rsidR="006B664E" w:rsidRPr="007A7034" w:rsidRDefault="006B664E" w:rsidP="006B664E">
      <w:pPr>
        <w:ind w:firstLineChars="200" w:firstLine="480"/>
        <w:rPr>
          <w:rFonts w:ascii="仿宋" w:eastAsia="仿宋" w:hAnsi="仿宋"/>
          <w:sz w:val="24"/>
          <w:szCs w:val="24"/>
        </w:rPr>
      </w:pPr>
    </w:p>
    <w:p w:rsidR="006B664E" w:rsidRPr="007A7034" w:rsidRDefault="006B664E" w:rsidP="007A7034">
      <w:pPr>
        <w:pStyle w:val="a6"/>
        <w:numPr>
          <w:ilvl w:val="0"/>
          <w:numId w:val="1"/>
        </w:numPr>
        <w:spacing w:line="360" w:lineRule="auto"/>
        <w:ind w:firstLineChars="0"/>
        <w:rPr>
          <w:rFonts w:ascii="仿宋" w:eastAsia="仿宋" w:hAnsi="仿宋"/>
          <w:b/>
          <w:sz w:val="24"/>
          <w:szCs w:val="24"/>
        </w:rPr>
      </w:pPr>
      <w:r w:rsidRPr="007A7034">
        <w:rPr>
          <w:rFonts w:ascii="仿宋" w:eastAsia="仿宋" w:hAnsi="仿宋" w:hint="eastAsia"/>
          <w:b/>
          <w:sz w:val="24"/>
          <w:szCs w:val="24"/>
        </w:rPr>
        <w:t>优惠活动内容</w:t>
      </w:r>
    </w:p>
    <w:p w:rsidR="006B664E" w:rsidRPr="007A7034" w:rsidRDefault="006B664E" w:rsidP="007A7034">
      <w:pPr>
        <w:spacing w:line="360" w:lineRule="auto"/>
        <w:ind w:firstLineChars="200" w:firstLine="480"/>
        <w:rPr>
          <w:rFonts w:ascii="仿宋" w:eastAsia="仿宋" w:hAnsi="仿宋"/>
          <w:sz w:val="24"/>
          <w:szCs w:val="24"/>
        </w:rPr>
      </w:pPr>
      <w:r w:rsidRPr="007A7034">
        <w:rPr>
          <w:rFonts w:ascii="仿宋" w:eastAsia="仿宋" w:hAnsi="仿宋" w:hint="eastAsia"/>
          <w:sz w:val="24"/>
          <w:szCs w:val="24"/>
        </w:rPr>
        <w:t>活动期间，投资者通过</w:t>
      </w:r>
      <w:r w:rsidR="00023311" w:rsidRPr="007A7034">
        <w:rPr>
          <w:rFonts w:ascii="仿宋" w:eastAsia="仿宋" w:hAnsi="仿宋" w:hint="eastAsia"/>
          <w:sz w:val="24"/>
          <w:szCs w:val="24"/>
        </w:rPr>
        <w:t>工商银行个人电子银行、</w:t>
      </w:r>
      <w:r w:rsidR="00023311" w:rsidRPr="007A7034">
        <w:rPr>
          <w:rFonts w:ascii="仿宋" w:eastAsia="仿宋" w:hAnsi="仿宋"/>
          <w:sz w:val="24"/>
          <w:szCs w:val="24"/>
        </w:rPr>
        <w:t>AI</w:t>
      </w:r>
      <w:r w:rsidR="00023311" w:rsidRPr="007A7034">
        <w:rPr>
          <w:rFonts w:ascii="仿宋" w:eastAsia="仿宋" w:hAnsi="仿宋" w:hint="eastAsia"/>
          <w:sz w:val="24"/>
          <w:szCs w:val="24"/>
        </w:rPr>
        <w:t>投服务及定投服务申购</w:t>
      </w:r>
      <w:r w:rsidRPr="007A7034">
        <w:rPr>
          <w:rFonts w:ascii="仿宋" w:eastAsia="仿宋" w:hAnsi="仿宋" w:hint="eastAsia"/>
          <w:sz w:val="24"/>
          <w:szCs w:val="24"/>
        </w:rPr>
        <w:t>本公司上述基金（限前端收费模式），享有申购费率</w:t>
      </w:r>
      <w:r w:rsidR="005F3E2B" w:rsidRPr="007A7034">
        <w:rPr>
          <w:rFonts w:ascii="仿宋" w:eastAsia="仿宋" w:hAnsi="仿宋" w:hint="eastAsia"/>
          <w:sz w:val="24"/>
          <w:szCs w:val="24"/>
        </w:rPr>
        <w:t>8</w:t>
      </w:r>
      <w:r w:rsidRPr="007A7034">
        <w:rPr>
          <w:rFonts w:ascii="仿宋" w:eastAsia="仿宋" w:hAnsi="仿宋" w:hint="eastAsia"/>
          <w:sz w:val="24"/>
          <w:szCs w:val="24"/>
        </w:rPr>
        <w:t>折</w:t>
      </w:r>
      <w:r w:rsidR="005F3E2B" w:rsidRPr="007A7034">
        <w:rPr>
          <w:rFonts w:ascii="仿宋" w:eastAsia="仿宋" w:hAnsi="仿宋" w:hint="eastAsia"/>
          <w:sz w:val="24"/>
          <w:szCs w:val="24"/>
        </w:rPr>
        <w:t>优惠</w:t>
      </w:r>
      <w:r w:rsidRPr="007A7034">
        <w:rPr>
          <w:rFonts w:ascii="仿宋" w:eastAsia="仿宋" w:hAnsi="仿宋" w:hint="eastAsia"/>
          <w:sz w:val="24"/>
          <w:szCs w:val="24"/>
        </w:rPr>
        <w:t>，具体折扣以</w:t>
      </w:r>
      <w:r w:rsidR="00023311" w:rsidRPr="007A7034">
        <w:rPr>
          <w:rFonts w:ascii="仿宋" w:eastAsia="仿宋" w:hAnsi="仿宋" w:hint="eastAsia"/>
          <w:sz w:val="24"/>
          <w:szCs w:val="24"/>
        </w:rPr>
        <w:t>工商银行</w:t>
      </w:r>
      <w:r w:rsidRPr="007A7034">
        <w:rPr>
          <w:rFonts w:ascii="仿宋" w:eastAsia="仿宋" w:hAnsi="仿宋" w:hint="eastAsia"/>
          <w:sz w:val="24"/>
          <w:szCs w:val="24"/>
        </w:rPr>
        <w:t>确定为准。本次费率优惠活动如有展期、终止或调整，费率优惠规则如有变更，均以</w:t>
      </w:r>
      <w:r w:rsidR="00023311" w:rsidRPr="007A7034">
        <w:rPr>
          <w:rFonts w:ascii="仿宋" w:eastAsia="仿宋" w:hAnsi="仿宋" w:hint="eastAsia"/>
          <w:sz w:val="24"/>
          <w:szCs w:val="24"/>
        </w:rPr>
        <w:t>工商银行</w:t>
      </w:r>
      <w:r w:rsidRPr="007A7034">
        <w:rPr>
          <w:rFonts w:ascii="仿宋" w:eastAsia="仿宋" w:hAnsi="仿宋" w:hint="eastAsia"/>
          <w:sz w:val="24"/>
          <w:szCs w:val="24"/>
        </w:rPr>
        <w:t>的安排和规定为准。</w:t>
      </w:r>
    </w:p>
    <w:p w:rsidR="006B664E" w:rsidRPr="007A7034" w:rsidRDefault="006B664E" w:rsidP="007A7034">
      <w:pPr>
        <w:spacing w:line="360" w:lineRule="auto"/>
        <w:ind w:firstLineChars="200" w:firstLine="480"/>
        <w:rPr>
          <w:rFonts w:ascii="仿宋" w:eastAsia="仿宋" w:hAnsi="仿宋"/>
          <w:sz w:val="24"/>
          <w:szCs w:val="24"/>
        </w:rPr>
      </w:pPr>
    </w:p>
    <w:p w:rsidR="006B664E" w:rsidRPr="007A7034" w:rsidRDefault="006B664E" w:rsidP="007A7034">
      <w:pPr>
        <w:pStyle w:val="a6"/>
        <w:numPr>
          <w:ilvl w:val="0"/>
          <w:numId w:val="1"/>
        </w:numPr>
        <w:spacing w:line="360" w:lineRule="auto"/>
        <w:ind w:firstLineChars="0"/>
        <w:rPr>
          <w:rFonts w:ascii="仿宋" w:eastAsia="仿宋" w:hAnsi="仿宋"/>
          <w:b/>
          <w:sz w:val="24"/>
          <w:szCs w:val="24"/>
        </w:rPr>
      </w:pPr>
      <w:r w:rsidRPr="007A7034">
        <w:rPr>
          <w:rFonts w:ascii="仿宋" w:eastAsia="仿宋" w:hAnsi="仿宋" w:hint="eastAsia"/>
          <w:b/>
          <w:sz w:val="24"/>
          <w:szCs w:val="24"/>
        </w:rPr>
        <w:t>重要提示</w:t>
      </w:r>
    </w:p>
    <w:p w:rsidR="006B664E" w:rsidRPr="007A7034" w:rsidRDefault="006B664E" w:rsidP="007A7034">
      <w:pPr>
        <w:pStyle w:val="a6"/>
        <w:numPr>
          <w:ilvl w:val="0"/>
          <w:numId w:val="2"/>
        </w:numPr>
        <w:spacing w:line="360" w:lineRule="auto"/>
        <w:ind w:left="0" w:firstLine="480"/>
        <w:rPr>
          <w:rFonts w:ascii="仿宋" w:eastAsia="仿宋" w:hAnsi="仿宋"/>
          <w:sz w:val="24"/>
          <w:szCs w:val="24"/>
        </w:rPr>
      </w:pPr>
      <w:r w:rsidRPr="007A7034">
        <w:rPr>
          <w:rFonts w:ascii="仿宋" w:eastAsia="仿宋" w:hAnsi="仿宋" w:hint="eastAsia"/>
          <w:sz w:val="24"/>
          <w:szCs w:val="24"/>
        </w:rPr>
        <w:t>本优惠活动仅适用于处于正常申购期的基金产品的前端收费模式申购手续费及定期定额投资申购手续费，不包括上述基金的基金赎回、转换等其他业务的费用。</w:t>
      </w:r>
    </w:p>
    <w:p w:rsidR="006B664E" w:rsidRPr="007A7034" w:rsidRDefault="006B664E" w:rsidP="007A7034">
      <w:pPr>
        <w:pStyle w:val="a6"/>
        <w:numPr>
          <w:ilvl w:val="0"/>
          <w:numId w:val="2"/>
        </w:numPr>
        <w:spacing w:line="360" w:lineRule="auto"/>
        <w:ind w:left="0" w:firstLine="480"/>
        <w:rPr>
          <w:rFonts w:ascii="仿宋" w:eastAsia="仿宋" w:hAnsi="仿宋"/>
          <w:sz w:val="24"/>
          <w:szCs w:val="24"/>
        </w:rPr>
      </w:pPr>
      <w:r w:rsidRPr="007A7034">
        <w:rPr>
          <w:rFonts w:ascii="仿宋" w:eastAsia="仿宋" w:hAnsi="仿宋" w:hint="eastAsia"/>
          <w:sz w:val="24"/>
          <w:szCs w:val="24"/>
        </w:rPr>
        <w:t>上述基金原费率标准请详见上述基金相关法律文件及本公司发布的</w:t>
      </w:r>
      <w:r w:rsidRPr="007A7034">
        <w:rPr>
          <w:rFonts w:ascii="仿宋" w:eastAsia="仿宋" w:hAnsi="仿宋" w:hint="eastAsia"/>
          <w:sz w:val="24"/>
          <w:szCs w:val="24"/>
        </w:rPr>
        <w:lastRenderedPageBreak/>
        <w:t>最新业务公告。</w:t>
      </w:r>
    </w:p>
    <w:p w:rsidR="006B664E" w:rsidRPr="007A7034" w:rsidRDefault="006B664E" w:rsidP="007A7034">
      <w:pPr>
        <w:pStyle w:val="a6"/>
        <w:numPr>
          <w:ilvl w:val="0"/>
          <w:numId w:val="2"/>
        </w:numPr>
        <w:spacing w:line="360" w:lineRule="auto"/>
        <w:ind w:left="0" w:firstLine="480"/>
        <w:rPr>
          <w:rFonts w:ascii="仿宋" w:eastAsia="仿宋" w:hAnsi="仿宋"/>
          <w:sz w:val="24"/>
          <w:szCs w:val="24"/>
        </w:rPr>
      </w:pPr>
      <w:r w:rsidRPr="007A7034">
        <w:rPr>
          <w:rFonts w:ascii="仿宋" w:eastAsia="仿宋" w:hAnsi="仿宋" w:hint="eastAsia"/>
          <w:sz w:val="24"/>
          <w:szCs w:val="24"/>
        </w:rPr>
        <w:t>此次公告的优惠活动内容或业务规则如与之前公告信息不同，请以本次公告信息为准。</w:t>
      </w:r>
    </w:p>
    <w:p w:rsidR="006B664E" w:rsidRPr="007A7034" w:rsidRDefault="006B664E" w:rsidP="007A7034">
      <w:pPr>
        <w:pStyle w:val="a6"/>
        <w:spacing w:line="360" w:lineRule="auto"/>
        <w:ind w:firstLine="480"/>
        <w:rPr>
          <w:rFonts w:ascii="仿宋" w:eastAsia="仿宋" w:hAnsi="仿宋"/>
          <w:sz w:val="24"/>
          <w:szCs w:val="24"/>
        </w:rPr>
      </w:pPr>
    </w:p>
    <w:p w:rsidR="006B664E" w:rsidRPr="007A7034" w:rsidRDefault="006B664E" w:rsidP="007A7034">
      <w:pPr>
        <w:pStyle w:val="a6"/>
        <w:spacing w:line="360" w:lineRule="auto"/>
        <w:ind w:left="420" w:firstLineChars="0" w:firstLine="0"/>
        <w:rPr>
          <w:rFonts w:ascii="仿宋" w:eastAsia="仿宋" w:hAnsi="仿宋"/>
          <w:sz w:val="24"/>
          <w:szCs w:val="24"/>
        </w:rPr>
      </w:pPr>
      <w:r w:rsidRPr="007A7034">
        <w:rPr>
          <w:rFonts w:ascii="仿宋" w:eastAsia="仿宋" w:hAnsi="仿宋" w:hint="eastAsia"/>
          <w:sz w:val="24"/>
          <w:szCs w:val="24"/>
        </w:rPr>
        <w:t>投资者可通过以下途径了解或咨询相关情况</w:t>
      </w:r>
    </w:p>
    <w:p w:rsidR="006B664E" w:rsidRPr="007A7034" w:rsidRDefault="006B664E" w:rsidP="007A7034">
      <w:pPr>
        <w:spacing w:line="360" w:lineRule="auto"/>
        <w:ind w:firstLineChars="200" w:firstLine="480"/>
        <w:rPr>
          <w:rFonts w:ascii="仿宋" w:eastAsia="仿宋" w:hAnsi="仿宋"/>
          <w:sz w:val="24"/>
          <w:szCs w:val="24"/>
        </w:rPr>
      </w:pPr>
      <w:r w:rsidRPr="007A7034">
        <w:rPr>
          <w:rFonts w:ascii="仿宋" w:eastAsia="仿宋" w:hAnsi="仿宋"/>
          <w:sz w:val="24"/>
          <w:szCs w:val="24"/>
        </w:rPr>
        <w:t>1</w:t>
      </w:r>
      <w:r w:rsidRPr="007A7034">
        <w:rPr>
          <w:rFonts w:ascii="仿宋" w:eastAsia="仿宋" w:hAnsi="仿宋" w:hint="eastAsia"/>
          <w:sz w:val="24"/>
          <w:szCs w:val="24"/>
        </w:rPr>
        <w:t>、</w:t>
      </w:r>
      <w:bookmarkStart w:id="1" w:name="_Hlk58512030"/>
      <w:r w:rsidRPr="007A7034">
        <w:rPr>
          <w:rFonts w:ascii="仿宋" w:eastAsia="仿宋" w:hAnsi="仿宋" w:hint="eastAsia"/>
          <w:sz w:val="24"/>
          <w:szCs w:val="24"/>
        </w:rPr>
        <w:t>中国工商银行</w:t>
      </w:r>
      <w:r w:rsidRPr="007A7034">
        <w:rPr>
          <w:rFonts w:ascii="仿宋" w:eastAsia="仿宋" w:hAnsi="仿宋"/>
          <w:sz w:val="24"/>
          <w:szCs w:val="24"/>
        </w:rPr>
        <w:t>股份有限公司</w:t>
      </w:r>
      <w:bookmarkEnd w:id="1"/>
    </w:p>
    <w:p w:rsidR="006B664E" w:rsidRPr="007A7034" w:rsidRDefault="006B664E" w:rsidP="007A7034">
      <w:pPr>
        <w:spacing w:line="360" w:lineRule="auto"/>
        <w:ind w:firstLineChars="200" w:firstLine="480"/>
        <w:rPr>
          <w:rFonts w:ascii="仿宋" w:eastAsia="仿宋" w:hAnsi="仿宋"/>
          <w:sz w:val="24"/>
          <w:szCs w:val="24"/>
        </w:rPr>
      </w:pPr>
      <w:r w:rsidRPr="007A7034">
        <w:rPr>
          <w:rFonts w:ascii="仿宋" w:eastAsia="仿宋" w:hAnsi="仿宋" w:hint="eastAsia"/>
          <w:sz w:val="24"/>
          <w:szCs w:val="24"/>
        </w:rPr>
        <w:t>客户服务电话：9</w:t>
      </w:r>
      <w:r w:rsidRPr="007A7034">
        <w:rPr>
          <w:rFonts w:ascii="仿宋" w:eastAsia="仿宋" w:hAnsi="仿宋"/>
          <w:sz w:val="24"/>
          <w:szCs w:val="24"/>
        </w:rPr>
        <w:t>5588</w:t>
      </w:r>
    </w:p>
    <w:p w:rsidR="006B664E" w:rsidRPr="007A7034" w:rsidRDefault="006B664E" w:rsidP="007A7034">
      <w:pPr>
        <w:spacing w:line="360" w:lineRule="auto"/>
        <w:ind w:firstLineChars="200" w:firstLine="480"/>
        <w:rPr>
          <w:rFonts w:ascii="仿宋" w:eastAsia="仿宋" w:hAnsi="仿宋"/>
          <w:sz w:val="24"/>
          <w:szCs w:val="24"/>
        </w:rPr>
      </w:pPr>
      <w:r w:rsidRPr="007A7034">
        <w:rPr>
          <w:rFonts w:ascii="仿宋" w:eastAsia="仿宋" w:hAnsi="仿宋" w:hint="eastAsia"/>
          <w:sz w:val="24"/>
          <w:szCs w:val="24"/>
        </w:rPr>
        <w:t>网址：</w:t>
      </w:r>
      <w:r w:rsidRPr="007A7034">
        <w:rPr>
          <w:rFonts w:ascii="仿宋" w:eastAsia="仿宋" w:hAnsi="仿宋"/>
          <w:sz w:val="24"/>
          <w:szCs w:val="24"/>
        </w:rPr>
        <w:t>www.icbc.com .cn</w:t>
      </w:r>
    </w:p>
    <w:p w:rsidR="006B664E" w:rsidRPr="007A7034" w:rsidRDefault="006B664E" w:rsidP="007A7034">
      <w:pPr>
        <w:pStyle w:val="a6"/>
        <w:numPr>
          <w:ilvl w:val="0"/>
          <w:numId w:val="3"/>
        </w:numPr>
        <w:spacing w:line="360" w:lineRule="auto"/>
        <w:ind w:firstLineChars="0"/>
        <w:rPr>
          <w:rFonts w:ascii="仿宋" w:eastAsia="仿宋" w:hAnsi="仿宋"/>
          <w:sz w:val="24"/>
          <w:szCs w:val="24"/>
        </w:rPr>
      </w:pPr>
      <w:r w:rsidRPr="007A7034">
        <w:rPr>
          <w:rFonts w:ascii="仿宋" w:eastAsia="仿宋" w:hAnsi="仿宋" w:hint="eastAsia"/>
          <w:sz w:val="24"/>
          <w:szCs w:val="24"/>
        </w:rPr>
        <w:t>泰信基金管理有限公司</w:t>
      </w:r>
    </w:p>
    <w:p w:rsidR="006B664E" w:rsidRPr="007A7034" w:rsidRDefault="006B664E" w:rsidP="007A7034">
      <w:pPr>
        <w:spacing w:line="360" w:lineRule="auto"/>
        <w:ind w:firstLineChars="200" w:firstLine="480"/>
        <w:rPr>
          <w:rFonts w:ascii="仿宋" w:eastAsia="仿宋" w:hAnsi="仿宋"/>
          <w:sz w:val="24"/>
          <w:szCs w:val="24"/>
        </w:rPr>
      </w:pPr>
      <w:r w:rsidRPr="007A7034">
        <w:rPr>
          <w:rFonts w:ascii="仿宋" w:eastAsia="仿宋" w:hAnsi="仿宋" w:hint="eastAsia"/>
          <w:sz w:val="24"/>
          <w:szCs w:val="24"/>
        </w:rPr>
        <w:t>客户服务电话：4</w:t>
      </w:r>
      <w:r w:rsidRPr="007A7034">
        <w:rPr>
          <w:rFonts w:ascii="仿宋" w:eastAsia="仿宋" w:hAnsi="仿宋"/>
          <w:sz w:val="24"/>
          <w:szCs w:val="24"/>
        </w:rPr>
        <w:t>00</w:t>
      </w:r>
      <w:r w:rsidRPr="007A7034">
        <w:rPr>
          <w:rFonts w:ascii="仿宋" w:eastAsia="仿宋" w:hAnsi="仿宋" w:hint="eastAsia"/>
          <w:sz w:val="24"/>
          <w:szCs w:val="24"/>
        </w:rPr>
        <w:t>-</w:t>
      </w:r>
      <w:r w:rsidRPr="007A7034">
        <w:rPr>
          <w:rFonts w:ascii="仿宋" w:eastAsia="仿宋" w:hAnsi="仿宋"/>
          <w:sz w:val="24"/>
          <w:szCs w:val="24"/>
        </w:rPr>
        <w:t>888</w:t>
      </w:r>
      <w:r w:rsidRPr="007A7034">
        <w:rPr>
          <w:rFonts w:ascii="仿宋" w:eastAsia="仿宋" w:hAnsi="仿宋" w:hint="eastAsia"/>
          <w:sz w:val="24"/>
          <w:szCs w:val="24"/>
        </w:rPr>
        <w:t>-</w:t>
      </w:r>
      <w:r w:rsidRPr="007A7034">
        <w:rPr>
          <w:rFonts w:ascii="仿宋" w:eastAsia="仿宋" w:hAnsi="仿宋"/>
          <w:sz w:val="24"/>
          <w:szCs w:val="24"/>
        </w:rPr>
        <w:t>5988</w:t>
      </w:r>
    </w:p>
    <w:p w:rsidR="006B664E" w:rsidRPr="006A3E5F" w:rsidRDefault="006B664E" w:rsidP="007A7034">
      <w:pPr>
        <w:spacing w:line="360" w:lineRule="auto"/>
        <w:ind w:firstLineChars="200" w:firstLine="480"/>
        <w:rPr>
          <w:rFonts w:ascii="仿宋" w:eastAsia="仿宋" w:hAnsi="仿宋"/>
          <w:sz w:val="24"/>
          <w:szCs w:val="24"/>
        </w:rPr>
      </w:pPr>
      <w:r w:rsidRPr="006A3E5F">
        <w:rPr>
          <w:rFonts w:ascii="仿宋" w:eastAsia="仿宋" w:hAnsi="仿宋" w:hint="eastAsia"/>
          <w:sz w:val="24"/>
          <w:szCs w:val="24"/>
        </w:rPr>
        <w:t>网址：</w:t>
      </w:r>
      <w:hyperlink r:id="rId7" w:history="1">
        <w:r w:rsidRPr="006A3E5F">
          <w:rPr>
            <w:rStyle w:val="a5"/>
            <w:rFonts w:ascii="仿宋" w:eastAsia="仿宋" w:hAnsi="仿宋"/>
            <w:color w:val="auto"/>
            <w:sz w:val="24"/>
            <w:szCs w:val="24"/>
            <w:u w:val="none"/>
          </w:rPr>
          <w:t>www.ftfund.com</w:t>
        </w:r>
      </w:hyperlink>
    </w:p>
    <w:p w:rsidR="006B664E" w:rsidRPr="006A3E5F" w:rsidRDefault="006B664E" w:rsidP="007A7034">
      <w:pPr>
        <w:spacing w:line="360" w:lineRule="auto"/>
        <w:ind w:firstLineChars="200" w:firstLine="480"/>
        <w:rPr>
          <w:rFonts w:ascii="仿宋" w:eastAsia="仿宋" w:hAnsi="仿宋"/>
          <w:sz w:val="24"/>
          <w:szCs w:val="24"/>
        </w:rPr>
      </w:pPr>
    </w:p>
    <w:p w:rsidR="006B664E" w:rsidRPr="007A7034" w:rsidRDefault="006B664E" w:rsidP="007A7034">
      <w:pPr>
        <w:spacing w:line="360" w:lineRule="auto"/>
        <w:ind w:firstLineChars="200" w:firstLine="480"/>
        <w:rPr>
          <w:rFonts w:ascii="仿宋" w:eastAsia="仿宋" w:hAnsi="仿宋"/>
          <w:sz w:val="24"/>
          <w:szCs w:val="24"/>
        </w:rPr>
      </w:pPr>
    </w:p>
    <w:p w:rsidR="006B664E" w:rsidRPr="007A7034" w:rsidRDefault="006B664E" w:rsidP="007A7034">
      <w:pPr>
        <w:spacing w:line="360" w:lineRule="auto"/>
        <w:ind w:firstLineChars="200" w:firstLine="480"/>
        <w:rPr>
          <w:rFonts w:ascii="仿宋" w:eastAsia="仿宋" w:hAnsi="仿宋"/>
          <w:sz w:val="24"/>
          <w:szCs w:val="24"/>
        </w:rPr>
      </w:pPr>
      <w:r w:rsidRPr="007A7034">
        <w:rPr>
          <w:rFonts w:ascii="仿宋" w:eastAsia="仿宋" w:hAnsi="仿宋" w:hint="eastAsia"/>
          <w:sz w:val="24"/>
          <w:szCs w:val="24"/>
        </w:rPr>
        <w:t xml:space="preserve"> </w:t>
      </w:r>
      <w:r w:rsidRPr="007A7034">
        <w:rPr>
          <w:rFonts w:ascii="仿宋" w:eastAsia="仿宋" w:hAnsi="仿宋"/>
          <w:sz w:val="24"/>
          <w:szCs w:val="24"/>
        </w:rPr>
        <w:t xml:space="preserve">                                   </w:t>
      </w:r>
    </w:p>
    <w:p w:rsidR="006B664E" w:rsidRPr="007A7034" w:rsidRDefault="006B664E" w:rsidP="007A7034">
      <w:pPr>
        <w:spacing w:line="360" w:lineRule="auto"/>
        <w:ind w:firstLineChars="200" w:firstLine="480"/>
        <w:jc w:val="right"/>
        <w:rPr>
          <w:rFonts w:ascii="仿宋" w:eastAsia="仿宋" w:hAnsi="仿宋"/>
          <w:sz w:val="24"/>
          <w:szCs w:val="24"/>
        </w:rPr>
      </w:pPr>
      <w:r w:rsidRPr="007A7034">
        <w:rPr>
          <w:rFonts w:ascii="仿宋" w:eastAsia="仿宋" w:hAnsi="仿宋" w:hint="eastAsia"/>
          <w:sz w:val="24"/>
          <w:szCs w:val="24"/>
        </w:rPr>
        <w:t>泰信基金管理有限公司</w:t>
      </w:r>
    </w:p>
    <w:p w:rsidR="006B664E" w:rsidRPr="007A7034" w:rsidRDefault="006B664E" w:rsidP="007A7034">
      <w:pPr>
        <w:spacing w:line="360" w:lineRule="auto"/>
        <w:ind w:firstLineChars="200" w:firstLine="480"/>
        <w:jc w:val="right"/>
        <w:rPr>
          <w:rFonts w:ascii="仿宋" w:eastAsia="仿宋" w:hAnsi="仿宋"/>
          <w:sz w:val="24"/>
          <w:szCs w:val="24"/>
        </w:rPr>
      </w:pPr>
      <w:r w:rsidRPr="007A7034">
        <w:rPr>
          <w:rFonts w:ascii="仿宋" w:eastAsia="仿宋" w:hAnsi="仿宋" w:hint="eastAsia"/>
          <w:sz w:val="24"/>
          <w:szCs w:val="24"/>
        </w:rPr>
        <w:t>2</w:t>
      </w:r>
      <w:r w:rsidRPr="007A7034">
        <w:rPr>
          <w:rFonts w:ascii="仿宋" w:eastAsia="仿宋" w:hAnsi="仿宋"/>
          <w:sz w:val="24"/>
          <w:szCs w:val="24"/>
        </w:rPr>
        <w:t>020</w:t>
      </w:r>
      <w:r w:rsidRPr="007A7034">
        <w:rPr>
          <w:rFonts w:ascii="仿宋" w:eastAsia="仿宋" w:hAnsi="仿宋" w:hint="eastAsia"/>
          <w:sz w:val="24"/>
          <w:szCs w:val="24"/>
        </w:rPr>
        <w:t>年1</w:t>
      </w:r>
      <w:r w:rsidRPr="007A7034">
        <w:rPr>
          <w:rFonts w:ascii="仿宋" w:eastAsia="仿宋" w:hAnsi="仿宋"/>
          <w:sz w:val="24"/>
          <w:szCs w:val="24"/>
        </w:rPr>
        <w:t>2</w:t>
      </w:r>
      <w:r w:rsidRPr="007A7034">
        <w:rPr>
          <w:rFonts w:ascii="仿宋" w:eastAsia="仿宋" w:hAnsi="仿宋" w:hint="eastAsia"/>
          <w:sz w:val="24"/>
          <w:szCs w:val="24"/>
        </w:rPr>
        <w:t>月</w:t>
      </w:r>
      <w:r w:rsidR="007A7034">
        <w:rPr>
          <w:rFonts w:ascii="仿宋" w:eastAsia="仿宋" w:hAnsi="仿宋"/>
          <w:sz w:val="24"/>
          <w:szCs w:val="24"/>
        </w:rPr>
        <w:t>23</w:t>
      </w:r>
      <w:r w:rsidRPr="007A7034">
        <w:rPr>
          <w:rFonts w:ascii="仿宋" w:eastAsia="仿宋" w:hAnsi="仿宋" w:hint="eastAsia"/>
          <w:sz w:val="24"/>
          <w:szCs w:val="24"/>
        </w:rPr>
        <w:t>日</w:t>
      </w:r>
    </w:p>
    <w:p w:rsidR="006B664E" w:rsidRPr="007A7034" w:rsidRDefault="006B664E" w:rsidP="007A7034">
      <w:pPr>
        <w:spacing w:line="360" w:lineRule="auto"/>
        <w:jc w:val="center"/>
        <w:rPr>
          <w:rFonts w:ascii="仿宋" w:eastAsia="仿宋" w:hAnsi="仿宋"/>
          <w:sz w:val="24"/>
          <w:szCs w:val="24"/>
        </w:rPr>
      </w:pPr>
    </w:p>
    <w:p w:rsidR="00DD3C53" w:rsidRPr="007A7034" w:rsidRDefault="00DD3C53">
      <w:pPr>
        <w:rPr>
          <w:rFonts w:ascii="仿宋" w:eastAsia="仿宋" w:hAnsi="仿宋"/>
          <w:sz w:val="24"/>
          <w:szCs w:val="24"/>
        </w:rPr>
      </w:pPr>
    </w:p>
    <w:sectPr w:rsidR="00DD3C53" w:rsidRPr="007A7034" w:rsidSect="001B50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37" w:rsidRDefault="00E64B37" w:rsidP="006B664E">
      <w:r>
        <w:separator/>
      </w:r>
    </w:p>
  </w:endnote>
  <w:endnote w:type="continuationSeparator" w:id="0">
    <w:p w:rsidR="00E64B37" w:rsidRDefault="00E64B37" w:rsidP="006B6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37" w:rsidRDefault="00E64B37" w:rsidP="006B664E">
      <w:r>
        <w:separator/>
      </w:r>
    </w:p>
  </w:footnote>
  <w:footnote w:type="continuationSeparator" w:id="0">
    <w:p w:rsidR="00E64B37" w:rsidRDefault="00E64B37" w:rsidP="006B6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564"/>
    <w:multiLevelType w:val="multilevel"/>
    <w:tmpl w:val="08875564"/>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EF97554"/>
    <w:multiLevelType w:val="multilevel"/>
    <w:tmpl w:val="1EF9755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D6B56C7"/>
    <w:multiLevelType w:val="multilevel"/>
    <w:tmpl w:val="4D6B56C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B1B"/>
    <w:rsid w:val="00023311"/>
    <w:rsid w:val="001B5022"/>
    <w:rsid w:val="003906E4"/>
    <w:rsid w:val="00437FC6"/>
    <w:rsid w:val="00537D19"/>
    <w:rsid w:val="005F3E2B"/>
    <w:rsid w:val="006A3E5F"/>
    <w:rsid w:val="006B664E"/>
    <w:rsid w:val="007A7034"/>
    <w:rsid w:val="008D398A"/>
    <w:rsid w:val="00970BD6"/>
    <w:rsid w:val="00B96127"/>
    <w:rsid w:val="00D250C2"/>
    <w:rsid w:val="00DD3C53"/>
    <w:rsid w:val="00DF4F52"/>
    <w:rsid w:val="00E11B1B"/>
    <w:rsid w:val="00E64B37"/>
    <w:rsid w:val="00FE4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6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64E"/>
    <w:rPr>
      <w:sz w:val="18"/>
      <w:szCs w:val="18"/>
    </w:rPr>
  </w:style>
  <w:style w:type="paragraph" w:styleId="a4">
    <w:name w:val="footer"/>
    <w:basedOn w:val="a"/>
    <w:link w:val="Char0"/>
    <w:uiPriority w:val="99"/>
    <w:unhideWhenUsed/>
    <w:rsid w:val="006B664E"/>
    <w:pPr>
      <w:tabs>
        <w:tab w:val="center" w:pos="4153"/>
        <w:tab w:val="right" w:pos="8306"/>
      </w:tabs>
      <w:snapToGrid w:val="0"/>
      <w:jc w:val="left"/>
    </w:pPr>
    <w:rPr>
      <w:sz w:val="18"/>
      <w:szCs w:val="18"/>
    </w:rPr>
  </w:style>
  <w:style w:type="character" w:customStyle="1" w:styleId="Char0">
    <w:name w:val="页脚 Char"/>
    <w:basedOn w:val="a0"/>
    <w:link w:val="a4"/>
    <w:uiPriority w:val="99"/>
    <w:rsid w:val="006B664E"/>
    <w:rPr>
      <w:sz w:val="18"/>
      <w:szCs w:val="18"/>
    </w:rPr>
  </w:style>
  <w:style w:type="character" w:styleId="a5">
    <w:name w:val="Hyperlink"/>
    <w:basedOn w:val="a0"/>
    <w:uiPriority w:val="99"/>
    <w:unhideWhenUsed/>
    <w:rsid w:val="006B664E"/>
    <w:rPr>
      <w:color w:val="0563C1" w:themeColor="hyperlink"/>
      <w:u w:val="single"/>
    </w:rPr>
  </w:style>
  <w:style w:type="paragraph" w:styleId="a6">
    <w:name w:val="List Paragraph"/>
    <w:basedOn w:val="a"/>
    <w:uiPriority w:val="34"/>
    <w:qFormat/>
    <w:rsid w:val="006B664E"/>
    <w:pPr>
      <w:ind w:firstLineChars="200" w:firstLine="420"/>
    </w:pPr>
  </w:style>
  <w:style w:type="table" w:styleId="a7">
    <w:name w:val="Table Grid"/>
    <w:basedOn w:val="a1"/>
    <w:uiPriority w:val="39"/>
    <w:rsid w:val="00390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1095</Characters>
  <Application>Microsoft Office Word</Application>
  <DocSecurity>4</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Mofey</dc:creator>
  <cp:keywords/>
  <dc:description/>
  <cp:lastModifiedBy>ZHONGM</cp:lastModifiedBy>
  <cp:revision>2</cp:revision>
  <dcterms:created xsi:type="dcterms:W3CDTF">2020-12-22T16:23:00Z</dcterms:created>
  <dcterms:modified xsi:type="dcterms:W3CDTF">2020-12-22T16:23:00Z</dcterms:modified>
</cp:coreProperties>
</file>