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D7" w:rsidRPr="00773866" w:rsidRDefault="0037496D" w:rsidP="005A70B3">
      <w:pPr>
        <w:widowControl/>
        <w:spacing w:line="360" w:lineRule="atLeast"/>
        <w:jc w:val="center"/>
        <w:rPr>
          <w:rFonts w:ascii="微软雅黑" w:eastAsia="微软雅黑" w:hAnsi="微软雅黑" w:cs="宋体"/>
          <w:color w:val="333333"/>
          <w:kern w:val="0"/>
          <w:szCs w:val="21"/>
        </w:rPr>
      </w:pPr>
      <w:r w:rsidRPr="00773866">
        <w:rPr>
          <w:rFonts w:ascii="微软雅黑" w:eastAsia="微软雅黑" w:hAnsi="微软雅黑" w:cs="宋体" w:hint="eastAsia"/>
          <w:b/>
          <w:color w:val="333333"/>
          <w:kern w:val="0"/>
          <w:sz w:val="24"/>
          <w:szCs w:val="24"/>
        </w:rPr>
        <w:t>国融基金管理有限公司</w:t>
      </w:r>
      <w:r w:rsidR="00164DD5">
        <w:rPr>
          <w:rFonts w:ascii="微软雅黑" w:eastAsia="微软雅黑" w:hAnsi="微软雅黑" w:cs="宋体" w:hint="eastAsia"/>
          <w:b/>
          <w:color w:val="333333"/>
          <w:kern w:val="0"/>
          <w:sz w:val="24"/>
          <w:szCs w:val="24"/>
        </w:rPr>
        <w:t>关于</w:t>
      </w:r>
      <w:r w:rsidR="00AA1558" w:rsidRPr="00773866">
        <w:rPr>
          <w:rFonts w:ascii="微软雅黑" w:eastAsia="微软雅黑" w:hAnsi="微软雅黑" w:cs="宋体" w:hint="eastAsia"/>
          <w:b/>
          <w:color w:val="333333"/>
          <w:kern w:val="0"/>
          <w:sz w:val="24"/>
          <w:szCs w:val="24"/>
        </w:rPr>
        <w:t>旗下基金投资范围增加存托凭证并</w:t>
      </w:r>
      <w:r w:rsidR="00ED7B27" w:rsidRPr="00773866">
        <w:rPr>
          <w:rFonts w:ascii="微软雅黑" w:eastAsia="微软雅黑" w:hAnsi="微软雅黑" w:cs="宋体" w:hint="eastAsia"/>
          <w:b/>
          <w:color w:val="333333"/>
          <w:kern w:val="0"/>
          <w:sz w:val="24"/>
          <w:szCs w:val="24"/>
        </w:rPr>
        <w:t>相应</w:t>
      </w:r>
      <w:r w:rsidRPr="00773866">
        <w:rPr>
          <w:rFonts w:ascii="微软雅黑" w:eastAsia="微软雅黑" w:hAnsi="微软雅黑" w:cs="宋体" w:hint="eastAsia"/>
          <w:b/>
          <w:color w:val="333333"/>
          <w:kern w:val="0"/>
          <w:sz w:val="24"/>
          <w:szCs w:val="24"/>
        </w:rPr>
        <w:t>修改基金合同</w:t>
      </w:r>
      <w:r w:rsidR="00AA1558" w:rsidRPr="00773866">
        <w:rPr>
          <w:rFonts w:ascii="微软雅黑" w:eastAsia="微软雅黑" w:hAnsi="微软雅黑" w:cs="宋体" w:hint="eastAsia"/>
          <w:b/>
          <w:color w:val="333333"/>
          <w:kern w:val="0"/>
          <w:sz w:val="24"/>
          <w:szCs w:val="24"/>
        </w:rPr>
        <w:t>、</w:t>
      </w:r>
      <w:r w:rsidRPr="00773866">
        <w:rPr>
          <w:rFonts w:ascii="微软雅黑" w:eastAsia="微软雅黑" w:hAnsi="微软雅黑" w:cs="宋体" w:hint="eastAsia"/>
          <w:b/>
          <w:color w:val="333333"/>
          <w:kern w:val="0"/>
          <w:sz w:val="24"/>
          <w:szCs w:val="24"/>
        </w:rPr>
        <w:t>托管协议</w:t>
      </w:r>
      <w:r w:rsidR="00AA1558" w:rsidRPr="00773866">
        <w:rPr>
          <w:rFonts w:ascii="微软雅黑" w:eastAsia="微软雅黑" w:hAnsi="微软雅黑" w:cs="宋体" w:hint="eastAsia"/>
          <w:b/>
          <w:color w:val="333333"/>
          <w:kern w:val="0"/>
          <w:sz w:val="24"/>
          <w:szCs w:val="24"/>
        </w:rPr>
        <w:t>并更新招募说明书及</w:t>
      </w:r>
      <w:r w:rsidR="00F95643" w:rsidRPr="00773866">
        <w:rPr>
          <w:rFonts w:ascii="微软雅黑" w:eastAsia="微软雅黑" w:hAnsi="微软雅黑" w:cs="宋体" w:hint="eastAsia"/>
          <w:b/>
          <w:color w:val="333333"/>
          <w:kern w:val="0"/>
          <w:sz w:val="24"/>
          <w:szCs w:val="24"/>
        </w:rPr>
        <w:t>基金</w:t>
      </w:r>
      <w:r w:rsidR="00AA1558" w:rsidRPr="00773866">
        <w:rPr>
          <w:rFonts w:ascii="微软雅黑" w:eastAsia="微软雅黑" w:hAnsi="微软雅黑" w:cs="宋体" w:hint="eastAsia"/>
          <w:b/>
          <w:color w:val="333333"/>
          <w:kern w:val="0"/>
          <w:sz w:val="24"/>
          <w:szCs w:val="24"/>
        </w:rPr>
        <w:t>产品资料概要</w:t>
      </w:r>
      <w:r w:rsidRPr="00773866">
        <w:rPr>
          <w:rFonts w:ascii="微软雅黑" w:eastAsia="微软雅黑" w:hAnsi="微软雅黑" w:cs="宋体" w:hint="eastAsia"/>
          <w:b/>
          <w:color w:val="333333"/>
          <w:kern w:val="0"/>
          <w:sz w:val="24"/>
          <w:szCs w:val="24"/>
        </w:rPr>
        <w:t>的公告</w:t>
      </w:r>
    </w:p>
    <w:p w:rsidR="0037496D" w:rsidRPr="00773866" w:rsidRDefault="0037496D" w:rsidP="005A70B3">
      <w:pPr>
        <w:widowControl/>
        <w:spacing w:line="360" w:lineRule="atLeast"/>
        <w:jc w:val="center"/>
        <w:rPr>
          <w:rFonts w:ascii="微软雅黑" w:eastAsia="微软雅黑" w:hAnsi="微软雅黑" w:cs="宋体"/>
          <w:color w:val="333333"/>
          <w:kern w:val="0"/>
          <w:szCs w:val="21"/>
        </w:rPr>
      </w:pPr>
    </w:p>
    <w:p w:rsidR="008E1297" w:rsidRPr="008E1297" w:rsidRDefault="00F962F2" w:rsidP="005A70B3">
      <w:pPr>
        <w:widowControl/>
        <w:wordWrap w:val="0"/>
        <w:spacing w:line="360" w:lineRule="atLeast"/>
        <w:ind w:firstLineChars="200" w:firstLine="420"/>
        <w:jc w:val="left"/>
        <w:rPr>
          <w:rFonts w:ascii="微软雅黑" w:eastAsia="微软雅黑" w:hAnsi="微软雅黑" w:cs="宋体"/>
          <w:color w:val="333333"/>
          <w:kern w:val="0"/>
          <w:szCs w:val="21"/>
        </w:rPr>
      </w:pPr>
      <w:r w:rsidRPr="00F962F2">
        <w:rPr>
          <w:rFonts w:ascii="微软雅黑" w:eastAsia="微软雅黑" w:hAnsi="微软雅黑" w:cs="宋体" w:hint="eastAsia"/>
          <w:color w:val="333333"/>
          <w:kern w:val="0"/>
          <w:szCs w:val="21"/>
        </w:rPr>
        <w:t>根据《中华人民共和国证券投资基金法》、《存托凭证发行与交易管理办法（试行）》</w:t>
      </w:r>
      <w:r w:rsidR="00ED3721">
        <w:rPr>
          <w:rFonts w:ascii="微软雅黑" w:eastAsia="微软雅黑" w:hAnsi="微软雅黑" w:cs="宋体" w:hint="eastAsia"/>
          <w:color w:val="333333"/>
          <w:kern w:val="0"/>
          <w:szCs w:val="21"/>
        </w:rPr>
        <w:t>等</w:t>
      </w:r>
      <w:r w:rsidR="00ED3721">
        <w:rPr>
          <w:rFonts w:ascii="微软雅黑" w:eastAsia="微软雅黑" w:hAnsi="微软雅黑" w:cs="宋体"/>
          <w:color w:val="333333"/>
          <w:kern w:val="0"/>
          <w:szCs w:val="21"/>
        </w:rPr>
        <w:t>法律法规</w:t>
      </w:r>
      <w:r w:rsidRPr="00F962F2">
        <w:rPr>
          <w:rFonts w:ascii="微软雅黑" w:eastAsia="微软雅黑" w:hAnsi="微软雅黑" w:cs="宋体" w:hint="eastAsia"/>
          <w:color w:val="333333"/>
          <w:kern w:val="0"/>
          <w:szCs w:val="21"/>
        </w:rPr>
        <w:t>的规定和各基金基金合同的约定，经与各基金托管人协商一致，</w:t>
      </w:r>
      <w:r w:rsidR="000E153E">
        <w:rPr>
          <w:rFonts w:ascii="微软雅黑" w:eastAsia="微软雅黑" w:hAnsi="微软雅黑" w:cs="宋体" w:hint="eastAsia"/>
          <w:color w:val="333333"/>
          <w:kern w:val="0"/>
          <w:szCs w:val="21"/>
        </w:rPr>
        <w:t>国融</w:t>
      </w:r>
      <w:r w:rsidR="000E153E">
        <w:rPr>
          <w:rFonts w:ascii="微软雅黑" w:eastAsia="微软雅黑" w:hAnsi="微软雅黑" w:cs="宋体"/>
          <w:color w:val="333333"/>
          <w:kern w:val="0"/>
          <w:szCs w:val="21"/>
        </w:rPr>
        <w:t>基金管理有限公司（</w:t>
      </w:r>
      <w:r w:rsidR="000E153E">
        <w:rPr>
          <w:rFonts w:ascii="微软雅黑" w:eastAsia="微软雅黑" w:hAnsi="微软雅黑" w:cs="宋体" w:hint="eastAsia"/>
          <w:color w:val="333333"/>
          <w:kern w:val="0"/>
          <w:szCs w:val="21"/>
        </w:rPr>
        <w:t>以下</w:t>
      </w:r>
      <w:r w:rsidR="000E153E">
        <w:rPr>
          <w:rFonts w:ascii="微软雅黑" w:eastAsia="微软雅黑" w:hAnsi="微软雅黑" w:cs="宋体"/>
          <w:color w:val="333333"/>
          <w:kern w:val="0"/>
          <w:szCs w:val="21"/>
        </w:rPr>
        <w:t>简称“</w:t>
      </w:r>
      <w:r w:rsidR="000E153E" w:rsidRPr="008E1297">
        <w:rPr>
          <w:rFonts w:ascii="微软雅黑" w:eastAsia="微软雅黑" w:hAnsi="微软雅黑" w:cs="宋体" w:hint="eastAsia"/>
          <w:color w:val="333333"/>
          <w:kern w:val="0"/>
          <w:szCs w:val="21"/>
        </w:rPr>
        <w:t>本基金管理人</w:t>
      </w:r>
      <w:r w:rsidR="000E153E">
        <w:rPr>
          <w:rFonts w:ascii="微软雅黑" w:eastAsia="微软雅黑" w:hAnsi="微软雅黑" w:cs="宋体"/>
          <w:color w:val="333333"/>
          <w:kern w:val="0"/>
          <w:szCs w:val="21"/>
        </w:rPr>
        <w:t>”</w:t>
      </w:r>
      <w:r w:rsidR="000E153E">
        <w:rPr>
          <w:rFonts w:ascii="微软雅黑" w:eastAsia="微软雅黑" w:hAnsi="微软雅黑" w:cs="宋体" w:hint="eastAsia"/>
          <w:color w:val="333333"/>
          <w:kern w:val="0"/>
          <w:szCs w:val="21"/>
        </w:rPr>
        <w:t>或</w:t>
      </w:r>
      <w:r w:rsidR="000E153E">
        <w:rPr>
          <w:rFonts w:ascii="微软雅黑" w:eastAsia="微软雅黑" w:hAnsi="微软雅黑" w:cs="宋体"/>
          <w:color w:val="333333"/>
          <w:kern w:val="0"/>
          <w:szCs w:val="21"/>
        </w:rPr>
        <w:t>“</w:t>
      </w:r>
      <w:r w:rsidR="000E153E">
        <w:rPr>
          <w:rFonts w:ascii="微软雅黑" w:eastAsia="微软雅黑" w:hAnsi="微软雅黑" w:cs="宋体" w:hint="eastAsia"/>
          <w:color w:val="333333"/>
          <w:kern w:val="0"/>
          <w:szCs w:val="21"/>
        </w:rPr>
        <w:t>本公司</w:t>
      </w:r>
      <w:r w:rsidR="000E153E">
        <w:rPr>
          <w:rFonts w:ascii="微软雅黑" w:eastAsia="微软雅黑" w:hAnsi="微软雅黑" w:cs="宋体"/>
          <w:color w:val="333333"/>
          <w:kern w:val="0"/>
          <w:szCs w:val="21"/>
        </w:rPr>
        <w:t>”）</w:t>
      </w:r>
      <w:r w:rsidR="008E1297" w:rsidRPr="008E1297">
        <w:rPr>
          <w:rFonts w:ascii="微软雅黑" w:eastAsia="微软雅黑" w:hAnsi="微软雅黑" w:cs="宋体" w:hint="eastAsia"/>
          <w:color w:val="333333"/>
          <w:kern w:val="0"/>
          <w:szCs w:val="21"/>
        </w:rPr>
        <w:t>决定自2020年1</w:t>
      </w:r>
      <w:r w:rsidR="008E1297">
        <w:rPr>
          <w:rFonts w:ascii="微软雅黑" w:eastAsia="微软雅黑" w:hAnsi="微软雅黑" w:cs="宋体"/>
          <w:color w:val="333333"/>
          <w:kern w:val="0"/>
          <w:szCs w:val="21"/>
        </w:rPr>
        <w:t>2</w:t>
      </w:r>
      <w:r w:rsidR="008E1297" w:rsidRPr="008E1297">
        <w:rPr>
          <w:rFonts w:ascii="微软雅黑" w:eastAsia="微软雅黑" w:hAnsi="微软雅黑" w:cs="宋体" w:hint="eastAsia"/>
          <w:color w:val="333333"/>
          <w:kern w:val="0"/>
          <w:szCs w:val="21"/>
        </w:rPr>
        <w:t>月2</w:t>
      </w:r>
      <w:r w:rsidR="008E1297">
        <w:rPr>
          <w:rFonts w:ascii="微软雅黑" w:eastAsia="微软雅黑" w:hAnsi="微软雅黑" w:cs="宋体"/>
          <w:color w:val="333333"/>
          <w:kern w:val="0"/>
          <w:szCs w:val="21"/>
        </w:rPr>
        <w:t>3</w:t>
      </w:r>
      <w:r w:rsidR="008E1297" w:rsidRPr="008E1297">
        <w:rPr>
          <w:rFonts w:ascii="微软雅黑" w:eastAsia="微软雅黑" w:hAnsi="微软雅黑" w:cs="宋体" w:hint="eastAsia"/>
          <w:color w:val="333333"/>
          <w:kern w:val="0"/>
          <w:szCs w:val="21"/>
        </w:rPr>
        <w:t>日起，在旗下基金的投资范围中增加存托凭证，并对基金合同、托管协议的相应条款进行修订，</w:t>
      </w:r>
      <w:r w:rsidR="003C5087">
        <w:rPr>
          <w:rFonts w:ascii="微软雅黑" w:eastAsia="微软雅黑" w:hAnsi="微软雅黑" w:cs="宋体" w:hint="eastAsia"/>
          <w:color w:val="333333"/>
          <w:kern w:val="0"/>
          <w:szCs w:val="21"/>
        </w:rPr>
        <w:t>更新招募说明书及</w:t>
      </w:r>
      <w:r w:rsidR="003C5087" w:rsidRPr="008E1297">
        <w:rPr>
          <w:rFonts w:ascii="微软雅黑" w:eastAsia="微软雅黑" w:hAnsi="微软雅黑" w:cs="宋体" w:hint="eastAsia"/>
          <w:color w:val="333333"/>
          <w:kern w:val="0"/>
          <w:szCs w:val="21"/>
        </w:rPr>
        <w:t>基金产品资料概要</w:t>
      </w:r>
      <w:r w:rsidR="003C5087">
        <w:rPr>
          <w:rFonts w:ascii="微软雅黑" w:eastAsia="微软雅黑" w:hAnsi="微软雅黑" w:cs="宋体" w:hint="eastAsia"/>
          <w:color w:val="333333"/>
          <w:kern w:val="0"/>
          <w:szCs w:val="21"/>
        </w:rPr>
        <w:t>，</w:t>
      </w:r>
      <w:r w:rsidR="008E1297" w:rsidRPr="008E1297">
        <w:rPr>
          <w:rFonts w:ascii="微软雅黑" w:eastAsia="微软雅黑" w:hAnsi="微软雅黑" w:cs="宋体" w:hint="eastAsia"/>
          <w:color w:val="333333"/>
          <w:kern w:val="0"/>
          <w:szCs w:val="21"/>
        </w:rPr>
        <w:t>现将有关情况说明如下：</w:t>
      </w:r>
    </w:p>
    <w:p w:rsidR="008E1297" w:rsidRPr="00773866" w:rsidRDefault="008E1297" w:rsidP="00773866">
      <w:pPr>
        <w:widowControl/>
        <w:spacing w:after="180" w:line="360" w:lineRule="atLeast"/>
        <w:ind w:firstLineChars="200" w:firstLine="420"/>
        <w:jc w:val="left"/>
        <w:outlineLvl w:val="0"/>
        <w:rPr>
          <w:rFonts w:ascii="微软雅黑" w:eastAsia="微软雅黑" w:hAnsi="微软雅黑" w:cs="宋体"/>
          <w:b/>
          <w:bCs/>
          <w:color w:val="333333"/>
          <w:kern w:val="36"/>
          <w:szCs w:val="21"/>
        </w:rPr>
      </w:pPr>
      <w:r w:rsidRPr="00773866">
        <w:rPr>
          <w:rFonts w:ascii="微软雅黑" w:eastAsia="微软雅黑" w:hAnsi="微软雅黑" w:cs="宋体" w:hint="eastAsia"/>
          <w:b/>
          <w:bCs/>
          <w:color w:val="333333"/>
          <w:kern w:val="36"/>
          <w:szCs w:val="21"/>
        </w:rPr>
        <w:t>一、本次投资范围增加存托凭证的旗下基金</w:t>
      </w:r>
    </w:p>
    <w:p w:rsidR="008E1297" w:rsidRPr="008E1297" w:rsidRDefault="008E1297" w:rsidP="008E1297">
      <w:pPr>
        <w:widowControl/>
        <w:wordWrap w:val="0"/>
        <w:spacing w:line="360" w:lineRule="atLeast"/>
        <w:ind w:firstLine="420"/>
        <w:jc w:val="left"/>
        <w:rPr>
          <w:rFonts w:ascii="微软雅黑" w:eastAsia="微软雅黑" w:hAnsi="微软雅黑" w:cs="宋体"/>
          <w:color w:val="333333"/>
          <w:kern w:val="0"/>
          <w:szCs w:val="21"/>
        </w:rPr>
      </w:pPr>
      <w:r w:rsidRPr="008E1297">
        <w:rPr>
          <w:rFonts w:ascii="微软雅黑" w:eastAsia="微软雅黑" w:hAnsi="微软雅黑" w:cs="宋体" w:hint="eastAsia"/>
          <w:color w:val="333333"/>
          <w:kern w:val="0"/>
          <w:szCs w:val="21"/>
        </w:rPr>
        <w:t>经与基金托管人协商一致，本基金管理人在以下基金的投资范围中增加存托凭证：</w:t>
      </w:r>
    </w:p>
    <w:tbl>
      <w:tblPr>
        <w:tblW w:w="8926" w:type="dxa"/>
        <w:jc w:val="center"/>
        <w:tblLook w:val="04A0"/>
      </w:tblPr>
      <w:tblGrid>
        <w:gridCol w:w="988"/>
        <w:gridCol w:w="4536"/>
        <w:gridCol w:w="3402"/>
      </w:tblGrid>
      <w:tr w:rsidR="00467067" w:rsidTr="00773866">
        <w:trPr>
          <w:trHeight w:val="424"/>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467067" w:rsidRPr="00773866" w:rsidRDefault="00467067" w:rsidP="007165EF">
            <w:pPr>
              <w:widowControl/>
              <w:jc w:val="center"/>
              <w:rPr>
                <w:rFonts w:ascii="微软雅黑" w:eastAsia="微软雅黑" w:hAnsi="微软雅黑" w:cs="宋体"/>
                <w:b/>
                <w:bCs/>
                <w:color w:val="000000"/>
                <w:kern w:val="0"/>
                <w:szCs w:val="21"/>
              </w:rPr>
            </w:pPr>
            <w:r w:rsidRPr="00773866">
              <w:rPr>
                <w:rFonts w:ascii="微软雅黑" w:eastAsia="微软雅黑" w:hAnsi="微软雅黑" w:cs="宋体" w:hint="eastAsia"/>
                <w:b/>
                <w:bCs/>
                <w:color w:val="000000"/>
                <w:kern w:val="0"/>
                <w:szCs w:val="21"/>
              </w:rPr>
              <w:t>序号</w:t>
            </w:r>
          </w:p>
        </w:tc>
        <w:tc>
          <w:tcPr>
            <w:tcW w:w="4536" w:type="dxa"/>
            <w:tcBorders>
              <w:top w:val="single" w:sz="4" w:space="0" w:color="auto"/>
              <w:left w:val="nil"/>
              <w:bottom w:val="single" w:sz="4" w:space="0" w:color="auto"/>
              <w:right w:val="single" w:sz="4" w:space="0" w:color="auto"/>
            </w:tcBorders>
            <w:noWrap/>
            <w:vAlign w:val="center"/>
            <w:hideMark/>
          </w:tcPr>
          <w:p w:rsidR="00467067" w:rsidRPr="00773866" w:rsidRDefault="00467067" w:rsidP="007165EF">
            <w:pPr>
              <w:widowControl/>
              <w:ind w:firstLine="442"/>
              <w:jc w:val="center"/>
              <w:rPr>
                <w:rFonts w:ascii="微软雅黑" w:eastAsia="微软雅黑" w:hAnsi="微软雅黑" w:cs="宋体"/>
                <w:b/>
                <w:bCs/>
                <w:color w:val="000000"/>
                <w:kern w:val="0"/>
                <w:szCs w:val="21"/>
              </w:rPr>
            </w:pPr>
            <w:r w:rsidRPr="00773866">
              <w:rPr>
                <w:rFonts w:ascii="微软雅黑" w:eastAsia="微软雅黑" w:hAnsi="微软雅黑" w:cs="宋体" w:hint="eastAsia"/>
                <w:b/>
                <w:bCs/>
                <w:color w:val="000000"/>
                <w:kern w:val="0"/>
                <w:szCs w:val="21"/>
              </w:rPr>
              <w:t>产品名称</w:t>
            </w:r>
          </w:p>
        </w:tc>
        <w:tc>
          <w:tcPr>
            <w:tcW w:w="3402" w:type="dxa"/>
            <w:tcBorders>
              <w:top w:val="single" w:sz="4" w:space="0" w:color="auto"/>
              <w:left w:val="nil"/>
              <w:bottom w:val="single" w:sz="4" w:space="0" w:color="auto"/>
              <w:right w:val="single" w:sz="4" w:space="0" w:color="auto"/>
            </w:tcBorders>
            <w:noWrap/>
            <w:vAlign w:val="center"/>
            <w:hideMark/>
          </w:tcPr>
          <w:p w:rsidR="00467067" w:rsidRPr="00773866" w:rsidRDefault="00467067" w:rsidP="007165EF">
            <w:pPr>
              <w:widowControl/>
              <w:jc w:val="center"/>
              <w:rPr>
                <w:rFonts w:ascii="微软雅黑" w:eastAsia="微软雅黑" w:hAnsi="微软雅黑" w:cs="宋体"/>
                <w:b/>
                <w:bCs/>
                <w:color w:val="000000"/>
                <w:kern w:val="0"/>
                <w:szCs w:val="21"/>
              </w:rPr>
            </w:pPr>
            <w:r w:rsidRPr="00773866">
              <w:rPr>
                <w:rFonts w:ascii="微软雅黑" w:eastAsia="微软雅黑" w:hAnsi="微软雅黑" w:cs="宋体" w:hint="eastAsia"/>
                <w:b/>
                <w:bCs/>
                <w:color w:val="000000"/>
                <w:kern w:val="0"/>
                <w:szCs w:val="21"/>
              </w:rPr>
              <w:t>基金合同生效日</w:t>
            </w:r>
          </w:p>
        </w:tc>
      </w:tr>
      <w:tr w:rsidR="00467067" w:rsidTr="00773866">
        <w:trPr>
          <w:trHeight w:val="424"/>
          <w:jc w:val="center"/>
        </w:trPr>
        <w:tc>
          <w:tcPr>
            <w:tcW w:w="988" w:type="dxa"/>
            <w:tcBorders>
              <w:top w:val="nil"/>
              <w:left w:val="single" w:sz="4" w:space="0" w:color="auto"/>
              <w:bottom w:val="single" w:sz="4" w:space="0" w:color="auto"/>
              <w:right w:val="single" w:sz="4" w:space="0" w:color="auto"/>
            </w:tcBorders>
            <w:noWrap/>
            <w:vAlign w:val="center"/>
            <w:hideMark/>
          </w:tcPr>
          <w:p w:rsidR="00467067" w:rsidRPr="00773866" w:rsidRDefault="00467067" w:rsidP="00773866">
            <w:pPr>
              <w:widowControl/>
              <w:ind w:firstLine="440"/>
              <w:rPr>
                <w:rFonts w:ascii="微软雅黑" w:eastAsia="微软雅黑" w:hAnsi="微软雅黑"/>
                <w:color w:val="000000"/>
                <w:szCs w:val="21"/>
              </w:rPr>
            </w:pPr>
            <w:r w:rsidRPr="00773866">
              <w:rPr>
                <w:rFonts w:ascii="微软雅黑" w:eastAsia="微软雅黑" w:hAnsi="微软雅黑"/>
                <w:color w:val="000000"/>
                <w:szCs w:val="21"/>
              </w:rPr>
              <w:t>1</w:t>
            </w:r>
          </w:p>
        </w:tc>
        <w:tc>
          <w:tcPr>
            <w:tcW w:w="4536" w:type="dxa"/>
            <w:tcBorders>
              <w:top w:val="nil"/>
              <w:left w:val="nil"/>
              <w:bottom w:val="single" w:sz="4" w:space="0" w:color="auto"/>
              <w:right w:val="single" w:sz="4" w:space="0" w:color="auto"/>
            </w:tcBorders>
            <w:noWrap/>
            <w:vAlign w:val="center"/>
          </w:tcPr>
          <w:p w:rsidR="00467067" w:rsidRPr="00773866" w:rsidRDefault="00467067" w:rsidP="0017557F">
            <w:pPr>
              <w:widowControl/>
              <w:ind w:firstLine="440"/>
              <w:jc w:val="center"/>
              <w:rPr>
                <w:rFonts w:ascii="微软雅黑" w:eastAsia="微软雅黑" w:hAnsi="微软雅黑"/>
                <w:color w:val="000000"/>
                <w:szCs w:val="21"/>
              </w:rPr>
            </w:pPr>
            <w:r w:rsidRPr="00773866">
              <w:rPr>
                <w:rFonts w:ascii="微软雅黑" w:eastAsia="微软雅黑" w:hAnsi="微软雅黑" w:hint="eastAsia"/>
                <w:color w:val="000000"/>
                <w:szCs w:val="21"/>
              </w:rPr>
              <w:t>国融融银灵活配置混合型证券投资基金</w:t>
            </w:r>
          </w:p>
        </w:tc>
        <w:tc>
          <w:tcPr>
            <w:tcW w:w="3402" w:type="dxa"/>
            <w:tcBorders>
              <w:top w:val="nil"/>
              <w:left w:val="nil"/>
              <w:bottom w:val="single" w:sz="4" w:space="0" w:color="auto"/>
              <w:right w:val="single" w:sz="4" w:space="0" w:color="auto"/>
            </w:tcBorders>
            <w:noWrap/>
            <w:vAlign w:val="center"/>
          </w:tcPr>
          <w:p w:rsidR="00467067" w:rsidRPr="00773866" w:rsidRDefault="00467067" w:rsidP="00773866">
            <w:pPr>
              <w:widowControl/>
              <w:jc w:val="center"/>
              <w:rPr>
                <w:rFonts w:ascii="微软雅黑" w:eastAsia="微软雅黑" w:hAnsi="微软雅黑"/>
                <w:color w:val="000000"/>
                <w:szCs w:val="21"/>
              </w:rPr>
            </w:pPr>
            <w:r w:rsidRPr="00773866">
              <w:rPr>
                <w:rFonts w:ascii="微软雅黑" w:eastAsia="微软雅黑" w:hAnsi="微软雅黑"/>
                <w:color w:val="000000"/>
                <w:szCs w:val="21"/>
              </w:rPr>
              <w:t>2018年06月07日</w:t>
            </w:r>
          </w:p>
        </w:tc>
      </w:tr>
      <w:tr w:rsidR="00467067" w:rsidTr="00773866">
        <w:trPr>
          <w:trHeight w:val="424"/>
          <w:jc w:val="center"/>
        </w:trPr>
        <w:tc>
          <w:tcPr>
            <w:tcW w:w="988" w:type="dxa"/>
            <w:tcBorders>
              <w:top w:val="nil"/>
              <w:left w:val="single" w:sz="4" w:space="0" w:color="auto"/>
              <w:bottom w:val="single" w:sz="4" w:space="0" w:color="auto"/>
              <w:right w:val="single" w:sz="4" w:space="0" w:color="auto"/>
            </w:tcBorders>
            <w:noWrap/>
            <w:vAlign w:val="center"/>
            <w:hideMark/>
          </w:tcPr>
          <w:p w:rsidR="00467067" w:rsidRPr="00773866" w:rsidRDefault="00467067" w:rsidP="00773866">
            <w:pPr>
              <w:ind w:firstLine="440"/>
              <w:rPr>
                <w:rFonts w:ascii="微软雅黑" w:eastAsia="微软雅黑" w:hAnsi="微软雅黑"/>
                <w:color w:val="000000"/>
                <w:szCs w:val="21"/>
              </w:rPr>
            </w:pPr>
            <w:r w:rsidRPr="00773866">
              <w:rPr>
                <w:rFonts w:ascii="微软雅黑" w:eastAsia="微软雅黑" w:hAnsi="微软雅黑"/>
                <w:color w:val="000000"/>
                <w:szCs w:val="21"/>
              </w:rPr>
              <w:t>2</w:t>
            </w:r>
          </w:p>
        </w:tc>
        <w:tc>
          <w:tcPr>
            <w:tcW w:w="4536" w:type="dxa"/>
            <w:tcBorders>
              <w:top w:val="nil"/>
              <w:left w:val="nil"/>
              <w:bottom w:val="single" w:sz="4" w:space="0" w:color="auto"/>
              <w:right w:val="single" w:sz="4" w:space="0" w:color="auto"/>
            </w:tcBorders>
            <w:noWrap/>
            <w:vAlign w:val="center"/>
          </w:tcPr>
          <w:p w:rsidR="00467067" w:rsidRPr="00773866" w:rsidRDefault="00467067" w:rsidP="0017557F">
            <w:pPr>
              <w:widowControl/>
              <w:ind w:firstLine="440"/>
              <w:jc w:val="center"/>
              <w:rPr>
                <w:rFonts w:ascii="微软雅黑" w:eastAsia="微软雅黑" w:hAnsi="微软雅黑"/>
                <w:color w:val="000000"/>
                <w:szCs w:val="21"/>
              </w:rPr>
            </w:pPr>
            <w:r w:rsidRPr="00773866">
              <w:rPr>
                <w:rFonts w:ascii="微软雅黑" w:eastAsia="微软雅黑" w:hAnsi="微软雅黑" w:hint="eastAsia"/>
                <w:color w:val="000000"/>
                <w:szCs w:val="21"/>
              </w:rPr>
              <w:t>国融融君灵活配置混合型证券投资基金</w:t>
            </w:r>
          </w:p>
        </w:tc>
        <w:tc>
          <w:tcPr>
            <w:tcW w:w="3402" w:type="dxa"/>
            <w:tcBorders>
              <w:top w:val="nil"/>
              <w:left w:val="nil"/>
              <w:bottom w:val="single" w:sz="4" w:space="0" w:color="auto"/>
              <w:right w:val="single" w:sz="4" w:space="0" w:color="auto"/>
            </w:tcBorders>
            <w:noWrap/>
            <w:vAlign w:val="center"/>
          </w:tcPr>
          <w:p w:rsidR="00467067" w:rsidRPr="00773866" w:rsidRDefault="00467067" w:rsidP="00773866">
            <w:pPr>
              <w:widowControl/>
              <w:jc w:val="center"/>
              <w:rPr>
                <w:rFonts w:ascii="微软雅黑" w:eastAsia="微软雅黑" w:hAnsi="微软雅黑"/>
                <w:color w:val="000000"/>
                <w:szCs w:val="21"/>
              </w:rPr>
            </w:pPr>
            <w:r w:rsidRPr="00773866">
              <w:rPr>
                <w:rFonts w:ascii="微软雅黑" w:eastAsia="微软雅黑" w:hAnsi="微软雅黑"/>
                <w:color w:val="000000"/>
                <w:szCs w:val="21"/>
              </w:rPr>
              <w:t>2018年09月12日</w:t>
            </w:r>
          </w:p>
        </w:tc>
      </w:tr>
      <w:tr w:rsidR="00467067" w:rsidTr="00773866">
        <w:trPr>
          <w:trHeight w:val="424"/>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467067" w:rsidRPr="00773866" w:rsidRDefault="00467067" w:rsidP="00773866">
            <w:pPr>
              <w:ind w:firstLine="440"/>
              <w:rPr>
                <w:rFonts w:ascii="微软雅黑" w:eastAsia="微软雅黑" w:hAnsi="微软雅黑"/>
                <w:color w:val="000000"/>
                <w:szCs w:val="21"/>
              </w:rPr>
            </w:pPr>
            <w:r w:rsidRPr="00773866">
              <w:rPr>
                <w:rFonts w:ascii="微软雅黑" w:eastAsia="微软雅黑" w:hAnsi="微软雅黑"/>
                <w:color w:val="000000"/>
                <w:szCs w:val="21"/>
              </w:rPr>
              <w:t>3</w:t>
            </w:r>
          </w:p>
        </w:tc>
        <w:tc>
          <w:tcPr>
            <w:tcW w:w="4536" w:type="dxa"/>
            <w:tcBorders>
              <w:top w:val="single" w:sz="4" w:space="0" w:color="auto"/>
              <w:left w:val="nil"/>
              <w:bottom w:val="single" w:sz="4" w:space="0" w:color="auto"/>
              <w:right w:val="single" w:sz="4" w:space="0" w:color="auto"/>
            </w:tcBorders>
            <w:noWrap/>
            <w:vAlign w:val="center"/>
          </w:tcPr>
          <w:p w:rsidR="00467067" w:rsidRPr="00773866" w:rsidRDefault="00467067" w:rsidP="0017557F">
            <w:pPr>
              <w:widowControl/>
              <w:ind w:firstLine="440"/>
              <w:jc w:val="center"/>
              <w:rPr>
                <w:rFonts w:ascii="微软雅黑" w:eastAsia="微软雅黑" w:hAnsi="微软雅黑"/>
                <w:color w:val="000000"/>
                <w:szCs w:val="21"/>
              </w:rPr>
            </w:pPr>
            <w:r w:rsidRPr="00773866">
              <w:rPr>
                <w:rFonts w:ascii="微软雅黑" w:eastAsia="微软雅黑" w:hAnsi="微软雅黑" w:hint="eastAsia"/>
                <w:color w:val="000000"/>
                <w:szCs w:val="21"/>
              </w:rPr>
              <w:t>国融融泰灵活配置混合型证券投资基金</w:t>
            </w:r>
          </w:p>
        </w:tc>
        <w:tc>
          <w:tcPr>
            <w:tcW w:w="3402" w:type="dxa"/>
            <w:tcBorders>
              <w:top w:val="single" w:sz="4" w:space="0" w:color="auto"/>
              <w:left w:val="nil"/>
              <w:bottom w:val="single" w:sz="4" w:space="0" w:color="auto"/>
              <w:right w:val="single" w:sz="4" w:space="0" w:color="auto"/>
            </w:tcBorders>
            <w:noWrap/>
            <w:vAlign w:val="center"/>
          </w:tcPr>
          <w:p w:rsidR="00467067" w:rsidRPr="00773866" w:rsidRDefault="00467067" w:rsidP="00773866">
            <w:pPr>
              <w:widowControl/>
              <w:jc w:val="center"/>
              <w:rPr>
                <w:rFonts w:ascii="微软雅黑" w:eastAsia="微软雅黑" w:hAnsi="微软雅黑"/>
                <w:color w:val="000000"/>
                <w:szCs w:val="21"/>
              </w:rPr>
            </w:pPr>
            <w:r w:rsidRPr="00773866">
              <w:rPr>
                <w:rFonts w:ascii="微软雅黑" w:eastAsia="微软雅黑" w:hAnsi="微软雅黑"/>
                <w:color w:val="000000"/>
                <w:szCs w:val="21"/>
              </w:rPr>
              <w:t>2019年01月30日</w:t>
            </w:r>
          </w:p>
        </w:tc>
      </w:tr>
      <w:tr w:rsidR="00467067" w:rsidTr="00773866">
        <w:trPr>
          <w:trHeight w:val="424"/>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467067" w:rsidRPr="00773866" w:rsidRDefault="00467067" w:rsidP="00773866">
            <w:pPr>
              <w:ind w:firstLine="440"/>
              <w:rPr>
                <w:rFonts w:ascii="微软雅黑" w:eastAsia="微软雅黑" w:hAnsi="微软雅黑"/>
                <w:color w:val="000000"/>
                <w:szCs w:val="21"/>
              </w:rPr>
            </w:pPr>
            <w:r w:rsidRPr="00773866">
              <w:rPr>
                <w:rFonts w:ascii="微软雅黑" w:eastAsia="微软雅黑" w:hAnsi="微软雅黑"/>
                <w:color w:val="000000"/>
                <w:szCs w:val="21"/>
              </w:rPr>
              <w:t>4</w:t>
            </w:r>
          </w:p>
        </w:tc>
        <w:tc>
          <w:tcPr>
            <w:tcW w:w="4536" w:type="dxa"/>
            <w:tcBorders>
              <w:top w:val="single" w:sz="4" w:space="0" w:color="auto"/>
              <w:left w:val="nil"/>
              <w:bottom w:val="single" w:sz="4" w:space="0" w:color="auto"/>
              <w:right w:val="single" w:sz="4" w:space="0" w:color="auto"/>
            </w:tcBorders>
            <w:noWrap/>
            <w:vAlign w:val="center"/>
          </w:tcPr>
          <w:p w:rsidR="00467067" w:rsidRPr="00773866" w:rsidRDefault="00467067" w:rsidP="0017557F">
            <w:pPr>
              <w:widowControl/>
              <w:ind w:firstLine="440"/>
              <w:jc w:val="center"/>
              <w:rPr>
                <w:rFonts w:ascii="微软雅黑" w:eastAsia="微软雅黑" w:hAnsi="微软雅黑"/>
                <w:color w:val="000000"/>
                <w:szCs w:val="21"/>
              </w:rPr>
            </w:pPr>
            <w:r w:rsidRPr="00773866">
              <w:rPr>
                <w:rFonts w:ascii="微软雅黑" w:eastAsia="微软雅黑" w:hAnsi="微软雅黑" w:hint="eastAsia"/>
                <w:color w:val="000000"/>
                <w:szCs w:val="21"/>
              </w:rPr>
              <w:t>国融融盛龙头严选混合型证券投资基金</w:t>
            </w:r>
          </w:p>
        </w:tc>
        <w:tc>
          <w:tcPr>
            <w:tcW w:w="3402" w:type="dxa"/>
            <w:tcBorders>
              <w:top w:val="single" w:sz="4" w:space="0" w:color="auto"/>
              <w:left w:val="nil"/>
              <w:bottom w:val="single" w:sz="4" w:space="0" w:color="auto"/>
              <w:right w:val="single" w:sz="4" w:space="0" w:color="auto"/>
            </w:tcBorders>
            <w:noWrap/>
            <w:vAlign w:val="center"/>
          </w:tcPr>
          <w:p w:rsidR="00467067" w:rsidRPr="00773866" w:rsidRDefault="00467067" w:rsidP="00773866">
            <w:pPr>
              <w:widowControl/>
              <w:jc w:val="center"/>
              <w:rPr>
                <w:rFonts w:ascii="微软雅黑" w:eastAsia="微软雅黑" w:hAnsi="微软雅黑"/>
                <w:color w:val="000000"/>
                <w:szCs w:val="21"/>
              </w:rPr>
            </w:pPr>
            <w:r w:rsidRPr="00773866">
              <w:rPr>
                <w:rFonts w:ascii="微软雅黑" w:eastAsia="微软雅黑" w:hAnsi="微软雅黑"/>
                <w:color w:val="000000"/>
                <w:szCs w:val="21"/>
              </w:rPr>
              <w:t>2019年05月29日</w:t>
            </w:r>
          </w:p>
        </w:tc>
      </w:tr>
      <w:tr w:rsidR="00467067" w:rsidTr="00773866">
        <w:trPr>
          <w:trHeight w:val="424"/>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467067" w:rsidRPr="00773866" w:rsidRDefault="00467067" w:rsidP="00773866">
            <w:pPr>
              <w:ind w:firstLine="440"/>
              <w:rPr>
                <w:rFonts w:ascii="微软雅黑" w:eastAsia="微软雅黑" w:hAnsi="微软雅黑"/>
                <w:color w:val="000000"/>
                <w:szCs w:val="21"/>
              </w:rPr>
            </w:pPr>
            <w:r w:rsidRPr="00773866">
              <w:rPr>
                <w:rFonts w:ascii="微软雅黑" w:eastAsia="微软雅黑" w:hAnsi="微软雅黑"/>
                <w:color w:val="000000"/>
                <w:szCs w:val="21"/>
              </w:rPr>
              <w:t>5</w:t>
            </w:r>
          </w:p>
        </w:tc>
        <w:tc>
          <w:tcPr>
            <w:tcW w:w="4536" w:type="dxa"/>
            <w:tcBorders>
              <w:top w:val="single" w:sz="4" w:space="0" w:color="auto"/>
              <w:left w:val="nil"/>
              <w:bottom w:val="single" w:sz="4" w:space="0" w:color="auto"/>
              <w:right w:val="single" w:sz="4" w:space="0" w:color="auto"/>
            </w:tcBorders>
            <w:noWrap/>
            <w:vAlign w:val="center"/>
          </w:tcPr>
          <w:p w:rsidR="00467067" w:rsidRPr="00773866" w:rsidRDefault="00467067" w:rsidP="0017557F">
            <w:pPr>
              <w:widowControl/>
              <w:ind w:firstLine="440"/>
              <w:jc w:val="center"/>
              <w:rPr>
                <w:rFonts w:ascii="微软雅黑" w:eastAsia="微软雅黑" w:hAnsi="微软雅黑"/>
                <w:color w:val="000000"/>
                <w:szCs w:val="21"/>
              </w:rPr>
            </w:pPr>
            <w:r w:rsidRPr="00773866">
              <w:rPr>
                <w:rFonts w:ascii="微软雅黑" w:eastAsia="微软雅黑" w:hAnsi="微软雅黑" w:hint="eastAsia"/>
                <w:color w:val="000000"/>
                <w:szCs w:val="21"/>
              </w:rPr>
              <w:t>国融融信消费严选混合型证券投资基金</w:t>
            </w:r>
          </w:p>
        </w:tc>
        <w:tc>
          <w:tcPr>
            <w:tcW w:w="3402" w:type="dxa"/>
            <w:tcBorders>
              <w:top w:val="single" w:sz="4" w:space="0" w:color="auto"/>
              <w:left w:val="nil"/>
              <w:bottom w:val="single" w:sz="4" w:space="0" w:color="auto"/>
              <w:right w:val="single" w:sz="4" w:space="0" w:color="auto"/>
            </w:tcBorders>
            <w:noWrap/>
            <w:vAlign w:val="center"/>
          </w:tcPr>
          <w:p w:rsidR="00467067" w:rsidRPr="00773866" w:rsidRDefault="00467067" w:rsidP="00773866">
            <w:pPr>
              <w:widowControl/>
              <w:jc w:val="center"/>
              <w:rPr>
                <w:rFonts w:ascii="微软雅黑" w:eastAsia="微软雅黑" w:hAnsi="微软雅黑"/>
                <w:color w:val="000000"/>
                <w:szCs w:val="21"/>
              </w:rPr>
            </w:pPr>
            <w:r w:rsidRPr="00773866">
              <w:rPr>
                <w:rFonts w:ascii="微软雅黑" w:eastAsia="微软雅黑" w:hAnsi="微软雅黑"/>
                <w:color w:val="000000"/>
                <w:szCs w:val="21"/>
              </w:rPr>
              <w:t>2019年06月19日</w:t>
            </w:r>
          </w:p>
        </w:tc>
      </w:tr>
      <w:tr w:rsidR="00467067" w:rsidTr="00773866">
        <w:trPr>
          <w:trHeight w:val="424"/>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rsidR="00467067" w:rsidRPr="00773866" w:rsidRDefault="00467067" w:rsidP="00773866">
            <w:pPr>
              <w:ind w:firstLine="440"/>
              <w:rPr>
                <w:rFonts w:ascii="微软雅黑" w:eastAsia="微软雅黑" w:hAnsi="微软雅黑"/>
                <w:color w:val="000000"/>
                <w:szCs w:val="21"/>
              </w:rPr>
            </w:pPr>
            <w:r w:rsidRPr="00773866">
              <w:rPr>
                <w:rFonts w:ascii="微软雅黑" w:eastAsia="微软雅黑" w:hAnsi="微软雅黑"/>
                <w:color w:val="000000"/>
                <w:szCs w:val="21"/>
              </w:rPr>
              <w:t>6</w:t>
            </w:r>
          </w:p>
        </w:tc>
        <w:tc>
          <w:tcPr>
            <w:tcW w:w="4536" w:type="dxa"/>
            <w:tcBorders>
              <w:top w:val="single" w:sz="4" w:space="0" w:color="auto"/>
              <w:left w:val="nil"/>
              <w:bottom w:val="single" w:sz="4" w:space="0" w:color="auto"/>
              <w:right w:val="single" w:sz="4" w:space="0" w:color="auto"/>
            </w:tcBorders>
            <w:noWrap/>
            <w:vAlign w:val="center"/>
          </w:tcPr>
          <w:p w:rsidR="00467067" w:rsidRPr="00773866" w:rsidRDefault="00467067" w:rsidP="0017557F">
            <w:pPr>
              <w:widowControl/>
              <w:ind w:firstLine="440"/>
              <w:jc w:val="center"/>
              <w:rPr>
                <w:rFonts w:ascii="微软雅黑" w:eastAsia="微软雅黑" w:hAnsi="微软雅黑"/>
                <w:color w:val="000000"/>
                <w:szCs w:val="21"/>
              </w:rPr>
            </w:pPr>
            <w:r w:rsidRPr="00773866">
              <w:rPr>
                <w:rFonts w:ascii="微软雅黑" w:eastAsia="微软雅黑" w:hAnsi="微软雅黑" w:hint="eastAsia"/>
                <w:color w:val="000000"/>
                <w:szCs w:val="21"/>
              </w:rPr>
              <w:t>国融融兴灵活配置混合型证券投资基金</w:t>
            </w:r>
          </w:p>
        </w:tc>
        <w:tc>
          <w:tcPr>
            <w:tcW w:w="3402" w:type="dxa"/>
            <w:tcBorders>
              <w:top w:val="single" w:sz="4" w:space="0" w:color="auto"/>
              <w:left w:val="nil"/>
              <w:bottom w:val="single" w:sz="4" w:space="0" w:color="auto"/>
              <w:right w:val="single" w:sz="4" w:space="0" w:color="auto"/>
            </w:tcBorders>
            <w:noWrap/>
            <w:vAlign w:val="center"/>
          </w:tcPr>
          <w:p w:rsidR="00467067" w:rsidRPr="00773866" w:rsidRDefault="00467067" w:rsidP="00773866">
            <w:pPr>
              <w:widowControl/>
              <w:jc w:val="center"/>
              <w:rPr>
                <w:rFonts w:ascii="微软雅黑" w:eastAsia="微软雅黑" w:hAnsi="微软雅黑"/>
                <w:color w:val="000000"/>
                <w:szCs w:val="21"/>
              </w:rPr>
            </w:pPr>
            <w:r w:rsidRPr="00773866">
              <w:rPr>
                <w:rFonts w:ascii="微软雅黑" w:eastAsia="微软雅黑" w:hAnsi="微软雅黑"/>
                <w:color w:val="000000"/>
                <w:szCs w:val="21"/>
              </w:rPr>
              <w:t>2019年11月05日</w:t>
            </w:r>
          </w:p>
        </w:tc>
      </w:tr>
    </w:tbl>
    <w:p w:rsidR="00B31796" w:rsidRDefault="00B31796" w:rsidP="00E35BEA">
      <w:pPr>
        <w:widowControl/>
        <w:spacing w:after="180" w:line="360" w:lineRule="atLeast"/>
        <w:ind w:firstLineChars="200" w:firstLine="480"/>
        <w:jc w:val="left"/>
        <w:outlineLvl w:val="0"/>
        <w:rPr>
          <w:rFonts w:ascii="微软雅黑" w:eastAsia="微软雅黑" w:hAnsi="微软雅黑" w:cs="宋体"/>
          <w:b/>
          <w:bCs/>
          <w:color w:val="333333"/>
          <w:kern w:val="36"/>
          <w:sz w:val="24"/>
          <w:szCs w:val="24"/>
        </w:rPr>
      </w:pPr>
    </w:p>
    <w:p w:rsidR="008E1297" w:rsidRPr="00773866" w:rsidRDefault="008E1297" w:rsidP="00773866">
      <w:pPr>
        <w:widowControl/>
        <w:spacing w:after="180" w:line="360" w:lineRule="atLeast"/>
        <w:ind w:firstLineChars="200" w:firstLine="420"/>
        <w:jc w:val="left"/>
        <w:outlineLvl w:val="0"/>
        <w:rPr>
          <w:rFonts w:ascii="微软雅黑" w:eastAsia="微软雅黑" w:hAnsi="微软雅黑" w:cs="宋体"/>
          <w:b/>
          <w:bCs/>
          <w:color w:val="333333"/>
          <w:kern w:val="36"/>
          <w:szCs w:val="21"/>
        </w:rPr>
      </w:pPr>
      <w:r w:rsidRPr="00773866">
        <w:rPr>
          <w:rFonts w:ascii="微软雅黑" w:eastAsia="微软雅黑" w:hAnsi="微软雅黑" w:cs="宋体" w:hint="eastAsia"/>
          <w:b/>
          <w:bCs/>
          <w:color w:val="333333"/>
          <w:kern w:val="36"/>
          <w:szCs w:val="21"/>
        </w:rPr>
        <w:t>二、基金合同及招募说明书（更新）修订</w:t>
      </w:r>
    </w:p>
    <w:p w:rsidR="008E1297" w:rsidRPr="008E1297" w:rsidRDefault="008E1297" w:rsidP="00AF0D67">
      <w:pPr>
        <w:widowControl/>
        <w:wordWrap w:val="0"/>
        <w:spacing w:line="360" w:lineRule="atLeast"/>
        <w:ind w:firstLine="420"/>
        <w:jc w:val="left"/>
        <w:rPr>
          <w:rFonts w:ascii="微软雅黑" w:eastAsia="微软雅黑" w:hAnsi="微软雅黑" w:cs="宋体"/>
          <w:color w:val="333333"/>
          <w:kern w:val="0"/>
          <w:szCs w:val="21"/>
        </w:rPr>
      </w:pPr>
      <w:r w:rsidRPr="008E1297">
        <w:rPr>
          <w:rFonts w:ascii="微软雅黑" w:eastAsia="微软雅黑" w:hAnsi="微软雅黑" w:cs="宋体" w:hint="eastAsia"/>
          <w:color w:val="333333"/>
          <w:kern w:val="0"/>
          <w:szCs w:val="21"/>
        </w:rPr>
        <w:t>本次修订内容包括明确投资范围包含存托凭证、增加存托凭证的投资策略、投资比例限制、估值方法等约定，并增加投资存托凭证的风险揭示。基金合同的具体修订内容详见附件。</w:t>
      </w:r>
    </w:p>
    <w:p w:rsidR="008E1297" w:rsidRPr="008E1297" w:rsidRDefault="008E1297" w:rsidP="008E1297">
      <w:pPr>
        <w:widowControl/>
        <w:wordWrap w:val="0"/>
        <w:spacing w:line="360" w:lineRule="atLeast"/>
        <w:ind w:firstLine="420"/>
        <w:jc w:val="left"/>
        <w:rPr>
          <w:rFonts w:ascii="微软雅黑" w:eastAsia="微软雅黑" w:hAnsi="微软雅黑" w:cs="宋体"/>
          <w:color w:val="333333"/>
          <w:kern w:val="0"/>
          <w:szCs w:val="21"/>
        </w:rPr>
      </w:pPr>
      <w:r w:rsidRPr="008E1297">
        <w:rPr>
          <w:rFonts w:ascii="微软雅黑" w:eastAsia="微软雅黑" w:hAnsi="微软雅黑" w:cs="宋体" w:hint="eastAsia"/>
          <w:color w:val="333333"/>
          <w:kern w:val="0"/>
          <w:szCs w:val="21"/>
        </w:rPr>
        <w:lastRenderedPageBreak/>
        <w:t>重要提示：</w:t>
      </w:r>
    </w:p>
    <w:p w:rsidR="008E1297" w:rsidRPr="008E1297" w:rsidRDefault="008E1297" w:rsidP="008E1297">
      <w:pPr>
        <w:widowControl/>
        <w:wordWrap w:val="0"/>
        <w:spacing w:line="360" w:lineRule="atLeast"/>
        <w:ind w:firstLine="420"/>
        <w:jc w:val="left"/>
        <w:rPr>
          <w:rFonts w:ascii="微软雅黑" w:eastAsia="微软雅黑" w:hAnsi="微软雅黑" w:cs="宋体"/>
          <w:color w:val="333333"/>
          <w:kern w:val="0"/>
          <w:szCs w:val="21"/>
        </w:rPr>
      </w:pPr>
      <w:r w:rsidRPr="008E1297">
        <w:rPr>
          <w:rFonts w:ascii="微软雅黑" w:eastAsia="微软雅黑" w:hAnsi="微软雅黑" w:cs="宋体" w:hint="eastAsia"/>
          <w:color w:val="333333"/>
          <w:kern w:val="0"/>
          <w:szCs w:val="21"/>
        </w:rPr>
        <w:t>1、本次旗下基金的基金合同的修订已经履行了规定的程序，符合相关法律法规及基金合同的规定，</w:t>
      </w:r>
      <w:r w:rsidR="004F7CE8" w:rsidRPr="004F7CE8">
        <w:rPr>
          <w:rFonts w:ascii="微软雅黑" w:eastAsia="微软雅黑" w:hAnsi="微软雅黑" w:cs="宋体" w:hint="eastAsia"/>
          <w:color w:val="333333"/>
          <w:kern w:val="0"/>
          <w:szCs w:val="21"/>
        </w:rPr>
        <w:t>对基金份额持有人利益无实质性不利影响，不涉及基金合同当事人之间权利义务关系发生重大变化，</w:t>
      </w:r>
      <w:r w:rsidRPr="008E1297">
        <w:rPr>
          <w:rFonts w:ascii="微软雅黑" w:eastAsia="微软雅黑" w:hAnsi="微软雅黑" w:cs="宋体" w:hint="eastAsia"/>
          <w:color w:val="333333"/>
          <w:kern w:val="0"/>
          <w:szCs w:val="21"/>
        </w:rPr>
        <w:t>无需召开基金份额持有人大会。</w:t>
      </w:r>
    </w:p>
    <w:p w:rsidR="008E1297" w:rsidRPr="008E1297" w:rsidRDefault="008E1297" w:rsidP="008E1297">
      <w:pPr>
        <w:widowControl/>
        <w:wordWrap w:val="0"/>
        <w:spacing w:line="360" w:lineRule="atLeast"/>
        <w:ind w:firstLine="420"/>
        <w:jc w:val="left"/>
        <w:rPr>
          <w:rFonts w:ascii="微软雅黑" w:eastAsia="微软雅黑" w:hAnsi="微软雅黑" w:cs="宋体"/>
          <w:color w:val="333333"/>
          <w:kern w:val="0"/>
          <w:szCs w:val="21"/>
        </w:rPr>
      </w:pPr>
      <w:r w:rsidRPr="008E1297">
        <w:rPr>
          <w:rFonts w:ascii="微软雅黑" w:eastAsia="微软雅黑" w:hAnsi="微软雅黑" w:cs="宋体" w:hint="eastAsia"/>
          <w:color w:val="333333"/>
          <w:kern w:val="0"/>
          <w:szCs w:val="21"/>
        </w:rPr>
        <w:t>2、本基金管理人于本公告日在网站上同时公布经修改后的基金合同、托管协议；招募说明书、</w:t>
      </w:r>
      <w:r w:rsidR="005E58DA">
        <w:rPr>
          <w:rFonts w:ascii="微软雅黑" w:eastAsia="微软雅黑" w:hAnsi="微软雅黑" w:cs="宋体" w:hint="eastAsia"/>
          <w:color w:val="333333"/>
          <w:kern w:val="0"/>
          <w:szCs w:val="21"/>
        </w:rPr>
        <w:t>基金</w:t>
      </w:r>
      <w:r w:rsidRPr="008E1297">
        <w:rPr>
          <w:rFonts w:ascii="微软雅黑" w:eastAsia="微软雅黑" w:hAnsi="微软雅黑" w:cs="宋体" w:hint="eastAsia"/>
          <w:color w:val="333333"/>
          <w:kern w:val="0"/>
          <w:szCs w:val="21"/>
        </w:rPr>
        <w:t>产品资料概要涉及前述内容的，将一并修改，并依照《公开募集证券投资基金信息披露管理办法》的有关规定在规定媒介上公告。</w:t>
      </w:r>
    </w:p>
    <w:p w:rsidR="008E1297" w:rsidRDefault="008E1297" w:rsidP="008E1297">
      <w:pPr>
        <w:widowControl/>
        <w:wordWrap w:val="0"/>
        <w:spacing w:line="360" w:lineRule="atLeast"/>
        <w:ind w:firstLine="420"/>
        <w:jc w:val="left"/>
        <w:rPr>
          <w:rFonts w:ascii="微软雅黑" w:eastAsia="微软雅黑" w:hAnsi="微软雅黑" w:cs="宋体"/>
          <w:color w:val="333333"/>
          <w:kern w:val="0"/>
          <w:szCs w:val="21"/>
        </w:rPr>
      </w:pPr>
      <w:r w:rsidRPr="008E1297">
        <w:rPr>
          <w:rFonts w:ascii="微软雅黑" w:eastAsia="微软雅黑" w:hAnsi="微软雅黑" w:cs="宋体" w:hint="eastAsia"/>
          <w:color w:val="333333"/>
          <w:kern w:val="0"/>
          <w:szCs w:val="21"/>
        </w:rPr>
        <w:t>3、投资者欲了解详情，请登录本公司网站（</w:t>
      </w:r>
      <w:r w:rsidR="00B33C7E" w:rsidRPr="00B33C7E">
        <w:rPr>
          <w:rFonts w:ascii="微软雅黑" w:eastAsia="微软雅黑" w:hAnsi="微软雅黑" w:cs="宋体"/>
          <w:color w:val="333333"/>
          <w:kern w:val="0"/>
          <w:szCs w:val="21"/>
        </w:rPr>
        <w:t>http://www.gowinamc.com</w:t>
      </w:r>
      <w:r w:rsidRPr="008E1297">
        <w:rPr>
          <w:rFonts w:ascii="微软雅黑" w:eastAsia="微软雅黑" w:hAnsi="微软雅黑" w:cs="宋体" w:hint="eastAsia"/>
          <w:color w:val="333333"/>
          <w:kern w:val="0"/>
          <w:szCs w:val="21"/>
        </w:rPr>
        <w:t>）查阅相关公告或拨打本公司客户服务电话（</w:t>
      </w:r>
      <w:r w:rsidR="00B33C7E" w:rsidRPr="00B33C7E">
        <w:rPr>
          <w:rFonts w:ascii="微软雅黑" w:eastAsia="微软雅黑" w:hAnsi="微软雅黑" w:cs="宋体"/>
          <w:color w:val="333333"/>
          <w:kern w:val="0"/>
          <w:szCs w:val="21"/>
        </w:rPr>
        <w:t>400-819-0098</w:t>
      </w:r>
      <w:r w:rsidRPr="008E1297">
        <w:rPr>
          <w:rFonts w:ascii="微软雅黑" w:eastAsia="微软雅黑" w:hAnsi="微软雅黑" w:cs="宋体" w:hint="eastAsia"/>
          <w:color w:val="333333"/>
          <w:kern w:val="0"/>
          <w:szCs w:val="21"/>
        </w:rPr>
        <w:t>）咨询相关事宜。</w:t>
      </w:r>
    </w:p>
    <w:p w:rsidR="0001112E" w:rsidRPr="008E1297" w:rsidRDefault="0001112E" w:rsidP="008E1297">
      <w:pPr>
        <w:widowControl/>
        <w:wordWrap w:val="0"/>
        <w:spacing w:line="360" w:lineRule="atLeast"/>
        <w:ind w:firstLine="420"/>
        <w:jc w:val="left"/>
        <w:rPr>
          <w:rFonts w:ascii="微软雅黑" w:eastAsia="微软雅黑" w:hAnsi="微软雅黑" w:cs="宋体"/>
          <w:color w:val="333333"/>
          <w:kern w:val="0"/>
          <w:szCs w:val="21"/>
        </w:rPr>
      </w:pPr>
    </w:p>
    <w:p w:rsidR="008E1297" w:rsidRDefault="008E1297" w:rsidP="008E1297">
      <w:pPr>
        <w:widowControl/>
        <w:wordWrap w:val="0"/>
        <w:spacing w:line="360" w:lineRule="atLeast"/>
        <w:ind w:firstLine="420"/>
        <w:jc w:val="left"/>
        <w:rPr>
          <w:rFonts w:ascii="微软雅黑" w:eastAsia="微软雅黑" w:hAnsi="微软雅黑" w:cs="宋体"/>
          <w:color w:val="333333"/>
          <w:kern w:val="0"/>
          <w:szCs w:val="21"/>
        </w:rPr>
      </w:pPr>
      <w:r w:rsidRPr="008E1297">
        <w:rPr>
          <w:rFonts w:ascii="微软雅黑" w:eastAsia="微软雅黑" w:hAnsi="微软雅黑" w:cs="宋体" w:hint="eastAsia"/>
          <w:color w:val="333333"/>
          <w:kern w:val="0"/>
          <w:szCs w:val="21"/>
        </w:rPr>
        <w:t>风险提示：本基金管理人承诺以诚实信用、勤勉尽责的原则管理和运用基金财产，但不保证基金一定盈利，也不保证最低收益。投资者投资于基金时应认真阅读本基金的基金合同、招募说明书、</w:t>
      </w:r>
      <w:r w:rsidR="005E58DA">
        <w:rPr>
          <w:rFonts w:ascii="微软雅黑" w:eastAsia="微软雅黑" w:hAnsi="微软雅黑" w:cs="宋体" w:hint="eastAsia"/>
          <w:color w:val="333333"/>
          <w:kern w:val="0"/>
          <w:szCs w:val="21"/>
        </w:rPr>
        <w:t>基金</w:t>
      </w:r>
      <w:r w:rsidRPr="008E1297">
        <w:rPr>
          <w:rFonts w:ascii="微软雅黑" w:eastAsia="微软雅黑" w:hAnsi="微软雅黑" w:cs="宋体" w:hint="eastAsia"/>
          <w:color w:val="333333"/>
          <w:kern w:val="0"/>
          <w:szCs w:val="21"/>
        </w:rPr>
        <w:t>产品资料概要及更新。敬请投资者留意投资风险。</w:t>
      </w:r>
    </w:p>
    <w:p w:rsidR="00934352" w:rsidRPr="008E1297" w:rsidRDefault="00934352" w:rsidP="008E1297">
      <w:pPr>
        <w:widowControl/>
        <w:wordWrap w:val="0"/>
        <w:spacing w:line="360" w:lineRule="atLeast"/>
        <w:ind w:firstLine="420"/>
        <w:jc w:val="left"/>
        <w:rPr>
          <w:rFonts w:ascii="微软雅黑" w:eastAsia="微软雅黑" w:hAnsi="微软雅黑" w:cs="宋体"/>
          <w:color w:val="333333"/>
          <w:kern w:val="0"/>
          <w:szCs w:val="21"/>
        </w:rPr>
      </w:pPr>
    </w:p>
    <w:p w:rsidR="008E1297" w:rsidRDefault="008E1297" w:rsidP="008E1297">
      <w:pPr>
        <w:widowControl/>
        <w:wordWrap w:val="0"/>
        <w:spacing w:line="360" w:lineRule="atLeast"/>
        <w:ind w:firstLine="420"/>
        <w:jc w:val="left"/>
        <w:rPr>
          <w:rFonts w:ascii="微软雅黑" w:eastAsia="微软雅黑" w:hAnsi="微软雅黑" w:cs="宋体"/>
          <w:color w:val="333333"/>
          <w:kern w:val="0"/>
          <w:szCs w:val="21"/>
        </w:rPr>
      </w:pPr>
      <w:r w:rsidRPr="008E1297">
        <w:rPr>
          <w:rFonts w:ascii="微软雅黑" w:eastAsia="微软雅黑" w:hAnsi="微软雅黑" w:cs="宋体" w:hint="eastAsia"/>
          <w:color w:val="333333"/>
          <w:kern w:val="0"/>
          <w:szCs w:val="21"/>
        </w:rPr>
        <w:t>特此公告</w:t>
      </w:r>
      <w:r w:rsidR="001163F3">
        <w:rPr>
          <w:rFonts w:ascii="微软雅黑" w:eastAsia="微软雅黑" w:hAnsi="微软雅黑" w:cs="宋体" w:hint="eastAsia"/>
          <w:color w:val="333333"/>
          <w:kern w:val="0"/>
          <w:szCs w:val="21"/>
        </w:rPr>
        <w:t>。</w:t>
      </w:r>
    </w:p>
    <w:p w:rsidR="0032284A" w:rsidRDefault="0032284A" w:rsidP="008E1297">
      <w:pPr>
        <w:widowControl/>
        <w:wordWrap w:val="0"/>
        <w:spacing w:line="360" w:lineRule="atLeast"/>
        <w:ind w:firstLine="420"/>
        <w:jc w:val="left"/>
        <w:rPr>
          <w:rFonts w:ascii="微软雅黑" w:eastAsia="微软雅黑" w:hAnsi="微软雅黑" w:cs="宋体"/>
          <w:color w:val="333333"/>
          <w:kern w:val="0"/>
          <w:szCs w:val="21"/>
        </w:rPr>
      </w:pPr>
    </w:p>
    <w:p w:rsidR="0032284A" w:rsidRPr="008E1297" w:rsidRDefault="0032284A" w:rsidP="008E1297">
      <w:pPr>
        <w:widowControl/>
        <w:wordWrap w:val="0"/>
        <w:spacing w:line="360" w:lineRule="atLeast"/>
        <w:ind w:firstLine="420"/>
        <w:jc w:val="left"/>
        <w:rPr>
          <w:rFonts w:ascii="微软雅黑" w:eastAsia="微软雅黑" w:hAnsi="微软雅黑" w:cs="宋体"/>
          <w:color w:val="333333"/>
          <w:kern w:val="0"/>
          <w:szCs w:val="21"/>
        </w:rPr>
      </w:pPr>
    </w:p>
    <w:p w:rsidR="008E1297" w:rsidRPr="008E1297" w:rsidRDefault="00133436" w:rsidP="008E1297">
      <w:pPr>
        <w:widowControl/>
        <w:wordWrap w:val="0"/>
        <w:spacing w:line="360" w:lineRule="atLeast"/>
        <w:ind w:firstLine="420"/>
        <w:jc w:val="righ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国融</w:t>
      </w:r>
      <w:r w:rsidR="008E1297" w:rsidRPr="008E1297">
        <w:rPr>
          <w:rFonts w:ascii="微软雅黑" w:eastAsia="微软雅黑" w:hAnsi="微软雅黑" w:cs="宋体" w:hint="eastAsia"/>
          <w:color w:val="333333"/>
          <w:kern w:val="0"/>
          <w:szCs w:val="21"/>
        </w:rPr>
        <w:t>基金管理有限公司</w:t>
      </w:r>
    </w:p>
    <w:p w:rsidR="008E1297" w:rsidRDefault="008E1297" w:rsidP="008E1297">
      <w:pPr>
        <w:widowControl/>
        <w:wordWrap w:val="0"/>
        <w:spacing w:line="360" w:lineRule="atLeast"/>
        <w:ind w:firstLine="420"/>
        <w:jc w:val="right"/>
        <w:rPr>
          <w:rFonts w:ascii="微软雅黑" w:eastAsia="微软雅黑" w:hAnsi="微软雅黑" w:cs="宋体"/>
          <w:color w:val="333333"/>
          <w:kern w:val="0"/>
          <w:szCs w:val="21"/>
        </w:rPr>
      </w:pPr>
      <w:r w:rsidRPr="008E1297">
        <w:rPr>
          <w:rFonts w:ascii="微软雅黑" w:eastAsia="微软雅黑" w:hAnsi="微软雅黑" w:cs="宋体" w:hint="eastAsia"/>
          <w:color w:val="333333"/>
          <w:kern w:val="0"/>
          <w:szCs w:val="21"/>
        </w:rPr>
        <w:t>2020年</w:t>
      </w:r>
      <w:r w:rsidR="00133436" w:rsidRPr="008E1297">
        <w:rPr>
          <w:rFonts w:ascii="微软雅黑" w:eastAsia="微软雅黑" w:hAnsi="微软雅黑" w:cs="宋体" w:hint="eastAsia"/>
          <w:color w:val="333333"/>
          <w:kern w:val="0"/>
          <w:szCs w:val="21"/>
        </w:rPr>
        <w:t>1</w:t>
      </w:r>
      <w:r w:rsidR="00133436">
        <w:rPr>
          <w:rFonts w:ascii="微软雅黑" w:eastAsia="微软雅黑" w:hAnsi="微软雅黑" w:cs="宋体"/>
          <w:color w:val="333333"/>
          <w:kern w:val="0"/>
          <w:szCs w:val="21"/>
        </w:rPr>
        <w:t>2</w:t>
      </w:r>
      <w:r w:rsidRPr="008E1297">
        <w:rPr>
          <w:rFonts w:ascii="微软雅黑" w:eastAsia="微软雅黑" w:hAnsi="微软雅黑" w:cs="宋体" w:hint="eastAsia"/>
          <w:color w:val="333333"/>
          <w:kern w:val="0"/>
          <w:szCs w:val="21"/>
        </w:rPr>
        <w:t>月</w:t>
      </w:r>
      <w:r w:rsidR="00133436" w:rsidRPr="008E1297">
        <w:rPr>
          <w:rFonts w:ascii="微软雅黑" w:eastAsia="微软雅黑" w:hAnsi="微软雅黑" w:cs="宋体" w:hint="eastAsia"/>
          <w:color w:val="333333"/>
          <w:kern w:val="0"/>
          <w:szCs w:val="21"/>
        </w:rPr>
        <w:t>2</w:t>
      </w:r>
      <w:r w:rsidR="00133436">
        <w:rPr>
          <w:rFonts w:ascii="微软雅黑" w:eastAsia="微软雅黑" w:hAnsi="微软雅黑" w:cs="宋体"/>
          <w:color w:val="333333"/>
          <w:kern w:val="0"/>
          <w:szCs w:val="21"/>
        </w:rPr>
        <w:t>3</w:t>
      </w:r>
      <w:r w:rsidRPr="008E1297">
        <w:rPr>
          <w:rFonts w:ascii="微软雅黑" w:eastAsia="微软雅黑" w:hAnsi="微软雅黑" w:cs="宋体" w:hint="eastAsia"/>
          <w:color w:val="333333"/>
          <w:kern w:val="0"/>
          <w:szCs w:val="21"/>
        </w:rPr>
        <w:t>日</w:t>
      </w:r>
    </w:p>
    <w:p w:rsidR="00435A90" w:rsidRPr="00773866" w:rsidRDefault="008E1297" w:rsidP="00773866">
      <w:pPr>
        <w:widowControl/>
        <w:wordWrap w:val="0"/>
        <w:spacing w:line="360" w:lineRule="atLeast"/>
        <w:ind w:firstLine="420"/>
        <w:jc w:val="left"/>
        <w:rPr>
          <w:rFonts w:ascii="微软雅黑" w:eastAsia="微软雅黑" w:hAnsi="微软雅黑" w:cs="宋体"/>
          <w:b/>
          <w:bCs/>
          <w:color w:val="333333"/>
          <w:kern w:val="0"/>
          <w:sz w:val="24"/>
          <w:szCs w:val="24"/>
        </w:rPr>
      </w:pPr>
      <w:r w:rsidRPr="00773866">
        <w:rPr>
          <w:rFonts w:ascii="微软雅黑" w:eastAsia="微软雅黑" w:hAnsi="微软雅黑" w:cs="宋体" w:hint="eastAsia"/>
          <w:b/>
          <w:bCs/>
          <w:color w:val="333333"/>
          <w:kern w:val="0"/>
          <w:szCs w:val="21"/>
        </w:rPr>
        <w:t>附件：</w:t>
      </w:r>
      <w:r w:rsidR="00850A83" w:rsidRPr="00773866">
        <w:rPr>
          <w:rFonts w:ascii="微软雅黑" w:eastAsia="微软雅黑" w:hAnsi="微软雅黑" w:cs="宋体" w:hint="eastAsia"/>
          <w:b/>
          <w:bCs/>
          <w:color w:val="333333"/>
          <w:kern w:val="0"/>
          <w:szCs w:val="21"/>
        </w:rPr>
        <w:t>基金合同</w:t>
      </w:r>
      <w:r w:rsidR="00282CF9" w:rsidRPr="00773866">
        <w:rPr>
          <w:rFonts w:ascii="微软雅黑" w:eastAsia="微软雅黑" w:hAnsi="微软雅黑" w:cs="宋体" w:hint="eastAsia"/>
          <w:b/>
          <w:bCs/>
          <w:color w:val="333333"/>
          <w:kern w:val="0"/>
          <w:szCs w:val="21"/>
        </w:rPr>
        <w:t>具体</w:t>
      </w:r>
      <w:r w:rsidR="00850A83" w:rsidRPr="00773866">
        <w:rPr>
          <w:rFonts w:ascii="微软雅黑" w:eastAsia="微软雅黑" w:hAnsi="微软雅黑" w:cs="宋体" w:hint="eastAsia"/>
          <w:b/>
          <w:bCs/>
          <w:color w:val="333333"/>
          <w:kern w:val="0"/>
          <w:szCs w:val="21"/>
        </w:rPr>
        <w:t>修订</w:t>
      </w:r>
      <w:r w:rsidR="00282CF9" w:rsidRPr="00773866">
        <w:rPr>
          <w:rFonts w:ascii="微软雅黑" w:eastAsia="微软雅黑" w:hAnsi="微软雅黑" w:cs="宋体" w:hint="eastAsia"/>
          <w:b/>
          <w:bCs/>
          <w:color w:val="333333"/>
          <w:kern w:val="0"/>
          <w:szCs w:val="21"/>
        </w:rPr>
        <w:t>内容</w:t>
      </w:r>
    </w:p>
    <w:p w:rsidR="008E1297" w:rsidRDefault="008E1297" w:rsidP="008E1297">
      <w:pPr>
        <w:widowControl/>
        <w:wordWrap w:val="0"/>
        <w:spacing w:line="360" w:lineRule="atLeast"/>
        <w:ind w:firstLine="420"/>
        <w:jc w:val="left"/>
        <w:rPr>
          <w:rFonts w:ascii="微软雅黑" w:eastAsia="微软雅黑" w:hAnsi="微软雅黑" w:cs="宋体"/>
          <w:b/>
          <w:bCs/>
          <w:color w:val="333333"/>
          <w:kern w:val="0"/>
          <w:szCs w:val="21"/>
        </w:rPr>
      </w:pPr>
      <w:r w:rsidRPr="00773866">
        <w:rPr>
          <w:rFonts w:ascii="微软雅黑" w:eastAsia="微软雅黑" w:hAnsi="微软雅黑" w:cs="宋体" w:hint="eastAsia"/>
          <w:b/>
          <w:bCs/>
          <w:color w:val="333333"/>
          <w:kern w:val="0"/>
          <w:szCs w:val="21"/>
        </w:rPr>
        <w:t>以</w:t>
      </w:r>
      <w:r w:rsidR="00B33C7E" w:rsidRPr="00773866">
        <w:rPr>
          <w:rFonts w:ascii="微软雅黑" w:eastAsia="微软雅黑" w:hAnsi="微软雅黑" w:cs="宋体" w:hint="eastAsia"/>
          <w:b/>
          <w:bCs/>
          <w:color w:val="333333"/>
          <w:kern w:val="0"/>
          <w:szCs w:val="21"/>
        </w:rPr>
        <w:t>国融融君灵活配置混合型证券投资基金</w:t>
      </w:r>
      <w:r w:rsidR="006A5757">
        <w:rPr>
          <w:rFonts w:ascii="微软雅黑" w:eastAsia="微软雅黑" w:hAnsi="微软雅黑" w:cs="宋体" w:hint="eastAsia"/>
          <w:b/>
          <w:bCs/>
          <w:color w:val="333333"/>
          <w:kern w:val="0"/>
          <w:szCs w:val="21"/>
        </w:rPr>
        <w:t>合同的修订内容</w:t>
      </w:r>
      <w:r w:rsidRPr="00773866">
        <w:rPr>
          <w:rFonts w:ascii="微软雅黑" w:eastAsia="微软雅黑" w:hAnsi="微软雅黑" w:cs="宋体" w:hint="eastAsia"/>
          <w:b/>
          <w:bCs/>
          <w:color w:val="333333"/>
          <w:kern w:val="0"/>
          <w:szCs w:val="21"/>
        </w:rPr>
        <w:t>为例</w:t>
      </w:r>
      <w:r w:rsidR="00480434" w:rsidRPr="00773866">
        <w:rPr>
          <w:rFonts w:ascii="微软雅黑" w:eastAsia="微软雅黑" w:hAnsi="微软雅黑" w:cs="宋体" w:hint="eastAsia"/>
          <w:b/>
          <w:bCs/>
          <w:color w:val="333333"/>
          <w:kern w:val="0"/>
          <w:szCs w:val="21"/>
        </w:rPr>
        <w:t>，不同基金的基金合同及招募说明书中相应条款表述存在差异，具体请以相关基金披露的修订后</w:t>
      </w:r>
      <w:r w:rsidR="00951E32">
        <w:rPr>
          <w:rFonts w:ascii="微软雅黑" w:eastAsia="微软雅黑" w:hAnsi="微软雅黑" w:cs="宋体" w:hint="eastAsia"/>
          <w:b/>
          <w:bCs/>
          <w:color w:val="333333"/>
          <w:kern w:val="0"/>
          <w:szCs w:val="21"/>
        </w:rPr>
        <w:t>的</w:t>
      </w:r>
      <w:r w:rsidR="00480434" w:rsidRPr="00773866">
        <w:rPr>
          <w:rFonts w:ascii="微软雅黑" w:eastAsia="微软雅黑" w:hAnsi="微软雅黑" w:cs="宋体" w:hint="eastAsia"/>
          <w:b/>
          <w:bCs/>
          <w:color w:val="333333"/>
          <w:kern w:val="0"/>
          <w:szCs w:val="21"/>
        </w:rPr>
        <w:t>法律文件内容为准。</w:t>
      </w:r>
    </w:p>
    <w:p w:rsidR="008E1297" w:rsidRPr="0079388D" w:rsidRDefault="008E1297" w:rsidP="00F962F2">
      <w:pPr>
        <w:pStyle w:val="a5"/>
        <w:widowControl/>
        <w:numPr>
          <w:ilvl w:val="0"/>
          <w:numId w:val="1"/>
        </w:numPr>
        <w:wordWrap w:val="0"/>
        <w:spacing w:line="360" w:lineRule="atLeast"/>
        <w:ind w:firstLineChars="0"/>
        <w:jc w:val="left"/>
      </w:pPr>
      <w:r w:rsidRPr="00F962F2">
        <w:rPr>
          <w:rFonts w:ascii="微软雅黑" w:eastAsia="微软雅黑" w:hAnsi="微软雅黑" w:cs="宋体" w:hint="eastAsia"/>
          <w:color w:val="333333"/>
          <w:kern w:val="0"/>
          <w:szCs w:val="21"/>
        </w:rPr>
        <w:lastRenderedPageBreak/>
        <w:t>基金合同修改对照表</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2415"/>
        <w:gridCol w:w="2268"/>
        <w:gridCol w:w="3681"/>
      </w:tblGrid>
      <w:tr w:rsidR="00B2701E" w:rsidTr="00B2701E">
        <w:trPr>
          <w:jc w:val="center"/>
        </w:trPr>
        <w:tc>
          <w:tcPr>
            <w:tcW w:w="2415" w:type="dxa"/>
            <w:vMerge w:val="restart"/>
            <w:tcBorders>
              <w:top w:val="single" w:sz="4" w:space="0" w:color="000000"/>
              <w:left w:val="single" w:sz="4" w:space="0" w:color="000000"/>
              <w:bottom w:val="single" w:sz="4" w:space="0" w:color="auto"/>
              <w:right w:val="single" w:sz="4" w:space="0" w:color="auto"/>
            </w:tcBorders>
            <w:vAlign w:val="center"/>
            <w:hideMark/>
          </w:tcPr>
          <w:p w:rsidR="006970ED" w:rsidRPr="00773866" w:rsidRDefault="006970ED" w:rsidP="00F962F2">
            <w:pPr>
              <w:jc w:val="center"/>
              <w:rPr>
                <w:rFonts w:ascii="微软雅黑" w:eastAsia="微软雅黑" w:hAnsi="微软雅黑"/>
                <w:b/>
                <w:bCs/>
                <w:szCs w:val="21"/>
              </w:rPr>
            </w:pPr>
            <w:r w:rsidRPr="00773866">
              <w:rPr>
                <w:rFonts w:ascii="微软雅黑" w:eastAsia="微软雅黑" w:hAnsi="微软雅黑" w:hint="eastAsia"/>
                <w:b/>
                <w:bCs/>
                <w:szCs w:val="21"/>
              </w:rPr>
              <w:t>章节</w:t>
            </w:r>
          </w:p>
        </w:tc>
        <w:tc>
          <w:tcPr>
            <w:tcW w:w="2268" w:type="dxa"/>
            <w:tcBorders>
              <w:top w:val="single" w:sz="4" w:space="0" w:color="000000"/>
              <w:left w:val="single" w:sz="4" w:space="0" w:color="auto"/>
              <w:bottom w:val="single" w:sz="4" w:space="0" w:color="auto"/>
              <w:right w:val="single" w:sz="4" w:space="0" w:color="auto"/>
            </w:tcBorders>
            <w:vAlign w:val="center"/>
            <w:hideMark/>
          </w:tcPr>
          <w:p w:rsidR="006970ED" w:rsidRPr="00773866" w:rsidRDefault="006970ED" w:rsidP="00F962F2">
            <w:pPr>
              <w:jc w:val="center"/>
              <w:rPr>
                <w:rFonts w:ascii="微软雅黑" w:eastAsia="微软雅黑" w:hAnsi="微软雅黑"/>
                <w:szCs w:val="21"/>
              </w:rPr>
            </w:pPr>
            <w:r w:rsidRPr="00773866">
              <w:rPr>
                <w:rFonts w:ascii="微软雅黑" w:eastAsia="微软雅黑" w:hAnsi="微软雅黑" w:hint="eastAsia"/>
                <w:b/>
                <w:bCs/>
                <w:szCs w:val="21"/>
              </w:rPr>
              <w:t>原版本</w:t>
            </w:r>
          </w:p>
        </w:tc>
        <w:tc>
          <w:tcPr>
            <w:tcW w:w="3681" w:type="dxa"/>
            <w:tcBorders>
              <w:top w:val="single" w:sz="4" w:space="0" w:color="000000"/>
              <w:left w:val="single" w:sz="4" w:space="0" w:color="auto"/>
              <w:bottom w:val="single" w:sz="4" w:space="0" w:color="auto"/>
              <w:right w:val="single" w:sz="4" w:space="0" w:color="auto"/>
            </w:tcBorders>
            <w:vAlign w:val="center"/>
            <w:hideMark/>
          </w:tcPr>
          <w:p w:rsidR="006970ED" w:rsidRPr="00773866" w:rsidRDefault="006970ED">
            <w:pPr>
              <w:spacing w:before="100" w:beforeAutospacing="1" w:after="100" w:afterAutospacing="1"/>
              <w:jc w:val="center"/>
              <w:rPr>
                <w:rFonts w:ascii="微软雅黑" w:eastAsia="微软雅黑" w:hAnsi="微软雅黑"/>
                <w:b/>
                <w:szCs w:val="21"/>
              </w:rPr>
            </w:pPr>
            <w:r w:rsidRPr="00773866">
              <w:rPr>
                <w:rFonts w:ascii="微软雅黑" w:eastAsia="微软雅黑" w:hAnsi="微软雅黑" w:hint="eastAsia"/>
                <w:b/>
                <w:bCs/>
                <w:szCs w:val="21"/>
              </w:rPr>
              <w:t>修改后版本</w:t>
            </w:r>
          </w:p>
        </w:tc>
      </w:tr>
      <w:tr w:rsidR="00B2701E" w:rsidTr="00B2701E">
        <w:trPr>
          <w:jc w:val="center"/>
        </w:trPr>
        <w:tc>
          <w:tcPr>
            <w:tcW w:w="2415" w:type="dxa"/>
            <w:vMerge/>
            <w:tcBorders>
              <w:top w:val="single" w:sz="4" w:space="0" w:color="000000"/>
              <w:left w:val="single" w:sz="4" w:space="0" w:color="000000"/>
              <w:bottom w:val="single" w:sz="4" w:space="0" w:color="auto"/>
              <w:right w:val="single" w:sz="4" w:space="0" w:color="auto"/>
            </w:tcBorders>
            <w:vAlign w:val="center"/>
            <w:hideMark/>
          </w:tcPr>
          <w:p w:rsidR="006970ED" w:rsidRPr="00773866" w:rsidRDefault="006970ED">
            <w:pPr>
              <w:rPr>
                <w:rFonts w:ascii="微软雅黑" w:eastAsia="微软雅黑" w:hAnsi="微软雅黑" w:cs="宋体"/>
                <w:b/>
                <w:bCs/>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970ED" w:rsidRPr="00773866" w:rsidRDefault="006970ED">
            <w:pPr>
              <w:spacing w:before="100" w:beforeAutospacing="1" w:after="100" w:afterAutospacing="1"/>
              <w:jc w:val="center"/>
              <w:rPr>
                <w:rFonts w:ascii="微软雅黑" w:eastAsia="微软雅黑" w:hAnsi="微软雅黑"/>
                <w:szCs w:val="21"/>
              </w:rPr>
            </w:pPr>
            <w:r w:rsidRPr="00773866">
              <w:rPr>
                <w:rFonts w:ascii="微软雅黑" w:eastAsia="微软雅黑" w:hAnsi="微软雅黑" w:hint="eastAsia"/>
                <w:b/>
                <w:bCs/>
                <w:szCs w:val="21"/>
              </w:rPr>
              <w:t>内容</w:t>
            </w:r>
          </w:p>
        </w:tc>
        <w:tc>
          <w:tcPr>
            <w:tcW w:w="3681" w:type="dxa"/>
            <w:tcBorders>
              <w:top w:val="single" w:sz="4" w:space="0" w:color="auto"/>
              <w:left w:val="single" w:sz="4" w:space="0" w:color="auto"/>
              <w:bottom w:val="single" w:sz="4" w:space="0" w:color="auto"/>
              <w:right w:val="single" w:sz="4" w:space="0" w:color="auto"/>
            </w:tcBorders>
            <w:vAlign w:val="center"/>
            <w:hideMark/>
          </w:tcPr>
          <w:p w:rsidR="006970ED" w:rsidRPr="00773866" w:rsidRDefault="006970ED">
            <w:pPr>
              <w:spacing w:before="100" w:beforeAutospacing="1" w:after="100" w:afterAutospacing="1"/>
              <w:jc w:val="center"/>
              <w:rPr>
                <w:rFonts w:ascii="微软雅黑" w:eastAsia="微软雅黑" w:hAnsi="微软雅黑"/>
                <w:b/>
                <w:szCs w:val="21"/>
              </w:rPr>
            </w:pPr>
            <w:r w:rsidRPr="00773866">
              <w:rPr>
                <w:rFonts w:ascii="微软雅黑" w:eastAsia="微软雅黑" w:hAnsi="微软雅黑" w:hint="eastAsia"/>
                <w:b/>
                <w:bCs/>
                <w:szCs w:val="21"/>
              </w:rPr>
              <w:t>内容</w:t>
            </w:r>
          </w:p>
        </w:tc>
      </w:tr>
      <w:tr w:rsidR="00B2701E" w:rsidTr="00B2701E">
        <w:trPr>
          <w:jc w:val="center"/>
        </w:trPr>
        <w:tc>
          <w:tcPr>
            <w:tcW w:w="2415" w:type="dxa"/>
            <w:tcBorders>
              <w:top w:val="single" w:sz="4" w:space="0" w:color="auto"/>
              <w:left w:val="single" w:sz="4" w:space="0" w:color="000000"/>
              <w:bottom w:val="single" w:sz="4" w:space="0" w:color="auto"/>
              <w:right w:val="single" w:sz="4" w:space="0" w:color="auto"/>
            </w:tcBorders>
            <w:hideMark/>
          </w:tcPr>
          <w:p w:rsidR="006970ED" w:rsidRPr="00773866" w:rsidRDefault="006970ED" w:rsidP="00F962F2">
            <w:pPr>
              <w:rPr>
                <w:rFonts w:ascii="微软雅黑" w:eastAsia="微软雅黑" w:hAnsi="微软雅黑"/>
                <w:b/>
                <w:bCs/>
                <w:szCs w:val="21"/>
              </w:rPr>
            </w:pPr>
            <w:r w:rsidRPr="00773866">
              <w:rPr>
                <w:rFonts w:ascii="微软雅黑" w:eastAsia="微软雅黑" w:hAnsi="微软雅黑" w:hint="eastAsia"/>
                <w:b/>
                <w:bCs/>
                <w:szCs w:val="21"/>
              </w:rPr>
              <w:t>第一部分前言</w:t>
            </w:r>
          </w:p>
        </w:tc>
        <w:tc>
          <w:tcPr>
            <w:tcW w:w="2268" w:type="dxa"/>
            <w:tcBorders>
              <w:top w:val="single" w:sz="4" w:space="0" w:color="auto"/>
              <w:left w:val="single" w:sz="4" w:space="0" w:color="auto"/>
              <w:bottom w:val="single" w:sz="4" w:space="0" w:color="auto"/>
              <w:right w:val="single" w:sz="4" w:space="0" w:color="auto"/>
            </w:tcBorders>
            <w:hideMark/>
          </w:tcPr>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无</w:t>
            </w:r>
          </w:p>
        </w:tc>
        <w:tc>
          <w:tcPr>
            <w:tcW w:w="3681" w:type="dxa"/>
            <w:tcBorders>
              <w:top w:val="single" w:sz="4" w:space="0" w:color="auto"/>
              <w:left w:val="single" w:sz="4" w:space="0" w:color="auto"/>
              <w:bottom w:val="single" w:sz="4" w:space="0" w:color="auto"/>
              <w:right w:val="single" w:sz="4" w:space="0" w:color="auto"/>
            </w:tcBorders>
            <w:hideMark/>
          </w:tcPr>
          <w:p w:rsidR="006970ED" w:rsidRPr="00773866" w:rsidRDefault="006970ED">
            <w:pPr>
              <w:rPr>
                <w:rFonts w:ascii="微软雅黑" w:eastAsia="微软雅黑" w:hAnsi="微软雅黑"/>
                <w:b/>
                <w:bCs/>
                <w:szCs w:val="21"/>
                <w:u w:val="single"/>
              </w:rPr>
            </w:pPr>
            <w:r w:rsidRPr="00773866">
              <w:rPr>
                <w:rFonts w:ascii="微软雅黑" w:eastAsia="微软雅黑" w:hAnsi="微软雅黑" w:hint="eastAsia"/>
                <w:b/>
                <w:bCs/>
                <w:szCs w:val="21"/>
                <w:u w:val="single"/>
              </w:rPr>
              <w:t>六、本基金的投资范围包括存托凭证，除与其他仅投资于沪深市场股票的基金所面临的共同风险外，本基金还将面临中国存托凭证价格大幅波动甚至出现较大亏损的风险，以及与中国存托凭证发行机制相关的风险。</w:t>
            </w:r>
          </w:p>
        </w:tc>
      </w:tr>
      <w:tr w:rsidR="00B2701E" w:rsidTr="00B2701E">
        <w:trPr>
          <w:jc w:val="center"/>
        </w:trPr>
        <w:tc>
          <w:tcPr>
            <w:tcW w:w="2415" w:type="dxa"/>
            <w:vMerge w:val="restart"/>
            <w:tcBorders>
              <w:top w:val="single" w:sz="4" w:space="0" w:color="auto"/>
              <w:left w:val="single" w:sz="4" w:space="0" w:color="000000"/>
              <w:bottom w:val="single" w:sz="4" w:space="0" w:color="auto"/>
              <w:right w:val="single" w:sz="4" w:space="0" w:color="auto"/>
            </w:tcBorders>
            <w:hideMark/>
          </w:tcPr>
          <w:p w:rsidR="006970ED" w:rsidRPr="00773866" w:rsidRDefault="006970ED" w:rsidP="00F962F2">
            <w:pPr>
              <w:rPr>
                <w:rFonts w:ascii="微软雅黑" w:eastAsia="微软雅黑" w:hAnsi="微软雅黑"/>
                <w:b/>
                <w:bCs/>
                <w:szCs w:val="21"/>
              </w:rPr>
            </w:pPr>
            <w:r w:rsidRPr="00773866">
              <w:rPr>
                <w:rFonts w:ascii="微软雅黑" w:eastAsia="微软雅黑" w:hAnsi="微软雅黑" w:hint="eastAsia"/>
                <w:b/>
                <w:bCs/>
                <w:szCs w:val="21"/>
              </w:rPr>
              <w:t>第十二部分基金的投资</w:t>
            </w:r>
          </w:p>
        </w:tc>
        <w:tc>
          <w:tcPr>
            <w:tcW w:w="2268" w:type="dxa"/>
            <w:tcBorders>
              <w:top w:val="single" w:sz="4" w:space="0" w:color="auto"/>
              <w:left w:val="single" w:sz="4" w:space="0" w:color="auto"/>
              <w:bottom w:val="single" w:sz="4" w:space="0" w:color="auto"/>
              <w:right w:val="single" w:sz="4" w:space="0" w:color="auto"/>
            </w:tcBorders>
            <w:hideMark/>
          </w:tcPr>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二、投资范围</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股票（包含中小板、创业板及其他经中国证监会核准上市的股票），债券（国债、地方政府债、金融债、企业债、公司债、次级债、可转换债券（含分离交易可转债）、可交换公司债券、央行票据、短期融资券、超短期融资券、中期票据等）、股指期货、国债期货、权</w:t>
            </w:r>
            <w:r w:rsidRPr="00773866">
              <w:rPr>
                <w:rFonts w:ascii="微软雅黑" w:eastAsia="微软雅黑" w:hAnsi="微软雅黑" w:hint="eastAsia"/>
                <w:szCs w:val="21"/>
              </w:rPr>
              <w:lastRenderedPageBreak/>
              <w:t>证、资产支持证券、债券回购、同业存单、银行存款等，以及法律法规或中国证监会允许基金投资的其他金融工具（但须符合中国证监会的相关规定）。如法律法规或监管机构以后允许基金投资其他品种，基金管理人在履行适当程序后，可以将其纳入投资范围。</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基金的投资组合比例为：股票资产占基金资产的比例为</w:t>
            </w:r>
            <w:r w:rsidRPr="00773866">
              <w:rPr>
                <w:rFonts w:ascii="微软雅黑" w:eastAsia="微软雅黑" w:hAnsi="微软雅黑"/>
                <w:szCs w:val="21"/>
              </w:rPr>
              <w:t>0%-95%。每个交易日日终，在扣除股指期货合约和国</w:t>
            </w:r>
            <w:r w:rsidRPr="00773866">
              <w:rPr>
                <w:rFonts w:ascii="微软雅黑" w:eastAsia="微软雅黑" w:hAnsi="微软雅黑" w:hint="eastAsia"/>
                <w:szCs w:val="21"/>
              </w:rPr>
              <w:t>债期货合约需缴纳的交易保证金后，应当保持不低于基金资产净值的</w:t>
            </w:r>
            <w:r w:rsidRPr="00773866">
              <w:rPr>
                <w:rFonts w:ascii="微软雅黑" w:eastAsia="微软雅黑" w:hAnsi="微软雅黑"/>
                <w:szCs w:val="21"/>
              </w:rPr>
              <w:t>5%的现金或到期日在一年以内的政府</w:t>
            </w:r>
            <w:r w:rsidRPr="00773866">
              <w:rPr>
                <w:rFonts w:ascii="微软雅黑" w:eastAsia="微软雅黑" w:hAnsi="微软雅黑"/>
                <w:szCs w:val="21"/>
              </w:rPr>
              <w:lastRenderedPageBreak/>
              <w:t>债券。股指期货、国债期货、权证及其他金融工具的投资比例符合法律法规和监管机构的规定。</w:t>
            </w:r>
          </w:p>
        </w:tc>
        <w:tc>
          <w:tcPr>
            <w:tcW w:w="3681" w:type="dxa"/>
            <w:tcBorders>
              <w:top w:val="single" w:sz="4" w:space="0" w:color="auto"/>
              <w:left w:val="single" w:sz="4" w:space="0" w:color="auto"/>
              <w:bottom w:val="single" w:sz="4" w:space="0" w:color="auto"/>
              <w:right w:val="single" w:sz="4" w:space="0" w:color="auto"/>
            </w:tcBorders>
            <w:hideMark/>
          </w:tcPr>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lastRenderedPageBreak/>
              <w:t>二、投资范围</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股票（包含中小板、创业板及其他经中国证监会核准上市的股票），</w:t>
            </w:r>
            <w:r w:rsidRPr="00773866">
              <w:rPr>
                <w:rFonts w:ascii="微软雅黑" w:eastAsia="微软雅黑" w:hAnsi="微软雅黑" w:hint="eastAsia"/>
                <w:b/>
                <w:szCs w:val="21"/>
                <w:u w:val="single"/>
              </w:rPr>
              <w:t>存托凭证，</w:t>
            </w:r>
            <w:r w:rsidRPr="00773866">
              <w:rPr>
                <w:rFonts w:ascii="微软雅黑" w:eastAsia="微软雅黑" w:hAnsi="微软雅黑" w:hint="eastAsia"/>
                <w:szCs w:val="21"/>
              </w:rPr>
              <w:t>债券（国债、地方政府债、金融债、企业债、公司债、次级债、可转换债券（含分离交易可转债）、可交换公司债券、央行票据、短期融资券、超短期融资券、中期票据等）、股指期货、国债期货、权证、资产支持证券、债券回购、同业存单、银行存款等，以及法律法规或中国证监会允许基金投资的其他金融工具（但须符合中国证监会的相关规定）。如法律法规或监管机构以后允许基金</w:t>
            </w:r>
            <w:r w:rsidRPr="00773866">
              <w:rPr>
                <w:rFonts w:ascii="微软雅黑" w:eastAsia="微软雅黑" w:hAnsi="微软雅黑" w:hint="eastAsia"/>
                <w:szCs w:val="21"/>
              </w:rPr>
              <w:lastRenderedPageBreak/>
              <w:t>投资其他品种，基金管理人在履行适当程序后，可以将其纳入投资范围。</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基金的投资组合比例为：股票</w:t>
            </w:r>
            <w:r w:rsidRPr="00773866">
              <w:rPr>
                <w:rFonts w:ascii="微软雅黑" w:eastAsia="微软雅黑" w:hAnsi="微软雅黑" w:hint="eastAsia"/>
                <w:b/>
                <w:szCs w:val="21"/>
                <w:u w:val="single"/>
              </w:rPr>
              <w:t>（含存托凭证）</w:t>
            </w:r>
            <w:r w:rsidRPr="00773866">
              <w:rPr>
                <w:rFonts w:ascii="微软雅黑" w:eastAsia="微软雅黑" w:hAnsi="微软雅黑" w:hint="eastAsia"/>
                <w:szCs w:val="21"/>
              </w:rPr>
              <w:t>资产占基金资产的比例为</w:t>
            </w:r>
            <w:r w:rsidRPr="00773866">
              <w:rPr>
                <w:rFonts w:ascii="微软雅黑" w:eastAsia="微软雅黑" w:hAnsi="微软雅黑"/>
                <w:szCs w:val="21"/>
              </w:rPr>
              <w:t>0%-95%。每个交易日日终，在扣除股指期货合约和国债期货合约需缴纳的交易保证金后，应当保持不低于基金资产净值的5%的现金或到期日在一年以内的政府债券。股指期货、国债期货、权证及其他金融工具的投资比例符合法律法规和监管机构的规定。</w:t>
            </w:r>
          </w:p>
        </w:tc>
      </w:tr>
      <w:tr w:rsidR="00B2701E" w:rsidTr="00B2701E">
        <w:trPr>
          <w:jc w:val="center"/>
        </w:trPr>
        <w:tc>
          <w:tcPr>
            <w:tcW w:w="2415" w:type="dxa"/>
            <w:vMerge/>
            <w:tcBorders>
              <w:top w:val="single" w:sz="4" w:space="0" w:color="auto"/>
              <w:left w:val="single" w:sz="4" w:space="0" w:color="000000"/>
              <w:bottom w:val="single" w:sz="4" w:space="0" w:color="auto"/>
              <w:right w:val="single" w:sz="4" w:space="0" w:color="auto"/>
            </w:tcBorders>
            <w:vAlign w:val="center"/>
            <w:hideMark/>
          </w:tcPr>
          <w:p w:rsidR="006970ED" w:rsidRPr="00773866" w:rsidRDefault="006970ED">
            <w:pPr>
              <w:rPr>
                <w:rFonts w:ascii="微软雅黑" w:eastAsia="微软雅黑" w:hAnsi="微软雅黑" w:cs="宋体"/>
                <w:b/>
                <w:bCs/>
                <w:szCs w:val="21"/>
              </w:rPr>
            </w:pPr>
          </w:p>
        </w:tc>
        <w:tc>
          <w:tcPr>
            <w:tcW w:w="2268" w:type="dxa"/>
            <w:tcBorders>
              <w:top w:val="single" w:sz="4" w:space="0" w:color="auto"/>
              <w:left w:val="single" w:sz="4" w:space="0" w:color="auto"/>
              <w:bottom w:val="single" w:sz="4" w:space="0" w:color="auto"/>
              <w:right w:val="single" w:sz="4" w:space="0" w:color="auto"/>
            </w:tcBorders>
            <w:hideMark/>
          </w:tcPr>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三、投资策略</w:t>
            </w:r>
          </w:p>
          <w:p w:rsidR="006970ED" w:rsidRPr="00773866" w:rsidRDefault="006970ED">
            <w:pPr>
              <w:rPr>
                <w:rFonts w:ascii="微软雅黑" w:eastAsia="微软雅黑" w:hAnsi="微软雅黑"/>
                <w:szCs w:val="21"/>
              </w:rPr>
            </w:pPr>
            <w:r w:rsidRPr="00773866">
              <w:rPr>
                <w:rFonts w:ascii="微软雅黑" w:eastAsia="微软雅黑" w:hAnsi="微软雅黑"/>
                <w:szCs w:val="21"/>
              </w:rPr>
              <w:t>1、资产配置策略</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本基金将从宏观面、政策面、基本面和资金面四个角度进行综合分析，在控制风险的前提下，合理确定本基金在股票、债券、现金等各类资产类别的投资比例，并根据宏观经济形势和市场时机的变化适时进行动态调整。</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本基金存续内，若任一估值日基金份额净值大于</w:t>
            </w:r>
            <w:r w:rsidRPr="00773866">
              <w:rPr>
                <w:rFonts w:ascii="微软雅黑" w:eastAsia="微软雅黑" w:hAnsi="微软雅黑"/>
                <w:szCs w:val="21"/>
              </w:rPr>
              <w:t>1.3000（含）时，本基金股票资产占基金资产的比例调整为</w:t>
            </w:r>
            <w:r w:rsidRPr="00773866">
              <w:rPr>
                <w:rFonts w:ascii="微软雅黑" w:eastAsia="微软雅黑" w:hAnsi="微软雅黑"/>
                <w:szCs w:val="21"/>
              </w:rPr>
              <w:lastRenderedPageBreak/>
              <w:t>50%-95%；若任一估值日基金份额净值介于1.2000（含）至1.3000时，本基金股票资产占基金资产的比例调整为35%-80%；若任一估值日基金份额净值介于1.1000（含）至1.2000时，本基金股票资产占基金资产的比例调整为15%-60%；若任一估值日基金份额净值低于1.1000时，本基金股票资产占基金资产的比例调整为0%-50%；基金管理人应当</w:t>
            </w:r>
            <w:r w:rsidRPr="00773866">
              <w:rPr>
                <w:rFonts w:ascii="微软雅黑" w:eastAsia="微软雅黑" w:hAnsi="微软雅黑" w:hint="eastAsia"/>
                <w:szCs w:val="21"/>
              </w:rPr>
              <w:t>自上述条件触发之日的下一工作日起</w:t>
            </w:r>
            <w:r w:rsidRPr="00773866">
              <w:rPr>
                <w:rFonts w:ascii="微软雅黑" w:eastAsia="微软雅黑" w:hAnsi="微软雅黑"/>
                <w:szCs w:val="21"/>
              </w:rPr>
              <w:t>10个交易日内将本基金股票资产比例调整至符合上述比例范围。</w:t>
            </w:r>
          </w:p>
        </w:tc>
        <w:tc>
          <w:tcPr>
            <w:tcW w:w="3681" w:type="dxa"/>
            <w:tcBorders>
              <w:top w:val="single" w:sz="4" w:space="0" w:color="auto"/>
              <w:left w:val="single" w:sz="4" w:space="0" w:color="auto"/>
              <w:bottom w:val="single" w:sz="4" w:space="0" w:color="auto"/>
              <w:right w:val="single" w:sz="4" w:space="0" w:color="auto"/>
            </w:tcBorders>
            <w:hideMark/>
          </w:tcPr>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lastRenderedPageBreak/>
              <w:t>三、投资策略</w:t>
            </w:r>
          </w:p>
          <w:p w:rsidR="006970ED" w:rsidRPr="00773866" w:rsidRDefault="006970ED">
            <w:pPr>
              <w:rPr>
                <w:rFonts w:ascii="微软雅黑" w:eastAsia="微软雅黑" w:hAnsi="微软雅黑"/>
                <w:szCs w:val="21"/>
              </w:rPr>
            </w:pPr>
            <w:r w:rsidRPr="00773866">
              <w:rPr>
                <w:rFonts w:ascii="微软雅黑" w:eastAsia="微软雅黑" w:hAnsi="微软雅黑"/>
                <w:szCs w:val="21"/>
              </w:rPr>
              <w:t>1、资产配置策略</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本基金将从宏观面、政策面、基本面和资金面四个角度进行综合分析，在控制风险的前提下，合理确定本基金在股票</w:t>
            </w:r>
            <w:r w:rsidR="001163F3" w:rsidRPr="00773866">
              <w:rPr>
                <w:rFonts w:ascii="微软雅黑" w:eastAsia="微软雅黑" w:hAnsi="微软雅黑" w:hint="eastAsia"/>
                <w:b/>
                <w:szCs w:val="21"/>
                <w:u w:val="single"/>
              </w:rPr>
              <w:t>、</w:t>
            </w:r>
            <w:r w:rsidRPr="00773866">
              <w:rPr>
                <w:rFonts w:ascii="微软雅黑" w:eastAsia="微软雅黑" w:hAnsi="微软雅黑" w:hint="eastAsia"/>
                <w:b/>
                <w:szCs w:val="21"/>
                <w:u w:val="single"/>
              </w:rPr>
              <w:t>存托凭证</w:t>
            </w:r>
            <w:r w:rsidRPr="00773866">
              <w:rPr>
                <w:rFonts w:ascii="微软雅黑" w:eastAsia="微软雅黑" w:hAnsi="微软雅黑" w:hint="eastAsia"/>
                <w:szCs w:val="21"/>
              </w:rPr>
              <w:t>、债券、现金等各类资产类别的投资比例，并根据宏观经济形势和市场时机的变化适时进行动态调整。</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本基金存续内，若任一估值日基金份额净值大于</w:t>
            </w:r>
            <w:r w:rsidRPr="00773866">
              <w:rPr>
                <w:rFonts w:ascii="微软雅黑" w:eastAsia="微软雅黑" w:hAnsi="微软雅黑"/>
                <w:szCs w:val="21"/>
              </w:rPr>
              <w:t>1.3000（含）时，本基金股票</w:t>
            </w:r>
            <w:r w:rsidRPr="00773866">
              <w:rPr>
                <w:rFonts w:ascii="微软雅黑" w:eastAsia="微软雅黑" w:hAnsi="微软雅黑" w:hint="eastAsia"/>
                <w:b/>
                <w:szCs w:val="21"/>
                <w:u w:val="single"/>
              </w:rPr>
              <w:t>（含存托凭证）</w:t>
            </w:r>
            <w:r w:rsidRPr="00773866">
              <w:rPr>
                <w:rFonts w:ascii="微软雅黑" w:eastAsia="微软雅黑" w:hAnsi="微软雅黑" w:hint="eastAsia"/>
                <w:szCs w:val="21"/>
              </w:rPr>
              <w:t>资产占基金资产的比例调整为</w:t>
            </w:r>
            <w:r w:rsidRPr="00773866">
              <w:rPr>
                <w:rFonts w:ascii="微软雅黑" w:eastAsia="微软雅黑" w:hAnsi="微软雅黑"/>
                <w:szCs w:val="21"/>
              </w:rPr>
              <w:t>50%-95%；若任一估值日基</w:t>
            </w:r>
            <w:r w:rsidRPr="00773866">
              <w:rPr>
                <w:rFonts w:ascii="微软雅黑" w:eastAsia="微软雅黑" w:hAnsi="微软雅黑" w:hint="eastAsia"/>
                <w:szCs w:val="21"/>
              </w:rPr>
              <w:t>金份额净值介于</w:t>
            </w:r>
            <w:r w:rsidRPr="00773866">
              <w:rPr>
                <w:rFonts w:ascii="微软雅黑" w:eastAsia="微软雅黑" w:hAnsi="微软雅黑"/>
                <w:szCs w:val="21"/>
              </w:rPr>
              <w:t>1.2000（含）至1.3000时，本基金股票</w:t>
            </w:r>
            <w:r w:rsidRPr="00773866">
              <w:rPr>
                <w:rFonts w:ascii="微软雅黑" w:eastAsia="微软雅黑" w:hAnsi="微软雅黑" w:hint="eastAsia"/>
                <w:b/>
                <w:szCs w:val="21"/>
                <w:u w:val="single"/>
              </w:rPr>
              <w:t>（含存托凭证）</w:t>
            </w:r>
            <w:r w:rsidRPr="00773866">
              <w:rPr>
                <w:rFonts w:ascii="微软雅黑" w:eastAsia="微软雅黑" w:hAnsi="微软雅黑" w:hint="eastAsia"/>
                <w:szCs w:val="21"/>
              </w:rPr>
              <w:t>资产占基金资产的比例调整为</w:t>
            </w:r>
            <w:r w:rsidRPr="00773866">
              <w:rPr>
                <w:rFonts w:ascii="微软雅黑" w:eastAsia="微软雅黑" w:hAnsi="微软雅黑"/>
                <w:szCs w:val="21"/>
              </w:rPr>
              <w:t>35%-80%；若任一估值日基金份额净值介于1.1000（含）至1.2000时，</w:t>
            </w:r>
            <w:r w:rsidRPr="00773866">
              <w:rPr>
                <w:rFonts w:ascii="微软雅黑" w:eastAsia="微软雅黑" w:hAnsi="微软雅黑"/>
                <w:szCs w:val="21"/>
              </w:rPr>
              <w:lastRenderedPageBreak/>
              <w:t>本基金股票</w:t>
            </w:r>
            <w:r w:rsidRPr="00773866">
              <w:rPr>
                <w:rFonts w:ascii="微软雅黑" w:eastAsia="微软雅黑" w:hAnsi="微软雅黑" w:hint="eastAsia"/>
                <w:b/>
                <w:szCs w:val="21"/>
                <w:u w:val="single"/>
              </w:rPr>
              <w:t>（含存托凭证）</w:t>
            </w:r>
            <w:r w:rsidRPr="00773866">
              <w:rPr>
                <w:rFonts w:ascii="微软雅黑" w:eastAsia="微软雅黑" w:hAnsi="微软雅黑" w:hint="eastAsia"/>
                <w:szCs w:val="21"/>
              </w:rPr>
              <w:t>资产占基金资产的比例调整为</w:t>
            </w:r>
            <w:r w:rsidRPr="00773866">
              <w:rPr>
                <w:rFonts w:ascii="微软雅黑" w:eastAsia="微软雅黑" w:hAnsi="微软雅黑"/>
                <w:szCs w:val="21"/>
              </w:rPr>
              <w:t>15%-60%；若任一估值日基金份额净值低于1.1000时，本基金股票</w:t>
            </w:r>
            <w:r w:rsidRPr="00773866">
              <w:rPr>
                <w:rFonts w:ascii="微软雅黑" w:eastAsia="微软雅黑" w:hAnsi="微软雅黑" w:hint="eastAsia"/>
                <w:b/>
                <w:szCs w:val="21"/>
                <w:u w:val="single"/>
              </w:rPr>
              <w:t>（含存托凭证）</w:t>
            </w:r>
            <w:r w:rsidRPr="00773866">
              <w:rPr>
                <w:rFonts w:ascii="微软雅黑" w:eastAsia="微软雅黑" w:hAnsi="微软雅黑" w:hint="eastAsia"/>
                <w:szCs w:val="21"/>
              </w:rPr>
              <w:t>资产占基金资产的比例调整为</w:t>
            </w:r>
            <w:r w:rsidRPr="00773866">
              <w:rPr>
                <w:rFonts w:ascii="微软雅黑" w:eastAsia="微软雅黑" w:hAnsi="微软雅黑"/>
                <w:szCs w:val="21"/>
              </w:rPr>
              <w:t>0%-50%；基金管理人应当自上述条件触发之日的下一工作日起10个交易日内将本基金股票</w:t>
            </w:r>
            <w:r w:rsidRPr="00773866">
              <w:rPr>
                <w:rFonts w:ascii="微软雅黑" w:eastAsia="微软雅黑" w:hAnsi="微软雅黑" w:hint="eastAsia"/>
                <w:b/>
                <w:szCs w:val="21"/>
                <w:u w:val="single"/>
              </w:rPr>
              <w:t>（含存托凭证）</w:t>
            </w:r>
            <w:r w:rsidRPr="00773866">
              <w:rPr>
                <w:rFonts w:ascii="微软雅黑" w:eastAsia="微软雅黑" w:hAnsi="微软雅黑" w:hint="eastAsia"/>
                <w:szCs w:val="21"/>
              </w:rPr>
              <w:t>资产比例调整至符合上述比例范围。</w:t>
            </w:r>
          </w:p>
          <w:p w:rsidR="006970ED" w:rsidRPr="00773866" w:rsidRDefault="006970ED">
            <w:pPr>
              <w:rPr>
                <w:rFonts w:ascii="微软雅黑" w:eastAsia="微软雅黑" w:hAnsi="微软雅黑"/>
                <w:b/>
                <w:szCs w:val="21"/>
                <w:u w:val="single"/>
              </w:rPr>
            </w:pPr>
            <w:r w:rsidRPr="00773866">
              <w:rPr>
                <w:rFonts w:ascii="微软雅黑" w:eastAsia="微软雅黑" w:hAnsi="微软雅黑"/>
                <w:b/>
                <w:szCs w:val="21"/>
                <w:u w:val="single"/>
              </w:rPr>
              <w:t>3、存托凭证投资策略</w:t>
            </w:r>
          </w:p>
          <w:p w:rsidR="006970ED" w:rsidRPr="00773866" w:rsidRDefault="006970ED">
            <w:pPr>
              <w:rPr>
                <w:rFonts w:ascii="微软雅黑" w:eastAsia="微软雅黑" w:hAnsi="微软雅黑"/>
                <w:szCs w:val="21"/>
              </w:rPr>
            </w:pPr>
            <w:r w:rsidRPr="00773866">
              <w:rPr>
                <w:rFonts w:ascii="微软雅黑" w:eastAsia="微软雅黑" w:hAnsi="微软雅黑" w:hint="eastAsia"/>
                <w:b/>
                <w:szCs w:val="21"/>
                <w:u w:val="single"/>
              </w:rPr>
              <w:t>本基金将根据本基金的投资目标和股票投资策略，基于对基础证券投资价值的深入研究</w:t>
            </w:r>
            <w:r w:rsidRPr="00773866">
              <w:rPr>
                <w:rFonts w:ascii="微软雅黑" w:eastAsia="微软雅黑" w:hAnsi="微软雅黑"/>
                <w:b/>
                <w:szCs w:val="21"/>
                <w:u w:val="single"/>
              </w:rPr>
              <w:t xml:space="preserve"> </w:t>
            </w:r>
            <w:r w:rsidRPr="00773866">
              <w:rPr>
                <w:rFonts w:ascii="微软雅黑" w:eastAsia="微软雅黑" w:hAnsi="微软雅黑" w:hint="eastAsia"/>
                <w:b/>
                <w:szCs w:val="21"/>
                <w:u w:val="single"/>
              </w:rPr>
              <w:t>判断，进行存托凭证的投资。</w:t>
            </w:r>
          </w:p>
        </w:tc>
      </w:tr>
      <w:tr w:rsidR="00B2701E" w:rsidTr="00B2701E">
        <w:trPr>
          <w:jc w:val="center"/>
        </w:trPr>
        <w:tc>
          <w:tcPr>
            <w:tcW w:w="2415" w:type="dxa"/>
            <w:vMerge/>
            <w:tcBorders>
              <w:top w:val="single" w:sz="4" w:space="0" w:color="auto"/>
              <w:left w:val="single" w:sz="4" w:space="0" w:color="000000"/>
              <w:bottom w:val="single" w:sz="4" w:space="0" w:color="auto"/>
              <w:right w:val="single" w:sz="4" w:space="0" w:color="auto"/>
            </w:tcBorders>
            <w:vAlign w:val="center"/>
            <w:hideMark/>
          </w:tcPr>
          <w:p w:rsidR="006970ED" w:rsidRPr="00773866" w:rsidRDefault="006970ED">
            <w:pPr>
              <w:rPr>
                <w:rFonts w:ascii="微软雅黑" w:eastAsia="微软雅黑" w:hAnsi="微软雅黑" w:cs="宋体"/>
                <w:b/>
                <w:bCs/>
                <w:szCs w:val="21"/>
              </w:rPr>
            </w:pPr>
          </w:p>
        </w:tc>
        <w:tc>
          <w:tcPr>
            <w:tcW w:w="2268" w:type="dxa"/>
            <w:tcBorders>
              <w:top w:val="single" w:sz="4" w:space="0" w:color="auto"/>
              <w:left w:val="single" w:sz="4" w:space="0" w:color="auto"/>
              <w:bottom w:val="single" w:sz="4" w:space="0" w:color="auto"/>
              <w:right w:val="single" w:sz="4" w:space="0" w:color="auto"/>
            </w:tcBorders>
            <w:hideMark/>
          </w:tcPr>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四、投资限制</w:t>
            </w:r>
          </w:p>
          <w:p w:rsidR="006970ED" w:rsidRPr="00773866" w:rsidRDefault="006970ED">
            <w:pPr>
              <w:rPr>
                <w:rFonts w:ascii="微软雅黑" w:eastAsia="微软雅黑" w:hAnsi="微软雅黑"/>
                <w:szCs w:val="21"/>
              </w:rPr>
            </w:pPr>
            <w:r w:rsidRPr="00773866">
              <w:rPr>
                <w:rFonts w:ascii="微软雅黑" w:eastAsia="微软雅黑" w:hAnsi="微软雅黑"/>
                <w:szCs w:val="21"/>
              </w:rPr>
              <w:t>1、组合限制</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w:t>
            </w:r>
            <w:r w:rsidRPr="00773866">
              <w:rPr>
                <w:rFonts w:ascii="微软雅黑" w:eastAsia="微软雅黑" w:hAnsi="微软雅黑"/>
                <w:szCs w:val="21"/>
              </w:rPr>
              <w:t>1）股票资产占基金资产的比例为0%-95%；</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w:t>
            </w:r>
            <w:r w:rsidRPr="00773866">
              <w:rPr>
                <w:rFonts w:ascii="微软雅黑" w:eastAsia="微软雅黑" w:hAnsi="微软雅黑"/>
                <w:szCs w:val="21"/>
              </w:rPr>
              <w:t>3）本基金持有一家公司发行的证券，其市值不超过基金资产净值的10％；</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w:t>
            </w:r>
            <w:r w:rsidRPr="00773866">
              <w:rPr>
                <w:rFonts w:ascii="微软雅黑" w:eastAsia="微软雅黑" w:hAnsi="微软雅黑"/>
                <w:szCs w:val="21"/>
              </w:rPr>
              <w:t>4）本基金管理人管理的全部基金持有一家公司发行的证券，不超过该证券的10％；</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w:t>
            </w:r>
            <w:r w:rsidRPr="00773866">
              <w:rPr>
                <w:rFonts w:ascii="微软雅黑" w:eastAsia="微软雅黑" w:hAnsi="微软雅黑"/>
                <w:szCs w:val="21"/>
              </w:rPr>
              <w:t>16）本基金参与股指期货交易，应当符合下列投资限制：</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其中，有价证券指股票、债券（不含到期日在一年以内的政府债券）、权证、资产支持证券、买入返售金融资产（不含质押式回购）等；</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w:t>
            </w:r>
            <w:r w:rsidRPr="00773866">
              <w:rPr>
                <w:rFonts w:ascii="微软雅黑" w:eastAsia="微软雅黑" w:hAnsi="微软雅黑"/>
                <w:szCs w:val="21"/>
              </w:rPr>
              <w:t>17）本基金参与国债期货交易，应当符合下列投资限制：</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②任何交易日日终持有的买入国债期货和股指期货合约价值与有价证券市值之和，不得超过基金资产净值的</w:t>
            </w:r>
            <w:r w:rsidRPr="00773866">
              <w:rPr>
                <w:rFonts w:ascii="微软雅黑" w:eastAsia="微软雅黑" w:hAnsi="微软雅黑"/>
                <w:szCs w:val="21"/>
              </w:rPr>
              <w:t>95%。其中，有价证券指股票、债券（不含到期日在一年以内的政府债券）、权证、资产支持证券、买入返售金融资产（不含质押式回购）等；</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w:t>
            </w:r>
          </w:p>
          <w:p w:rsidR="006970ED" w:rsidRPr="00773866" w:rsidRDefault="006970ED">
            <w:pPr>
              <w:rPr>
                <w:rFonts w:ascii="微软雅黑" w:eastAsia="微软雅黑" w:hAnsi="微软雅黑"/>
                <w:szCs w:val="21"/>
              </w:rPr>
            </w:pPr>
            <w:r w:rsidRPr="00773866">
              <w:rPr>
                <w:rFonts w:ascii="微软雅黑" w:eastAsia="微软雅黑" w:hAnsi="微软雅黑" w:hint="eastAsia"/>
                <w:bCs/>
                <w:szCs w:val="21"/>
              </w:rPr>
              <w:t>因证券、期货市场波动、证券发行人合并、基金规模变动等基金管理人之外的因素致使基金投资比例不符合上述规定投资比例的，为被动超标，不属于基金管理人违反基金合同的情形，基金管理人应当在所涉证券可交易之日起</w:t>
            </w:r>
            <w:r w:rsidRPr="00773866">
              <w:rPr>
                <w:rFonts w:ascii="微软雅黑" w:eastAsia="微软雅黑" w:hAnsi="微软雅黑"/>
                <w:bCs/>
                <w:szCs w:val="21"/>
              </w:rPr>
              <w:t>10个交易日内进行调整，上述第（2）、（12）、</w:t>
            </w:r>
            <w:r w:rsidRPr="00773866">
              <w:rPr>
                <w:rFonts w:ascii="微软雅黑" w:eastAsia="微软雅黑" w:hAnsi="微软雅黑" w:hint="eastAsia"/>
                <w:b/>
                <w:bCs/>
                <w:strike/>
                <w:szCs w:val="21"/>
              </w:rPr>
              <w:t>（</w:t>
            </w:r>
            <w:r w:rsidRPr="00773866">
              <w:rPr>
                <w:rFonts w:ascii="微软雅黑" w:eastAsia="微软雅黑" w:hAnsi="微软雅黑"/>
                <w:b/>
                <w:bCs/>
                <w:strike/>
                <w:szCs w:val="21"/>
              </w:rPr>
              <w:t>19）、（20）</w:t>
            </w:r>
            <w:r w:rsidRPr="00773866">
              <w:rPr>
                <w:rFonts w:ascii="微软雅黑" w:eastAsia="微软雅黑" w:hAnsi="微软雅黑" w:hint="eastAsia"/>
                <w:bCs/>
                <w:szCs w:val="21"/>
              </w:rPr>
              <w:t>项另有约定的除外。法律法规或监管机构另有规定的，从其规定。</w:t>
            </w:r>
          </w:p>
        </w:tc>
        <w:tc>
          <w:tcPr>
            <w:tcW w:w="3681" w:type="dxa"/>
            <w:tcBorders>
              <w:top w:val="single" w:sz="4" w:space="0" w:color="auto"/>
              <w:left w:val="single" w:sz="4" w:space="0" w:color="auto"/>
              <w:bottom w:val="single" w:sz="4" w:space="0" w:color="auto"/>
              <w:right w:val="single" w:sz="4" w:space="0" w:color="auto"/>
            </w:tcBorders>
            <w:hideMark/>
          </w:tcPr>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四、投资限制</w:t>
            </w:r>
          </w:p>
          <w:p w:rsidR="006970ED" w:rsidRPr="00773866" w:rsidRDefault="006970ED">
            <w:pPr>
              <w:rPr>
                <w:rFonts w:ascii="微软雅黑" w:eastAsia="微软雅黑" w:hAnsi="微软雅黑"/>
                <w:szCs w:val="21"/>
              </w:rPr>
            </w:pPr>
            <w:r w:rsidRPr="00773866">
              <w:rPr>
                <w:rFonts w:ascii="微软雅黑" w:eastAsia="微软雅黑" w:hAnsi="微软雅黑"/>
                <w:szCs w:val="21"/>
              </w:rPr>
              <w:t>1、组合限制</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w:t>
            </w:r>
            <w:r w:rsidRPr="00773866">
              <w:rPr>
                <w:rFonts w:ascii="微软雅黑" w:eastAsia="微软雅黑" w:hAnsi="微软雅黑"/>
                <w:szCs w:val="21"/>
              </w:rPr>
              <w:t>1）股票</w:t>
            </w:r>
            <w:r w:rsidRPr="00773866">
              <w:rPr>
                <w:rFonts w:ascii="微软雅黑" w:eastAsia="微软雅黑" w:hAnsi="微软雅黑" w:hint="eastAsia"/>
                <w:b/>
                <w:szCs w:val="21"/>
                <w:u w:val="single"/>
              </w:rPr>
              <w:t>（含存托凭证）</w:t>
            </w:r>
            <w:r w:rsidRPr="00773866">
              <w:rPr>
                <w:rFonts w:ascii="微软雅黑" w:eastAsia="微软雅黑" w:hAnsi="微软雅黑" w:hint="eastAsia"/>
                <w:szCs w:val="21"/>
              </w:rPr>
              <w:t>资产占基金资产的比例为</w:t>
            </w:r>
            <w:r w:rsidRPr="00773866">
              <w:rPr>
                <w:rFonts w:ascii="微软雅黑" w:eastAsia="微软雅黑" w:hAnsi="微软雅黑"/>
                <w:szCs w:val="21"/>
              </w:rPr>
              <w:t>0%-95%；</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w:t>
            </w:r>
            <w:r w:rsidRPr="00773866">
              <w:rPr>
                <w:rFonts w:ascii="微软雅黑" w:eastAsia="微软雅黑" w:hAnsi="微软雅黑"/>
                <w:szCs w:val="21"/>
              </w:rPr>
              <w:t>3）本基金持有一家公司发行的证券</w:t>
            </w:r>
            <w:r w:rsidRPr="00773866">
              <w:rPr>
                <w:rFonts w:ascii="微软雅黑" w:eastAsia="微软雅黑" w:hAnsi="微软雅黑" w:hint="eastAsia"/>
                <w:b/>
                <w:szCs w:val="21"/>
                <w:u w:val="single"/>
              </w:rPr>
              <w:t>（含存托凭证）</w:t>
            </w:r>
            <w:r w:rsidRPr="00773866">
              <w:rPr>
                <w:rFonts w:ascii="微软雅黑" w:eastAsia="微软雅黑" w:hAnsi="微软雅黑" w:hint="eastAsia"/>
                <w:szCs w:val="21"/>
              </w:rPr>
              <w:t>，其市值不超过基金资产净值的</w:t>
            </w:r>
            <w:r w:rsidRPr="00773866">
              <w:rPr>
                <w:rFonts w:ascii="微软雅黑" w:eastAsia="微软雅黑" w:hAnsi="微软雅黑"/>
                <w:szCs w:val="21"/>
              </w:rPr>
              <w:t>10％；</w:t>
            </w:r>
          </w:p>
          <w:p w:rsidR="00391669" w:rsidRPr="00773866" w:rsidRDefault="006970ED">
            <w:pPr>
              <w:rPr>
                <w:rFonts w:ascii="微软雅黑" w:eastAsia="微软雅黑" w:hAnsi="微软雅黑"/>
                <w:szCs w:val="21"/>
              </w:rPr>
            </w:pPr>
            <w:r w:rsidRPr="00773866">
              <w:rPr>
                <w:rFonts w:ascii="微软雅黑" w:eastAsia="微软雅黑" w:hAnsi="微软雅黑" w:hint="eastAsia"/>
                <w:szCs w:val="21"/>
              </w:rPr>
              <w:t>（</w:t>
            </w:r>
            <w:r w:rsidRPr="00773866">
              <w:rPr>
                <w:rFonts w:ascii="微软雅黑" w:eastAsia="微软雅黑" w:hAnsi="微软雅黑"/>
                <w:szCs w:val="21"/>
              </w:rPr>
              <w:t>4）本基金管理人管理的全部基金持有一家公司发行的证券</w:t>
            </w:r>
            <w:r w:rsidRPr="00773866">
              <w:rPr>
                <w:rFonts w:ascii="微软雅黑" w:eastAsia="微软雅黑" w:hAnsi="微软雅黑" w:hint="eastAsia"/>
                <w:b/>
                <w:szCs w:val="21"/>
                <w:u w:val="single"/>
              </w:rPr>
              <w:t>（含存托凭证）</w:t>
            </w:r>
            <w:r w:rsidRPr="00773866">
              <w:rPr>
                <w:rFonts w:ascii="微软雅黑" w:eastAsia="微软雅黑" w:hAnsi="微软雅黑" w:hint="eastAsia"/>
                <w:szCs w:val="21"/>
              </w:rPr>
              <w:t>，不超过该证券的</w:t>
            </w:r>
            <w:r w:rsidRPr="00773866">
              <w:rPr>
                <w:rFonts w:ascii="微软雅黑" w:eastAsia="微软雅黑" w:hAnsi="微软雅黑"/>
                <w:szCs w:val="21"/>
              </w:rPr>
              <w:t>10％；</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w:t>
            </w:r>
            <w:r w:rsidRPr="00773866">
              <w:rPr>
                <w:rFonts w:ascii="微软雅黑" w:eastAsia="微软雅黑" w:hAnsi="微软雅黑"/>
                <w:szCs w:val="21"/>
              </w:rPr>
              <w:t>16）本基金参与股指期货交易，应当符合下列投资限制：</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其中，有价证券指股票、</w:t>
            </w:r>
            <w:r w:rsidRPr="00773866">
              <w:rPr>
                <w:rFonts w:ascii="微软雅黑" w:eastAsia="微软雅黑" w:hAnsi="微软雅黑" w:hint="eastAsia"/>
                <w:b/>
                <w:szCs w:val="21"/>
                <w:u w:val="single"/>
              </w:rPr>
              <w:t>存托凭证、</w:t>
            </w:r>
            <w:r w:rsidRPr="00773866">
              <w:rPr>
                <w:rFonts w:ascii="微软雅黑" w:eastAsia="微软雅黑" w:hAnsi="微软雅黑" w:hint="eastAsia"/>
                <w:szCs w:val="21"/>
              </w:rPr>
              <w:t>债券（不含到期日在一年以内的政府债券）、权证、资产支持证券、买入返售金融资产（不含质押式回购）等；</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w:t>
            </w:r>
            <w:r w:rsidRPr="00773866">
              <w:rPr>
                <w:rFonts w:ascii="微软雅黑" w:eastAsia="微软雅黑" w:hAnsi="微软雅黑"/>
                <w:szCs w:val="21"/>
              </w:rPr>
              <w:t>17）本基金参与国债期货交易，应当符合下列投资限制：</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②任何交易日日终持有的买入国债期货和股指期货合约价值与有价证券市值之和，不得超过基金资产净值的</w:t>
            </w:r>
            <w:r w:rsidRPr="00773866">
              <w:rPr>
                <w:rFonts w:ascii="微软雅黑" w:eastAsia="微软雅黑" w:hAnsi="微软雅黑"/>
                <w:szCs w:val="21"/>
              </w:rPr>
              <w:t>95%。其中，有价证券指股票、</w:t>
            </w:r>
            <w:r w:rsidRPr="00773866">
              <w:rPr>
                <w:rFonts w:ascii="微软雅黑" w:eastAsia="微软雅黑" w:hAnsi="微软雅黑" w:hint="eastAsia"/>
                <w:b/>
                <w:szCs w:val="21"/>
                <w:u w:val="single"/>
              </w:rPr>
              <w:t>存托凭证、</w:t>
            </w:r>
            <w:r w:rsidRPr="00773866">
              <w:rPr>
                <w:rFonts w:ascii="微软雅黑" w:eastAsia="微软雅黑" w:hAnsi="微软雅黑" w:hint="eastAsia"/>
                <w:szCs w:val="21"/>
              </w:rPr>
              <w:t>债券（不含到期日在一年以内的政府债券）、权证、资产支持证券、买入返售金融资产（不含质押式回购）等；</w:t>
            </w:r>
          </w:p>
          <w:p w:rsidR="006970ED" w:rsidRPr="00773866" w:rsidRDefault="006970ED">
            <w:pPr>
              <w:rPr>
                <w:rFonts w:ascii="微软雅黑" w:eastAsia="微软雅黑" w:hAnsi="微软雅黑"/>
                <w:b/>
                <w:szCs w:val="21"/>
                <w:u w:val="single"/>
              </w:rPr>
            </w:pPr>
            <w:r w:rsidRPr="00773866">
              <w:rPr>
                <w:rFonts w:ascii="微软雅黑" w:eastAsia="微软雅黑" w:hAnsi="微软雅黑" w:hint="eastAsia"/>
                <w:b/>
                <w:szCs w:val="21"/>
                <w:u w:val="single"/>
              </w:rPr>
              <w:t>（</w:t>
            </w:r>
            <w:r w:rsidRPr="00773866">
              <w:rPr>
                <w:rFonts w:ascii="微软雅黑" w:eastAsia="微软雅黑" w:hAnsi="微软雅黑"/>
                <w:b/>
                <w:szCs w:val="21"/>
                <w:u w:val="single"/>
              </w:rPr>
              <w:t>18）本基金投资存托凭证的比例限制依照境内上市交易的股票执行；</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w:t>
            </w:r>
          </w:p>
          <w:p w:rsidR="006970ED" w:rsidRPr="00773866" w:rsidRDefault="006970ED">
            <w:pPr>
              <w:rPr>
                <w:rFonts w:ascii="微软雅黑" w:eastAsia="微软雅黑" w:hAnsi="微软雅黑"/>
                <w:szCs w:val="21"/>
              </w:rPr>
            </w:pPr>
            <w:r w:rsidRPr="00773866">
              <w:rPr>
                <w:rFonts w:ascii="微软雅黑" w:eastAsia="微软雅黑" w:hAnsi="微软雅黑" w:hint="eastAsia"/>
                <w:bCs/>
                <w:szCs w:val="21"/>
              </w:rPr>
              <w:t>因证券、期货市场波动、证券发行人合并、基金规模变动等基金管理人之外的因素致使基金投资比例不符合上述规定投资比例的，为被动超标，不属于基金管理人违反基金合同的情形，基金管理人应当在所涉证券可交易之日起</w:t>
            </w:r>
            <w:r w:rsidRPr="00773866">
              <w:rPr>
                <w:rFonts w:ascii="微软雅黑" w:eastAsia="微软雅黑" w:hAnsi="微软雅黑"/>
                <w:bCs/>
                <w:szCs w:val="21"/>
              </w:rPr>
              <w:t>10个交易日内进行调整，上述第（2）、（12）、</w:t>
            </w:r>
            <w:r w:rsidRPr="00773866">
              <w:rPr>
                <w:rFonts w:ascii="微软雅黑" w:eastAsia="微软雅黑" w:hAnsi="微软雅黑" w:hint="eastAsia"/>
                <w:b/>
                <w:bCs/>
                <w:szCs w:val="21"/>
                <w:u w:val="single"/>
              </w:rPr>
              <w:t>（</w:t>
            </w:r>
            <w:r w:rsidRPr="00773866">
              <w:rPr>
                <w:rFonts w:ascii="微软雅黑" w:eastAsia="微软雅黑" w:hAnsi="微软雅黑"/>
                <w:b/>
                <w:bCs/>
                <w:szCs w:val="21"/>
                <w:u w:val="single"/>
              </w:rPr>
              <w:t>20）、（21）</w:t>
            </w:r>
            <w:r w:rsidRPr="00773866">
              <w:rPr>
                <w:rFonts w:ascii="微软雅黑" w:eastAsia="微软雅黑" w:hAnsi="微软雅黑" w:hint="eastAsia"/>
                <w:bCs/>
                <w:szCs w:val="21"/>
              </w:rPr>
              <w:t>项另有约定的除外。法律法规或监管机构另有规定的，从其规定。</w:t>
            </w:r>
          </w:p>
        </w:tc>
      </w:tr>
      <w:tr w:rsidR="00B2701E" w:rsidTr="00B2701E">
        <w:trPr>
          <w:jc w:val="center"/>
        </w:trPr>
        <w:tc>
          <w:tcPr>
            <w:tcW w:w="2415" w:type="dxa"/>
            <w:vMerge w:val="restart"/>
            <w:tcBorders>
              <w:top w:val="single" w:sz="4" w:space="0" w:color="auto"/>
              <w:left w:val="single" w:sz="4" w:space="0" w:color="000000"/>
              <w:bottom w:val="single" w:sz="4" w:space="0" w:color="000000"/>
              <w:right w:val="single" w:sz="4" w:space="0" w:color="auto"/>
            </w:tcBorders>
            <w:hideMark/>
          </w:tcPr>
          <w:p w:rsidR="006970ED" w:rsidRPr="00773866" w:rsidRDefault="006970ED" w:rsidP="00F962F2">
            <w:pPr>
              <w:rPr>
                <w:rFonts w:ascii="微软雅黑" w:eastAsia="微软雅黑" w:hAnsi="微软雅黑"/>
                <w:b/>
                <w:bCs/>
                <w:szCs w:val="21"/>
              </w:rPr>
            </w:pPr>
            <w:r w:rsidRPr="00773866">
              <w:rPr>
                <w:rFonts w:ascii="微软雅黑" w:eastAsia="微软雅黑" w:hAnsi="微软雅黑" w:hint="eastAsia"/>
                <w:b/>
                <w:bCs/>
                <w:szCs w:val="21"/>
              </w:rPr>
              <w:t>第十四部分基金资产估值</w:t>
            </w:r>
          </w:p>
        </w:tc>
        <w:tc>
          <w:tcPr>
            <w:tcW w:w="2268" w:type="dxa"/>
            <w:tcBorders>
              <w:top w:val="single" w:sz="4" w:space="0" w:color="auto"/>
              <w:left w:val="single" w:sz="4" w:space="0" w:color="auto"/>
              <w:bottom w:val="single" w:sz="4" w:space="0" w:color="auto"/>
              <w:right w:val="single" w:sz="4" w:space="0" w:color="auto"/>
            </w:tcBorders>
            <w:hideMark/>
          </w:tcPr>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二、估值对象</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基金所拥有的股票、权证、债券和银行存款本息、应收款项、股指期货、国债期货、其它投资等资产及负债。</w:t>
            </w:r>
          </w:p>
        </w:tc>
        <w:tc>
          <w:tcPr>
            <w:tcW w:w="3681" w:type="dxa"/>
            <w:tcBorders>
              <w:top w:val="single" w:sz="4" w:space="0" w:color="auto"/>
              <w:left w:val="single" w:sz="4" w:space="0" w:color="auto"/>
              <w:bottom w:val="single" w:sz="4" w:space="0" w:color="auto"/>
              <w:right w:val="single" w:sz="4" w:space="0" w:color="auto"/>
            </w:tcBorders>
            <w:hideMark/>
          </w:tcPr>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二、估值对象</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基金所拥有的股票、</w:t>
            </w:r>
            <w:r w:rsidRPr="00773866">
              <w:rPr>
                <w:rFonts w:ascii="微软雅黑" w:eastAsia="微软雅黑" w:hAnsi="微软雅黑" w:hint="eastAsia"/>
                <w:b/>
                <w:szCs w:val="21"/>
                <w:u w:val="single"/>
              </w:rPr>
              <w:t>存托凭证、</w:t>
            </w:r>
            <w:r w:rsidRPr="00773866">
              <w:rPr>
                <w:rFonts w:ascii="微软雅黑" w:eastAsia="微软雅黑" w:hAnsi="微软雅黑" w:hint="eastAsia"/>
                <w:szCs w:val="21"/>
              </w:rPr>
              <w:t>权证、债券和银行存款本息、应收款项、股指期货、国债期货、其它投资等资产及负债。</w:t>
            </w:r>
          </w:p>
        </w:tc>
      </w:tr>
      <w:tr w:rsidR="00B2701E" w:rsidTr="00B2701E">
        <w:trPr>
          <w:jc w:val="center"/>
        </w:trPr>
        <w:tc>
          <w:tcPr>
            <w:tcW w:w="2415" w:type="dxa"/>
            <w:vMerge/>
            <w:tcBorders>
              <w:top w:val="single" w:sz="4" w:space="0" w:color="auto"/>
              <w:left w:val="single" w:sz="4" w:space="0" w:color="000000"/>
              <w:bottom w:val="single" w:sz="4" w:space="0" w:color="000000"/>
              <w:right w:val="single" w:sz="4" w:space="0" w:color="auto"/>
            </w:tcBorders>
            <w:vAlign w:val="center"/>
            <w:hideMark/>
          </w:tcPr>
          <w:p w:rsidR="006970ED" w:rsidRPr="00773866" w:rsidRDefault="006970ED">
            <w:pPr>
              <w:rPr>
                <w:rFonts w:ascii="微软雅黑" w:eastAsia="微软雅黑" w:hAnsi="微软雅黑" w:cs="宋体"/>
                <w:b/>
                <w:bCs/>
                <w:szCs w:val="21"/>
              </w:rPr>
            </w:pPr>
          </w:p>
        </w:tc>
        <w:tc>
          <w:tcPr>
            <w:tcW w:w="2268" w:type="dxa"/>
            <w:tcBorders>
              <w:top w:val="single" w:sz="4" w:space="0" w:color="auto"/>
              <w:left w:val="single" w:sz="4" w:space="0" w:color="auto"/>
              <w:bottom w:val="single" w:sz="4" w:space="0" w:color="auto"/>
              <w:right w:val="single" w:sz="4" w:space="0" w:color="auto"/>
            </w:tcBorders>
            <w:hideMark/>
          </w:tcPr>
          <w:p w:rsidR="006970ED" w:rsidRPr="00773866" w:rsidRDefault="00391669">
            <w:pPr>
              <w:rPr>
                <w:rFonts w:ascii="微软雅黑" w:eastAsia="微软雅黑" w:hAnsi="微软雅黑"/>
                <w:szCs w:val="21"/>
              </w:rPr>
            </w:pPr>
            <w:r w:rsidRPr="00773866">
              <w:rPr>
                <w:rFonts w:ascii="微软雅黑" w:eastAsia="微软雅黑" w:hAnsi="微软雅黑" w:hint="eastAsia"/>
                <w:szCs w:val="21"/>
              </w:rPr>
              <w:t>三</w:t>
            </w:r>
            <w:r w:rsidR="006970ED" w:rsidRPr="00773866">
              <w:rPr>
                <w:rFonts w:ascii="微软雅黑" w:eastAsia="微软雅黑" w:hAnsi="微软雅黑" w:hint="eastAsia"/>
                <w:szCs w:val="21"/>
              </w:rPr>
              <w:t>、估值方法</w:t>
            </w:r>
          </w:p>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无</w:t>
            </w:r>
          </w:p>
        </w:tc>
        <w:tc>
          <w:tcPr>
            <w:tcW w:w="3681" w:type="dxa"/>
            <w:tcBorders>
              <w:top w:val="single" w:sz="4" w:space="0" w:color="auto"/>
              <w:left w:val="single" w:sz="4" w:space="0" w:color="auto"/>
              <w:bottom w:val="single" w:sz="4" w:space="0" w:color="auto"/>
              <w:right w:val="single" w:sz="4" w:space="0" w:color="auto"/>
            </w:tcBorders>
            <w:hideMark/>
          </w:tcPr>
          <w:p w:rsidR="006970ED" w:rsidRPr="00773866" w:rsidRDefault="00391669">
            <w:pPr>
              <w:rPr>
                <w:rFonts w:ascii="微软雅黑" w:eastAsia="微软雅黑" w:hAnsi="微软雅黑"/>
                <w:szCs w:val="21"/>
              </w:rPr>
            </w:pPr>
            <w:r w:rsidRPr="00773866">
              <w:rPr>
                <w:rFonts w:ascii="微软雅黑" w:eastAsia="微软雅黑" w:hAnsi="微软雅黑" w:hint="eastAsia"/>
                <w:szCs w:val="21"/>
              </w:rPr>
              <w:t>三</w:t>
            </w:r>
            <w:r w:rsidR="006970ED" w:rsidRPr="00773866">
              <w:rPr>
                <w:rFonts w:ascii="微软雅黑" w:eastAsia="微软雅黑" w:hAnsi="微软雅黑" w:hint="eastAsia"/>
                <w:szCs w:val="21"/>
              </w:rPr>
              <w:t>、估值方法</w:t>
            </w:r>
          </w:p>
          <w:p w:rsidR="006970ED" w:rsidRPr="00773866" w:rsidRDefault="006970ED">
            <w:pPr>
              <w:rPr>
                <w:rFonts w:ascii="微软雅黑" w:eastAsia="微软雅黑" w:hAnsi="微软雅黑"/>
                <w:b/>
                <w:szCs w:val="21"/>
                <w:u w:val="single"/>
              </w:rPr>
            </w:pPr>
            <w:r w:rsidRPr="00773866">
              <w:rPr>
                <w:rFonts w:ascii="微软雅黑" w:eastAsia="微软雅黑" w:hAnsi="微软雅黑"/>
                <w:b/>
                <w:szCs w:val="21"/>
                <w:u w:val="single"/>
              </w:rPr>
              <w:t>7、本基金投资存托凭证的估值核算，依照境内上市</w:t>
            </w:r>
            <w:bookmarkStart w:id="0" w:name="_GoBack"/>
            <w:bookmarkEnd w:id="0"/>
            <w:r w:rsidRPr="00773866">
              <w:rPr>
                <w:rFonts w:ascii="微软雅黑" w:eastAsia="微软雅黑" w:hAnsi="微软雅黑"/>
                <w:b/>
                <w:szCs w:val="21"/>
                <w:u w:val="single"/>
              </w:rPr>
              <w:t>交易的股票执行。</w:t>
            </w:r>
          </w:p>
        </w:tc>
      </w:tr>
      <w:tr w:rsidR="00B2701E" w:rsidTr="00B2701E">
        <w:trPr>
          <w:jc w:val="center"/>
        </w:trPr>
        <w:tc>
          <w:tcPr>
            <w:tcW w:w="2415" w:type="dxa"/>
            <w:vMerge/>
            <w:tcBorders>
              <w:top w:val="single" w:sz="4" w:space="0" w:color="auto"/>
              <w:left w:val="single" w:sz="4" w:space="0" w:color="000000"/>
              <w:bottom w:val="single" w:sz="4" w:space="0" w:color="000000"/>
              <w:right w:val="single" w:sz="4" w:space="0" w:color="auto"/>
            </w:tcBorders>
            <w:vAlign w:val="center"/>
            <w:hideMark/>
          </w:tcPr>
          <w:p w:rsidR="006970ED" w:rsidRPr="00773866" w:rsidRDefault="006970ED">
            <w:pPr>
              <w:rPr>
                <w:rFonts w:ascii="微软雅黑" w:eastAsia="微软雅黑" w:hAnsi="微软雅黑" w:cs="宋体"/>
                <w:b/>
                <w:bCs/>
                <w:szCs w:val="21"/>
              </w:rPr>
            </w:pPr>
          </w:p>
        </w:tc>
        <w:tc>
          <w:tcPr>
            <w:tcW w:w="2268" w:type="dxa"/>
            <w:tcBorders>
              <w:top w:val="single" w:sz="4" w:space="0" w:color="auto"/>
              <w:left w:val="single" w:sz="4" w:space="0" w:color="auto"/>
              <w:bottom w:val="single" w:sz="4" w:space="0" w:color="000000"/>
              <w:right w:val="single" w:sz="4" w:space="0" w:color="auto"/>
            </w:tcBorders>
            <w:hideMark/>
          </w:tcPr>
          <w:p w:rsidR="006970ED" w:rsidRPr="00773866" w:rsidRDefault="006970ED">
            <w:pPr>
              <w:rPr>
                <w:rFonts w:ascii="微软雅黑" w:eastAsia="微软雅黑" w:hAnsi="微软雅黑"/>
                <w:szCs w:val="21"/>
              </w:rPr>
            </w:pPr>
            <w:r w:rsidRPr="00773866">
              <w:rPr>
                <w:rFonts w:ascii="微软雅黑" w:eastAsia="微软雅黑" w:hAnsi="微软雅黑" w:hint="eastAsia"/>
                <w:szCs w:val="21"/>
              </w:rPr>
              <w:t>五、估值错误的处理</w:t>
            </w:r>
          </w:p>
          <w:p w:rsidR="006970ED" w:rsidRPr="00640DCD" w:rsidRDefault="006970ED">
            <w:pPr>
              <w:rPr>
                <w:rFonts w:ascii="微软雅黑" w:eastAsia="微软雅黑" w:hAnsi="微软雅黑"/>
                <w:szCs w:val="21"/>
              </w:rPr>
            </w:pPr>
            <w:r w:rsidRPr="00773866">
              <w:rPr>
                <w:rFonts w:ascii="微软雅黑" w:eastAsia="微软雅黑" w:hAnsi="微软雅黑"/>
                <w:szCs w:val="21"/>
              </w:rPr>
              <w:t>5、特殊情况的处理</w:t>
            </w:r>
          </w:p>
          <w:p w:rsidR="006970ED" w:rsidRPr="00640DCD" w:rsidRDefault="006970ED">
            <w:pPr>
              <w:rPr>
                <w:rFonts w:ascii="微软雅黑" w:eastAsia="微软雅黑" w:hAnsi="微软雅黑"/>
                <w:szCs w:val="21"/>
              </w:rPr>
            </w:pPr>
            <w:r w:rsidRPr="00640DCD">
              <w:rPr>
                <w:rFonts w:ascii="微软雅黑" w:eastAsia="微软雅黑" w:hAnsi="微软雅黑" w:hint="eastAsia"/>
                <w:szCs w:val="21"/>
              </w:rPr>
              <w:t>（</w:t>
            </w:r>
            <w:r w:rsidRPr="00640DCD">
              <w:rPr>
                <w:rFonts w:ascii="微软雅黑" w:eastAsia="微软雅黑" w:hAnsi="微软雅黑"/>
                <w:szCs w:val="21"/>
              </w:rPr>
              <w:t>1）基金管理人或基金托管人按本基金合同约定的估值方法第</w:t>
            </w:r>
            <w:r w:rsidRPr="00640DCD">
              <w:rPr>
                <w:rFonts w:ascii="微软雅黑" w:eastAsia="微软雅黑" w:hAnsi="微软雅黑"/>
                <w:b/>
                <w:strike/>
                <w:szCs w:val="21"/>
              </w:rPr>
              <w:t>8</w:t>
            </w:r>
            <w:r w:rsidRPr="00640DCD">
              <w:rPr>
                <w:rFonts w:ascii="微软雅黑" w:eastAsia="微软雅黑" w:hAnsi="微软雅黑" w:hint="eastAsia"/>
                <w:szCs w:val="21"/>
              </w:rPr>
              <w:t>项进行估值时，所造成的误差不作为基金资产估值错误处理。</w:t>
            </w:r>
          </w:p>
        </w:tc>
        <w:tc>
          <w:tcPr>
            <w:tcW w:w="3681" w:type="dxa"/>
            <w:tcBorders>
              <w:top w:val="single" w:sz="4" w:space="0" w:color="auto"/>
              <w:left w:val="single" w:sz="4" w:space="0" w:color="auto"/>
              <w:bottom w:val="single" w:sz="4" w:space="0" w:color="000000"/>
              <w:right w:val="single" w:sz="4" w:space="0" w:color="auto"/>
            </w:tcBorders>
            <w:hideMark/>
          </w:tcPr>
          <w:p w:rsidR="006970ED" w:rsidRPr="00640DCD" w:rsidRDefault="006970ED">
            <w:pPr>
              <w:rPr>
                <w:rFonts w:ascii="微软雅黑" w:eastAsia="微软雅黑" w:hAnsi="微软雅黑"/>
                <w:szCs w:val="21"/>
              </w:rPr>
            </w:pPr>
            <w:r w:rsidRPr="00640DCD">
              <w:rPr>
                <w:rFonts w:ascii="微软雅黑" w:eastAsia="微软雅黑" w:hAnsi="微软雅黑" w:hint="eastAsia"/>
                <w:szCs w:val="21"/>
              </w:rPr>
              <w:t>五、估值错误的处理</w:t>
            </w:r>
          </w:p>
          <w:p w:rsidR="006970ED" w:rsidRPr="00640DCD" w:rsidRDefault="006970ED">
            <w:pPr>
              <w:rPr>
                <w:rFonts w:ascii="微软雅黑" w:eastAsia="微软雅黑" w:hAnsi="微软雅黑"/>
                <w:szCs w:val="21"/>
              </w:rPr>
            </w:pPr>
            <w:r w:rsidRPr="00640DCD">
              <w:rPr>
                <w:rFonts w:ascii="微软雅黑" w:eastAsia="微软雅黑" w:hAnsi="微软雅黑"/>
                <w:szCs w:val="21"/>
              </w:rPr>
              <w:t>5、特殊情况的处理</w:t>
            </w:r>
          </w:p>
          <w:p w:rsidR="006970ED" w:rsidRPr="00640DCD" w:rsidRDefault="006970ED">
            <w:pPr>
              <w:rPr>
                <w:rFonts w:ascii="微软雅黑" w:eastAsia="微软雅黑" w:hAnsi="微软雅黑"/>
                <w:szCs w:val="21"/>
              </w:rPr>
            </w:pPr>
            <w:r w:rsidRPr="00640DCD">
              <w:rPr>
                <w:rFonts w:ascii="微软雅黑" w:eastAsia="微软雅黑" w:hAnsi="微软雅黑" w:hint="eastAsia"/>
                <w:szCs w:val="21"/>
              </w:rPr>
              <w:t>（</w:t>
            </w:r>
            <w:r w:rsidRPr="00640DCD">
              <w:rPr>
                <w:rFonts w:ascii="微软雅黑" w:eastAsia="微软雅黑" w:hAnsi="微软雅黑"/>
                <w:szCs w:val="21"/>
              </w:rPr>
              <w:t>1）基金管理人或基金托管人按本基金合同约定的估值方法第</w:t>
            </w:r>
            <w:r w:rsidRPr="00640DCD">
              <w:rPr>
                <w:rFonts w:ascii="微软雅黑" w:eastAsia="微软雅黑" w:hAnsi="微软雅黑"/>
                <w:b/>
                <w:szCs w:val="21"/>
                <w:u w:val="single"/>
              </w:rPr>
              <w:t>9</w:t>
            </w:r>
            <w:r w:rsidRPr="00640DCD">
              <w:rPr>
                <w:rFonts w:ascii="微软雅黑" w:eastAsia="微软雅黑" w:hAnsi="微软雅黑" w:hint="eastAsia"/>
                <w:szCs w:val="21"/>
              </w:rPr>
              <w:t>项进行估值时，所造成的误差不作为基金资产估值错误处理。</w:t>
            </w:r>
          </w:p>
        </w:tc>
      </w:tr>
    </w:tbl>
    <w:p w:rsidR="00B84189" w:rsidRPr="003D3E43" w:rsidRDefault="00B84189" w:rsidP="00F962F2">
      <w:pPr>
        <w:widowControl/>
        <w:wordWrap w:val="0"/>
        <w:spacing w:line="360" w:lineRule="atLeast"/>
        <w:ind w:firstLineChars="200" w:firstLine="420"/>
        <w:jc w:val="left"/>
        <w:rPr>
          <w:rFonts w:ascii="微软雅黑" w:eastAsia="微软雅黑" w:hAnsi="微软雅黑" w:cs="宋体"/>
          <w:color w:val="333333"/>
          <w:kern w:val="0"/>
          <w:szCs w:val="21"/>
        </w:rPr>
      </w:pPr>
      <w:bookmarkStart w:id="1" w:name="_Hlk55567743"/>
      <w:r w:rsidRPr="00F962F2">
        <w:rPr>
          <w:rFonts w:ascii="微软雅黑" w:eastAsia="微软雅黑" w:hAnsi="微软雅黑" w:cs="宋体" w:hint="eastAsia"/>
          <w:color w:val="333333"/>
          <w:kern w:val="0"/>
          <w:szCs w:val="21"/>
        </w:rPr>
        <w:t>注：基金合同摘要中的修改不再一一列举。</w:t>
      </w:r>
      <w:bookmarkEnd w:id="1"/>
    </w:p>
    <w:p w:rsidR="008E1297" w:rsidRPr="008E1297" w:rsidRDefault="008E1297" w:rsidP="008E1297">
      <w:pPr>
        <w:widowControl/>
        <w:wordWrap w:val="0"/>
        <w:spacing w:line="360" w:lineRule="atLeast"/>
        <w:ind w:firstLine="420"/>
        <w:jc w:val="left"/>
        <w:rPr>
          <w:rFonts w:ascii="微软雅黑" w:eastAsia="微软雅黑" w:hAnsi="微软雅黑" w:cs="宋体"/>
          <w:color w:val="333333"/>
          <w:kern w:val="0"/>
          <w:szCs w:val="21"/>
        </w:rPr>
      </w:pPr>
      <w:r w:rsidRPr="008E1297">
        <w:rPr>
          <w:rFonts w:ascii="微软雅黑" w:eastAsia="微软雅黑" w:hAnsi="微软雅黑" w:cs="宋体" w:hint="eastAsia"/>
          <w:color w:val="333333"/>
          <w:kern w:val="0"/>
          <w:szCs w:val="21"/>
        </w:rPr>
        <w:t>2、基金招募说明书（更新）</w:t>
      </w:r>
    </w:p>
    <w:p w:rsidR="008E1297" w:rsidRPr="008E1297" w:rsidRDefault="004A768B" w:rsidP="004A768B">
      <w:pPr>
        <w:widowControl/>
        <w:wordWrap w:val="0"/>
        <w:spacing w:line="360" w:lineRule="atLeast"/>
        <w:ind w:firstLineChars="200" w:firstLine="420"/>
        <w:jc w:val="left"/>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除</w:t>
      </w:r>
      <w:r w:rsidR="0037496D">
        <w:rPr>
          <w:rFonts w:ascii="微软雅黑" w:eastAsia="微软雅黑" w:hAnsi="微软雅黑" w:cs="宋体" w:hint="eastAsia"/>
          <w:color w:val="333333"/>
          <w:kern w:val="0"/>
          <w:szCs w:val="21"/>
        </w:rPr>
        <w:t>根据各基金合同、托管协议对</w:t>
      </w:r>
      <w:r w:rsidR="008E1297" w:rsidRPr="008E1297">
        <w:rPr>
          <w:rFonts w:ascii="微软雅黑" w:eastAsia="微软雅黑" w:hAnsi="微软雅黑" w:cs="宋体" w:hint="eastAsia"/>
          <w:color w:val="333333"/>
          <w:kern w:val="0"/>
          <w:szCs w:val="21"/>
        </w:rPr>
        <w:t>基金招募说明书</w:t>
      </w:r>
      <w:r w:rsidR="00A02AB9">
        <w:rPr>
          <w:rFonts w:ascii="微软雅黑" w:eastAsia="微软雅黑" w:hAnsi="微软雅黑" w:cs="宋体" w:hint="eastAsia"/>
          <w:color w:val="333333"/>
          <w:kern w:val="0"/>
          <w:szCs w:val="21"/>
        </w:rPr>
        <w:t>中</w:t>
      </w:r>
      <w:r w:rsidR="00B822C7">
        <w:rPr>
          <w:rFonts w:ascii="微软雅黑" w:eastAsia="微软雅黑" w:hAnsi="微软雅黑" w:cs="宋体" w:hint="eastAsia"/>
          <w:color w:val="333333"/>
          <w:kern w:val="0"/>
          <w:szCs w:val="21"/>
        </w:rPr>
        <w:t>涉及存托凭证的相关</w:t>
      </w:r>
      <w:r w:rsidR="0037496D">
        <w:rPr>
          <w:rFonts w:ascii="微软雅黑" w:eastAsia="微软雅黑" w:hAnsi="微软雅黑" w:cs="宋体" w:hint="eastAsia"/>
          <w:color w:val="333333"/>
          <w:kern w:val="0"/>
          <w:szCs w:val="21"/>
        </w:rPr>
        <w:t>内容进行更新</w:t>
      </w:r>
      <w:r w:rsidR="00B822C7">
        <w:rPr>
          <w:rFonts w:ascii="微软雅黑" w:eastAsia="微软雅黑" w:hAnsi="微软雅黑" w:cs="宋体" w:hint="eastAsia"/>
          <w:color w:val="333333"/>
          <w:kern w:val="0"/>
          <w:szCs w:val="21"/>
        </w:rPr>
        <w:t>外</w:t>
      </w:r>
      <w:r>
        <w:rPr>
          <w:rFonts w:ascii="微软雅黑" w:eastAsia="微软雅黑" w:hAnsi="微软雅黑" w:cs="宋体" w:hint="eastAsia"/>
          <w:color w:val="333333"/>
          <w:kern w:val="0"/>
          <w:szCs w:val="21"/>
        </w:rPr>
        <w:t>，</w:t>
      </w:r>
      <w:r w:rsidR="007C4360">
        <w:rPr>
          <w:rFonts w:ascii="微软雅黑" w:eastAsia="微软雅黑" w:hAnsi="微软雅黑" w:cs="宋体" w:hint="eastAsia"/>
          <w:color w:val="333333"/>
          <w:kern w:val="0"/>
          <w:szCs w:val="21"/>
        </w:rPr>
        <w:t>还</w:t>
      </w:r>
      <w:r w:rsidR="008E1297" w:rsidRPr="008E1297">
        <w:rPr>
          <w:rFonts w:ascii="微软雅黑" w:eastAsia="微软雅黑" w:hAnsi="微软雅黑" w:cs="宋体" w:hint="eastAsia"/>
          <w:color w:val="333333"/>
          <w:kern w:val="0"/>
          <w:szCs w:val="21"/>
        </w:rPr>
        <w:t>在风险揭示章节增加“投资存托凭证的</w:t>
      </w:r>
      <w:r w:rsidR="005A5C09">
        <w:rPr>
          <w:rFonts w:ascii="微软雅黑" w:eastAsia="微软雅黑" w:hAnsi="微软雅黑" w:cs="宋体" w:hint="eastAsia"/>
          <w:color w:val="333333"/>
          <w:kern w:val="0"/>
          <w:szCs w:val="21"/>
        </w:rPr>
        <w:t>特定</w:t>
      </w:r>
      <w:r w:rsidR="008E1297" w:rsidRPr="008E1297">
        <w:rPr>
          <w:rFonts w:ascii="微软雅黑" w:eastAsia="微软雅黑" w:hAnsi="微软雅黑" w:cs="宋体" w:hint="eastAsia"/>
          <w:color w:val="333333"/>
          <w:kern w:val="0"/>
          <w:szCs w:val="21"/>
        </w:rPr>
        <w:t>风险”如下：</w:t>
      </w:r>
    </w:p>
    <w:p w:rsidR="008E1297" w:rsidRPr="008E1297" w:rsidRDefault="005A5C09" w:rsidP="008E1297">
      <w:pPr>
        <w:widowControl/>
        <w:wordWrap w:val="0"/>
        <w:spacing w:line="360" w:lineRule="atLeast"/>
        <w:ind w:firstLine="420"/>
        <w:jc w:val="left"/>
        <w:rPr>
          <w:rFonts w:ascii="微软雅黑" w:eastAsia="微软雅黑" w:hAnsi="微软雅黑" w:cs="宋体"/>
          <w:color w:val="333333"/>
          <w:kern w:val="0"/>
          <w:szCs w:val="21"/>
        </w:rPr>
      </w:pPr>
      <w:r w:rsidRPr="005A5C09">
        <w:rPr>
          <w:rFonts w:ascii="微软雅黑" w:eastAsia="微软雅黑" w:hAnsi="微软雅黑" w:cs="宋体" w:hint="eastAsia"/>
          <w:color w:val="333333"/>
          <w:kern w:val="0"/>
          <w:szCs w:val="21"/>
        </w:rPr>
        <w:t>本基金的投资范围包括国内依法发行上市的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r w:rsidR="003D3E43">
        <w:rPr>
          <w:rFonts w:ascii="微软雅黑" w:eastAsia="微软雅黑" w:hAnsi="微软雅黑" w:cs="宋体" w:hint="eastAsia"/>
          <w:color w:val="333333"/>
          <w:kern w:val="0"/>
          <w:szCs w:val="21"/>
        </w:rPr>
        <w:t xml:space="preserve"> </w:t>
      </w:r>
      <w:r w:rsidR="003D3E43">
        <w:rPr>
          <w:rFonts w:ascii="微软雅黑" w:eastAsia="微软雅黑" w:hAnsi="微软雅黑" w:cs="宋体"/>
          <w:color w:val="333333"/>
          <w:kern w:val="0"/>
          <w:szCs w:val="21"/>
        </w:rPr>
        <w:t xml:space="preserve">    </w:t>
      </w:r>
    </w:p>
    <w:p w:rsidR="00CB73AB" w:rsidRPr="00F962F2" w:rsidRDefault="00CB73AB" w:rsidP="00F962F2">
      <w:pPr>
        <w:widowControl/>
        <w:wordWrap w:val="0"/>
        <w:spacing w:line="360" w:lineRule="atLeast"/>
        <w:ind w:firstLine="420"/>
        <w:jc w:val="left"/>
        <w:rPr>
          <w:rFonts w:ascii="微软雅黑" w:eastAsia="微软雅黑" w:hAnsi="微软雅黑" w:cs="宋体"/>
          <w:color w:val="333333"/>
          <w:kern w:val="0"/>
          <w:szCs w:val="21"/>
        </w:rPr>
      </w:pPr>
    </w:p>
    <w:sectPr w:rsidR="00CB73AB" w:rsidRPr="00F962F2" w:rsidSect="00A62C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830" w:rsidRDefault="00950830" w:rsidP="006970ED">
      <w:r>
        <w:separator/>
      </w:r>
    </w:p>
  </w:endnote>
  <w:endnote w:type="continuationSeparator" w:id="0">
    <w:p w:rsidR="00950830" w:rsidRDefault="00950830" w:rsidP="00697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830" w:rsidRDefault="00950830" w:rsidP="006970ED">
      <w:r>
        <w:separator/>
      </w:r>
    </w:p>
  </w:footnote>
  <w:footnote w:type="continuationSeparator" w:id="0">
    <w:p w:rsidR="00950830" w:rsidRDefault="00950830" w:rsidP="00697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C1588"/>
    <w:multiLevelType w:val="hybridMultilevel"/>
    <w:tmpl w:val="4E5694DA"/>
    <w:lvl w:ilvl="0" w:tplc="D44A92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73AB"/>
    <w:rsid w:val="0001112E"/>
    <w:rsid w:val="000C6474"/>
    <w:rsid w:val="000E153E"/>
    <w:rsid w:val="000E52C8"/>
    <w:rsid w:val="001163F3"/>
    <w:rsid w:val="00133436"/>
    <w:rsid w:val="00164DD5"/>
    <w:rsid w:val="0017557F"/>
    <w:rsid w:val="001B0CA9"/>
    <w:rsid w:val="001B544A"/>
    <w:rsid w:val="0021043C"/>
    <w:rsid w:val="0023152B"/>
    <w:rsid w:val="00245501"/>
    <w:rsid w:val="002516ED"/>
    <w:rsid w:val="00257A38"/>
    <w:rsid w:val="00282CF9"/>
    <w:rsid w:val="002C1B8E"/>
    <w:rsid w:val="002F2390"/>
    <w:rsid w:val="0032284A"/>
    <w:rsid w:val="0037496D"/>
    <w:rsid w:val="00391669"/>
    <w:rsid w:val="003C5087"/>
    <w:rsid w:val="003D3E43"/>
    <w:rsid w:val="003F6249"/>
    <w:rsid w:val="003F71F6"/>
    <w:rsid w:val="00407A44"/>
    <w:rsid w:val="00416F4D"/>
    <w:rsid w:val="00435A90"/>
    <w:rsid w:val="00463653"/>
    <w:rsid w:val="00467067"/>
    <w:rsid w:val="00480434"/>
    <w:rsid w:val="00497377"/>
    <w:rsid w:val="004A768B"/>
    <w:rsid w:val="004B3D75"/>
    <w:rsid w:val="004D1F7F"/>
    <w:rsid w:val="004F43AA"/>
    <w:rsid w:val="004F7CE8"/>
    <w:rsid w:val="0050741D"/>
    <w:rsid w:val="00534244"/>
    <w:rsid w:val="00537CF9"/>
    <w:rsid w:val="005A5C09"/>
    <w:rsid w:val="005A70B3"/>
    <w:rsid w:val="005D6236"/>
    <w:rsid w:val="005E58DA"/>
    <w:rsid w:val="00640DCD"/>
    <w:rsid w:val="00641FFD"/>
    <w:rsid w:val="00652B13"/>
    <w:rsid w:val="006606AE"/>
    <w:rsid w:val="00675571"/>
    <w:rsid w:val="00687D9D"/>
    <w:rsid w:val="006970ED"/>
    <w:rsid w:val="006A5757"/>
    <w:rsid w:val="006B6256"/>
    <w:rsid w:val="0075116A"/>
    <w:rsid w:val="00773866"/>
    <w:rsid w:val="0079388D"/>
    <w:rsid w:val="007B3015"/>
    <w:rsid w:val="007C4360"/>
    <w:rsid w:val="007F1ABA"/>
    <w:rsid w:val="007F3D4B"/>
    <w:rsid w:val="00822F72"/>
    <w:rsid w:val="00850A83"/>
    <w:rsid w:val="00866D44"/>
    <w:rsid w:val="008B2612"/>
    <w:rsid w:val="008E1297"/>
    <w:rsid w:val="00934352"/>
    <w:rsid w:val="00950830"/>
    <w:rsid w:val="00951E32"/>
    <w:rsid w:val="00953B27"/>
    <w:rsid w:val="009D0442"/>
    <w:rsid w:val="009F7BD7"/>
    <w:rsid w:val="00A02AB9"/>
    <w:rsid w:val="00A15293"/>
    <w:rsid w:val="00A62C42"/>
    <w:rsid w:val="00AA1558"/>
    <w:rsid w:val="00AE32BC"/>
    <w:rsid w:val="00AF0D67"/>
    <w:rsid w:val="00B02802"/>
    <w:rsid w:val="00B2701E"/>
    <w:rsid w:val="00B31796"/>
    <w:rsid w:val="00B3375C"/>
    <w:rsid w:val="00B33C7E"/>
    <w:rsid w:val="00B3456E"/>
    <w:rsid w:val="00B4534A"/>
    <w:rsid w:val="00B474FF"/>
    <w:rsid w:val="00B72076"/>
    <w:rsid w:val="00B822C7"/>
    <w:rsid w:val="00B84189"/>
    <w:rsid w:val="00BE5670"/>
    <w:rsid w:val="00BF4704"/>
    <w:rsid w:val="00BF4C2B"/>
    <w:rsid w:val="00C05D75"/>
    <w:rsid w:val="00C707E1"/>
    <w:rsid w:val="00CB73AB"/>
    <w:rsid w:val="00CE5A01"/>
    <w:rsid w:val="00D233DE"/>
    <w:rsid w:val="00D33FC6"/>
    <w:rsid w:val="00D54D78"/>
    <w:rsid w:val="00DB370C"/>
    <w:rsid w:val="00DD3CDB"/>
    <w:rsid w:val="00DD5007"/>
    <w:rsid w:val="00DF0204"/>
    <w:rsid w:val="00E30E1A"/>
    <w:rsid w:val="00E35BEA"/>
    <w:rsid w:val="00E66EBF"/>
    <w:rsid w:val="00E96E5E"/>
    <w:rsid w:val="00E973DF"/>
    <w:rsid w:val="00EA052D"/>
    <w:rsid w:val="00ED3721"/>
    <w:rsid w:val="00ED7B27"/>
    <w:rsid w:val="00F661F9"/>
    <w:rsid w:val="00F87CD7"/>
    <w:rsid w:val="00F95643"/>
    <w:rsid w:val="00F962F2"/>
    <w:rsid w:val="00FD42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42"/>
    <w:pPr>
      <w:widowControl w:val="0"/>
      <w:jc w:val="both"/>
    </w:pPr>
  </w:style>
  <w:style w:type="paragraph" w:styleId="1">
    <w:name w:val="heading 1"/>
    <w:basedOn w:val="a"/>
    <w:link w:val="1Char"/>
    <w:uiPriority w:val="9"/>
    <w:qFormat/>
    <w:rsid w:val="008E129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E1297"/>
    <w:rPr>
      <w:rFonts w:ascii="宋体" w:eastAsia="宋体" w:hAnsi="宋体" w:cs="宋体"/>
      <w:b/>
      <w:bCs/>
      <w:kern w:val="36"/>
      <w:sz w:val="48"/>
      <w:szCs w:val="48"/>
    </w:rPr>
  </w:style>
  <w:style w:type="paragraph" w:styleId="a3">
    <w:name w:val="Balloon Text"/>
    <w:basedOn w:val="a"/>
    <w:link w:val="Char"/>
    <w:uiPriority w:val="99"/>
    <w:semiHidden/>
    <w:unhideWhenUsed/>
    <w:rsid w:val="00467067"/>
    <w:rPr>
      <w:sz w:val="18"/>
      <w:szCs w:val="18"/>
    </w:rPr>
  </w:style>
  <w:style w:type="character" w:customStyle="1" w:styleId="Char">
    <w:name w:val="批注框文本 Char"/>
    <w:basedOn w:val="a0"/>
    <w:link w:val="a3"/>
    <w:uiPriority w:val="99"/>
    <w:semiHidden/>
    <w:rsid w:val="00467067"/>
    <w:rPr>
      <w:sz w:val="18"/>
      <w:szCs w:val="18"/>
    </w:rPr>
  </w:style>
  <w:style w:type="paragraph" w:styleId="a4">
    <w:name w:val="Revision"/>
    <w:hidden/>
    <w:uiPriority w:val="99"/>
    <w:semiHidden/>
    <w:rsid w:val="00B84189"/>
  </w:style>
  <w:style w:type="paragraph" w:styleId="a5">
    <w:name w:val="List Paragraph"/>
    <w:basedOn w:val="a"/>
    <w:uiPriority w:val="34"/>
    <w:qFormat/>
    <w:rsid w:val="00B84189"/>
    <w:pPr>
      <w:ind w:firstLineChars="200" w:firstLine="420"/>
    </w:pPr>
  </w:style>
  <w:style w:type="paragraph" w:styleId="a6">
    <w:name w:val="Normal (Web)"/>
    <w:basedOn w:val="a"/>
    <w:uiPriority w:val="99"/>
    <w:semiHidden/>
    <w:unhideWhenUsed/>
    <w:rsid w:val="00B84189"/>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6970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970ED"/>
    <w:rPr>
      <w:sz w:val="18"/>
      <w:szCs w:val="18"/>
    </w:rPr>
  </w:style>
  <w:style w:type="paragraph" w:styleId="a8">
    <w:name w:val="footer"/>
    <w:basedOn w:val="a"/>
    <w:link w:val="Char1"/>
    <w:uiPriority w:val="99"/>
    <w:unhideWhenUsed/>
    <w:rsid w:val="006970ED"/>
    <w:pPr>
      <w:tabs>
        <w:tab w:val="center" w:pos="4153"/>
        <w:tab w:val="right" w:pos="8306"/>
      </w:tabs>
      <w:snapToGrid w:val="0"/>
      <w:jc w:val="left"/>
    </w:pPr>
    <w:rPr>
      <w:sz w:val="18"/>
      <w:szCs w:val="18"/>
    </w:rPr>
  </w:style>
  <w:style w:type="character" w:customStyle="1" w:styleId="Char1">
    <w:name w:val="页脚 Char"/>
    <w:basedOn w:val="a0"/>
    <w:link w:val="a8"/>
    <w:uiPriority w:val="99"/>
    <w:rsid w:val="006970ED"/>
    <w:rPr>
      <w:sz w:val="18"/>
      <w:szCs w:val="18"/>
    </w:rPr>
  </w:style>
  <w:style w:type="character" w:styleId="a9">
    <w:name w:val="annotation reference"/>
    <w:basedOn w:val="a0"/>
    <w:uiPriority w:val="99"/>
    <w:semiHidden/>
    <w:unhideWhenUsed/>
    <w:rsid w:val="00B72076"/>
    <w:rPr>
      <w:sz w:val="21"/>
      <w:szCs w:val="21"/>
    </w:rPr>
  </w:style>
  <w:style w:type="paragraph" w:styleId="aa">
    <w:name w:val="annotation text"/>
    <w:basedOn w:val="a"/>
    <w:link w:val="Char2"/>
    <w:uiPriority w:val="99"/>
    <w:semiHidden/>
    <w:unhideWhenUsed/>
    <w:rsid w:val="00B72076"/>
    <w:pPr>
      <w:jc w:val="left"/>
    </w:pPr>
  </w:style>
  <w:style w:type="character" w:customStyle="1" w:styleId="Char2">
    <w:name w:val="批注文字 Char"/>
    <w:basedOn w:val="a0"/>
    <w:link w:val="aa"/>
    <w:uiPriority w:val="99"/>
    <w:semiHidden/>
    <w:rsid w:val="00B72076"/>
  </w:style>
  <w:style w:type="paragraph" w:styleId="ab">
    <w:name w:val="annotation subject"/>
    <w:basedOn w:val="aa"/>
    <w:next w:val="aa"/>
    <w:link w:val="Char3"/>
    <w:uiPriority w:val="99"/>
    <w:semiHidden/>
    <w:unhideWhenUsed/>
    <w:rsid w:val="00B72076"/>
    <w:rPr>
      <w:b/>
      <w:bCs/>
    </w:rPr>
  </w:style>
  <w:style w:type="character" w:customStyle="1" w:styleId="Char3">
    <w:name w:val="批注主题 Char"/>
    <w:basedOn w:val="Char2"/>
    <w:link w:val="ab"/>
    <w:uiPriority w:val="99"/>
    <w:semiHidden/>
    <w:rsid w:val="00B72076"/>
    <w:rPr>
      <w:b/>
      <w:bCs/>
    </w:rPr>
  </w:style>
  <w:style w:type="paragraph" w:styleId="ac">
    <w:name w:val="Date"/>
    <w:basedOn w:val="a"/>
    <w:next w:val="a"/>
    <w:link w:val="Char4"/>
    <w:uiPriority w:val="99"/>
    <w:semiHidden/>
    <w:unhideWhenUsed/>
    <w:rsid w:val="005D6236"/>
    <w:pPr>
      <w:ind w:leftChars="2500" w:left="100"/>
    </w:pPr>
  </w:style>
  <w:style w:type="character" w:customStyle="1" w:styleId="Char4">
    <w:name w:val="日期 Char"/>
    <w:basedOn w:val="a0"/>
    <w:link w:val="ac"/>
    <w:uiPriority w:val="99"/>
    <w:semiHidden/>
    <w:rsid w:val="005D6236"/>
  </w:style>
</w:styles>
</file>

<file path=word/webSettings.xml><?xml version="1.0" encoding="utf-8"?>
<w:webSettings xmlns:r="http://schemas.openxmlformats.org/officeDocument/2006/relationships" xmlns:w="http://schemas.openxmlformats.org/wordprocessingml/2006/main">
  <w:divs>
    <w:div w:id="85729333">
      <w:bodyDiv w:val="1"/>
      <w:marLeft w:val="0"/>
      <w:marRight w:val="0"/>
      <w:marTop w:val="0"/>
      <w:marBottom w:val="0"/>
      <w:divBdr>
        <w:top w:val="none" w:sz="0" w:space="0" w:color="auto"/>
        <w:left w:val="none" w:sz="0" w:space="0" w:color="auto"/>
        <w:bottom w:val="none" w:sz="0" w:space="0" w:color="auto"/>
        <w:right w:val="none" w:sz="0" w:space="0" w:color="auto"/>
      </w:divBdr>
    </w:div>
    <w:div w:id="303050776">
      <w:bodyDiv w:val="1"/>
      <w:marLeft w:val="0"/>
      <w:marRight w:val="0"/>
      <w:marTop w:val="0"/>
      <w:marBottom w:val="0"/>
      <w:divBdr>
        <w:top w:val="none" w:sz="0" w:space="0" w:color="auto"/>
        <w:left w:val="none" w:sz="0" w:space="0" w:color="auto"/>
        <w:bottom w:val="none" w:sz="0" w:space="0" w:color="auto"/>
        <w:right w:val="none" w:sz="0" w:space="0" w:color="auto"/>
      </w:divBdr>
    </w:div>
    <w:div w:id="331185192">
      <w:bodyDiv w:val="1"/>
      <w:marLeft w:val="0"/>
      <w:marRight w:val="0"/>
      <w:marTop w:val="0"/>
      <w:marBottom w:val="0"/>
      <w:divBdr>
        <w:top w:val="none" w:sz="0" w:space="0" w:color="auto"/>
        <w:left w:val="none" w:sz="0" w:space="0" w:color="auto"/>
        <w:bottom w:val="none" w:sz="0" w:space="0" w:color="auto"/>
        <w:right w:val="none" w:sz="0" w:space="0" w:color="auto"/>
      </w:divBdr>
      <w:divsChild>
        <w:div w:id="1682779266">
          <w:marLeft w:val="0"/>
          <w:marRight w:val="0"/>
          <w:marTop w:val="0"/>
          <w:marBottom w:val="240"/>
          <w:divBdr>
            <w:top w:val="none" w:sz="0" w:space="0" w:color="auto"/>
            <w:left w:val="none" w:sz="0" w:space="0" w:color="auto"/>
            <w:bottom w:val="single" w:sz="6" w:space="9" w:color="ECECF7"/>
            <w:right w:val="none" w:sz="0" w:space="0" w:color="auto"/>
          </w:divBdr>
          <w:divsChild>
            <w:div w:id="1599288103">
              <w:marLeft w:val="0"/>
              <w:marRight w:val="0"/>
              <w:marTop w:val="0"/>
              <w:marBottom w:val="120"/>
              <w:divBdr>
                <w:top w:val="none" w:sz="0" w:space="0" w:color="auto"/>
                <w:left w:val="none" w:sz="0" w:space="0" w:color="auto"/>
                <w:bottom w:val="none" w:sz="0" w:space="0" w:color="auto"/>
                <w:right w:val="none" w:sz="0" w:space="0" w:color="auto"/>
              </w:divBdr>
            </w:div>
            <w:div w:id="2105031223">
              <w:marLeft w:val="0"/>
              <w:marRight w:val="0"/>
              <w:marTop w:val="150"/>
              <w:marBottom w:val="150"/>
              <w:divBdr>
                <w:top w:val="none" w:sz="0" w:space="0" w:color="auto"/>
                <w:left w:val="none" w:sz="0" w:space="0" w:color="auto"/>
                <w:bottom w:val="none" w:sz="0" w:space="0" w:color="auto"/>
                <w:right w:val="none" w:sz="0" w:space="0" w:color="auto"/>
              </w:divBdr>
            </w:div>
          </w:divsChild>
        </w:div>
        <w:div w:id="60375348">
          <w:marLeft w:val="0"/>
          <w:marRight w:val="0"/>
          <w:marTop w:val="0"/>
          <w:marBottom w:val="0"/>
          <w:divBdr>
            <w:top w:val="none" w:sz="0" w:space="0" w:color="auto"/>
            <w:left w:val="none" w:sz="0" w:space="0" w:color="auto"/>
            <w:bottom w:val="none" w:sz="0" w:space="0" w:color="auto"/>
            <w:right w:val="none" w:sz="0" w:space="0" w:color="auto"/>
          </w:divBdr>
          <w:divsChild>
            <w:div w:id="104888741">
              <w:marLeft w:val="0"/>
              <w:marRight w:val="0"/>
              <w:marTop w:val="0"/>
              <w:marBottom w:val="180"/>
              <w:divBdr>
                <w:top w:val="none" w:sz="0" w:space="0" w:color="auto"/>
                <w:left w:val="none" w:sz="0" w:space="0" w:color="auto"/>
                <w:bottom w:val="none" w:sz="0" w:space="0" w:color="auto"/>
                <w:right w:val="none" w:sz="0" w:space="0" w:color="auto"/>
              </w:divBdr>
            </w:div>
            <w:div w:id="1281377537">
              <w:marLeft w:val="0"/>
              <w:marRight w:val="0"/>
              <w:marTop w:val="0"/>
              <w:marBottom w:val="180"/>
              <w:divBdr>
                <w:top w:val="none" w:sz="0" w:space="0" w:color="auto"/>
                <w:left w:val="none" w:sz="0" w:space="0" w:color="auto"/>
                <w:bottom w:val="none" w:sz="0" w:space="0" w:color="auto"/>
                <w:right w:val="none" w:sz="0" w:space="0" w:color="auto"/>
              </w:divBdr>
            </w:div>
            <w:div w:id="1265458123">
              <w:marLeft w:val="0"/>
              <w:marRight w:val="0"/>
              <w:marTop w:val="0"/>
              <w:marBottom w:val="180"/>
              <w:divBdr>
                <w:top w:val="none" w:sz="0" w:space="0" w:color="auto"/>
                <w:left w:val="none" w:sz="0" w:space="0" w:color="auto"/>
                <w:bottom w:val="none" w:sz="0" w:space="0" w:color="auto"/>
                <w:right w:val="none" w:sz="0" w:space="0" w:color="auto"/>
              </w:divBdr>
            </w:div>
            <w:div w:id="131214724">
              <w:marLeft w:val="0"/>
              <w:marRight w:val="0"/>
              <w:marTop w:val="0"/>
              <w:marBottom w:val="0"/>
              <w:divBdr>
                <w:top w:val="none" w:sz="0" w:space="0" w:color="auto"/>
                <w:left w:val="none" w:sz="0" w:space="0" w:color="auto"/>
                <w:bottom w:val="none" w:sz="0" w:space="0" w:color="auto"/>
                <w:right w:val="none" w:sz="0" w:space="0" w:color="auto"/>
              </w:divBdr>
            </w:div>
            <w:div w:id="951131056">
              <w:marLeft w:val="0"/>
              <w:marRight w:val="0"/>
              <w:marTop w:val="0"/>
              <w:marBottom w:val="180"/>
              <w:divBdr>
                <w:top w:val="none" w:sz="0" w:space="0" w:color="auto"/>
                <w:left w:val="none" w:sz="0" w:space="0" w:color="auto"/>
                <w:bottom w:val="none" w:sz="0" w:space="0" w:color="auto"/>
                <w:right w:val="none" w:sz="0" w:space="0" w:color="auto"/>
              </w:divBdr>
            </w:div>
            <w:div w:id="895160094">
              <w:marLeft w:val="0"/>
              <w:marRight w:val="0"/>
              <w:marTop w:val="0"/>
              <w:marBottom w:val="180"/>
              <w:divBdr>
                <w:top w:val="none" w:sz="0" w:space="0" w:color="auto"/>
                <w:left w:val="none" w:sz="0" w:space="0" w:color="auto"/>
                <w:bottom w:val="none" w:sz="0" w:space="0" w:color="auto"/>
                <w:right w:val="none" w:sz="0" w:space="0" w:color="auto"/>
              </w:divBdr>
            </w:div>
            <w:div w:id="281572468">
              <w:marLeft w:val="0"/>
              <w:marRight w:val="0"/>
              <w:marTop w:val="0"/>
              <w:marBottom w:val="180"/>
              <w:divBdr>
                <w:top w:val="none" w:sz="0" w:space="0" w:color="auto"/>
                <w:left w:val="none" w:sz="0" w:space="0" w:color="auto"/>
                <w:bottom w:val="none" w:sz="0" w:space="0" w:color="auto"/>
                <w:right w:val="none" w:sz="0" w:space="0" w:color="auto"/>
              </w:divBdr>
            </w:div>
            <w:div w:id="1141187860">
              <w:marLeft w:val="0"/>
              <w:marRight w:val="0"/>
              <w:marTop w:val="0"/>
              <w:marBottom w:val="180"/>
              <w:divBdr>
                <w:top w:val="none" w:sz="0" w:space="0" w:color="auto"/>
                <w:left w:val="none" w:sz="0" w:space="0" w:color="auto"/>
                <w:bottom w:val="none" w:sz="0" w:space="0" w:color="auto"/>
                <w:right w:val="none" w:sz="0" w:space="0" w:color="auto"/>
              </w:divBdr>
            </w:div>
            <w:div w:id="2105344423">
              <w:marLeft w:val="0"/>
              <w:marRight w:val="0"/>
              <w:marTop w:val="0"/>
              <w:marBottom w:val="180"/>
              <w:divBdr>
                <w:top w:val="none" w:sz="0" w:space="0" w:color="auto"/>
                <w:left w:val="none" w:sz="0" w:space="0" w:color="auto"/>
                <w:bottom w:val="none" w:sz="0" w:space="0" w:color="auto"/>
                <w:right w:val="none" w:sz="0" w:space="0" w:color="auto"/>
              </w:divBdr>
            </w:div>
            <w:div w:id="1986467914">
              <w:marLeft w:val="0"/>
              <w:marRight w:val="0"/>
              <w:marTop w:val="0"/>
              <w:marBottom w:val="180"/>
              <w:divBdr>
                <w:top w:val="none" w:sz="0" w:space="0" w:color="auto"/>
                <w:left w:val="none" w:sz="0" w:space="0" w:color="auto"/>
                <w:bottom w:val="none" w:sz="0" w:space="0" w:color="auto"/>
                <w:right w:val="none" w:sz="0" w:space="0" w:color="auto"/>
              </w:divBdr>
            </w:div>
            <w:div w:id="1684168157">
              <w:marLeft w:val="0"/>
              <w:marRight w:val="0"/>
              <w:marTop w:val="0"/>
              <w:marBottom w:val="180"/>
              <w:divBdr>
                <w:top w:val="none" w:sz="0" w:space="0" w:color="auto"/>
                <w:left w:val="none" w:sz="0" w:space="0" w:color="auto"/>
                <w:bottom w:val="none" w:sz="0" w:space="0" w:color="auto"/>
                <w:right w:val="none" w:sz="0" w:space="0" w:color="auto"/>
              </w:divBdr>
            </w:div>
            <w:div w:id="462843874">
              <w:marLeft w:val="0"/>
              <w:marRight w:val="0"/>
              <w:marTop w:val="0"/>
              <w:marBottom w:val="180"/>
              <w:divBdr>
                <w:top w:val="none" w:sz="0" w:space="0" w:color="auto"/>
                <w:left w:val="none" w:sz="0" w:space="0" w:color="auto"/>
                <w:bottom w:val="none" w:sz="0" w:space="0" w:color="auto"/>
                <w:right w:val="none" w:sz="0" w:space="0" w:color="auto"/>
              </w:divBdr>
            </w:div>
            <w:div w:id="1450663084">
              <w:marLeft w:val="0"/>
              <w:marRight w:val="0"/>
              <w:marTop w:val="0"/>
              <w:marBottom w:val="180"/>
              <w:divBdr>
                <w:top w:val="none" w:sz="0" w:space="0" w:color="auto"/>
                <w:left w:val="none" w:sz="0" w:space="0" w:color="auto"/>
                <w:bottom w:val="none" w:sz="0" w:space="0" w:color="auto"/>
                <w:right w:val="none" w:sz="0" w:space="0" w:color="auto"/>
              </w:divBdr>
            </w:div>
            <w:div w:id="1718040592">
              <w:marLeft w:val="0"/>
              <w:marRight w:val="0"/>
              <w:marTop w:val="0"/>
              <w:marBottom w:val="180"/>
              <w:divBdr>
                <w:top w:val="none" w:sz="0" w:space="0" w:color="auto"/>
                <w:left w:val="none" w:sz="0" w:space="0" w:color="auto"/>
                <w:bottom w:val="none" w:sz="0" w:space="0" w:color="auto"/>
                <w:right w:val="none" w:sz="0" w:space="0" w:color="auto"/>
              </w:divBdr>
            </w:div>
            <w:div w:id="1735542250">
              <w:marLeft w:val="0"/>
              <w:marRight w:val="0"/>
              <w:marTop w:val="0"/>
              <w:marBottom w:val="180"/>
              <w:divBdr>
                <w:top w:val="none" w:sz="0" w:space="0" w:color="auto"/>
                <w:left w:val="none" w:sz="0" w:space="0" w:color="auto"/>
                <w:bottom w:val="none" w:sz="0" w:space="0" w:color="auto"/>
                <w:right w:val="none" w:sz="0" w:space="0" w:color="auto"/>
              </w:divBdr>
            </w:div>
            <w:div w:id="1145077546">
              <w:marLeft w:val="0"/>
              <w:marRight w:val="0"/>
              <w:marTop w:val="0"/>
              <w:marBottom w:val="180"/>
              <w:divBdr>
                <w:top w:val="none" w:sz="0" w:space="0" w:color="auto"/>
                <w:left w:val="none" w:sz="0" w:space="0" w:color="auto"/>
                <w:bottom w:val="none" w:sz="0" w:space="0" w:color="auto"/>
                <w:right w:val="none" w:sz="0" w:space="0" w:color="auto"/>
              </w:divBdr>
            </w:div>
            <w:div w:id="356854449">
              <w:marLeft w:val="0"/>
              <w:marRight w:val="0"/>
              <w:marTop w:val="0"/>
              <w:marBottom w:val="180"/>
              <w:divBdr>
                <w:top w:val="none" w:sz="0" w:space="0" w:color="auto"/>
                <w:left w:val="none" w:sz="0" w:space="0" w:color="auto"/>
                <w:bottom w:val="none" w:sz="0" w:space="0" w:color="auto"/>
                <w:right w:val="none" w:sz="0" w:space="0" w:color="auto"/>
              </w:divBdr>
            </w:div>
            <w:div w:id="491221024">
              <w:marLeft w:val="0"/>
              <w:marRight w:val="0"/>
              <w:marTop w:val="0"/>
              <w:marBottom w:val="0"/>
              <w:divBdr>
                <w:top w:val="none" w:sz="0" w:space="0" w:color="auto"/>
                <w:left w:val="none" w:sz="0" w:space="0" w:color="auto"/>
                <w:bottom w:val="none" w:sz="0" w:space="0" w:color="auto"/>
                <w:right w:val="none" w:sz="0" w:space="0" w:color="auto"/>
              </w:divBdr>
            </w:div>
            <w:div w:id="608926741">
              <w:marLeft w:val="0"/>
              <w:marRight w:val="0"/>
              <w:marTop w:val="0"/>
              <w:marBottom w:val="180"/>
              <w:divBdr>
                <w:top w:val="none" w:sz="0" w:space="0" w:color="auto"/>
                <w:left w:val="none" w:sz="0" w:space="0" w:color="auto"/>
                <w:bottom w:val="none" w:sz="0" w:space="0" w:color="auto"/>
                <w:right w:val="none" w:sz="0" w:space="0" w:color="auto"/>
              </w:divBdr>
            </w:div>
            <w:div w:id="1340041201">
              <w:marLeft w:val="0"/>
              <w:marRight w:val="0"/>
              <w:marTop w:val="0"/>
              <w:marBottom w:val="180"/>
              <w:divBdr>
                <w:top w:val="none" w:sz="0" w:space="0" w:color="auto"/>
                <w:left w:val="none" w:sz="0" w:space="0" w:color="auto"/>
                <w:bottom w:val="none" w:sz="0" w:space="0" w:color="auto"/>
                <w:right w:val="none" w:sz="0" w:space="0" w:color="auto"/>
              </w:divBdr>
            </w:div>
            <w:div w:id="913320900">
              <w:marLeft w:val="0"/>
              <w:marRight w:val="0"/>
              <w:marTop w:val="0"/>
              <w:marBottom w:val="180"/>
              <w:divBdr>
                <w:top w:val="none" w:sz="0" w:space="0" w:color="auto"/>
                <w:left w:val="none" w:sz="0" w:space="0" w:color="auto"/>
                <w:bottom w:val="none" w:sz="0" w:space="0" w:color="auto"/>
                <w:right w:val="none" w:sz="0" w:space="0" w:color="auto"/>
              </w:divBdr>
            </w:div>
            <w:div w:id="164715306">
              <w:marLeft w:val="0"/>
              <w:marRight w:val="0"/>
              <w:marTop w:val="0"/>
              <w:marBottom w:val="180"/>
              <w:divBdr>
                <w:top w:val="none" w:sz="0" w:space="0" w:color="auto"/>
                <w:left w:val="none" w:sz="0" w:space="0" w:color="auto"/>
                <w:bottom w:val="none" w:sz="0" w:space="0" w:color="auto"/>
                <w:right w:val="none" w:sz="0" w:space="0" w:color="auto"/>
              </w:divBdr>
            </w:div>
            <w:div w:id="21406864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90698370">
      <w:bodyDiv w:val="1"/>
      <w:marLeft w:val="0"/>
      <w:marRight w:val="0"/>
      <w:marTop w:val="0"/>
      <w:marBottom w:val="0"/>
      <w:divBdr>
        <w:top w:val="none" w:sz="0" w:space="0" w:color="auto"/>
        <w:left w:val="none" w:sz="0" w:space="0" w:color="auto"/>
        <w:bottom w:val="none" w:sz="0" w:space="0" w:color="auto"/>
        <w:right w:val="none" w:sz="0" w:space="0" w:color="auto"/>
      </w:divBdr>
    </w:div>
    <w:div w:id="652098412">
      <w:bodyDiv w:val="1"/>
      <w:marLeft w:val="0"/>
      <w:marRight w:val="0"/>
      <w:marTop w:val="0"/>
      <w:marBottom w:val="0"/>
      <w:divBdr>
        <w:top w:val="none" w:sz="0" w:space="0" w:color="auto"/>
        <w:left w:val="none" w:sz="0" w:space="0" w:color="auto"/>
        <w:bottom w:val="none" w:sz="0" w:space="0" w:color="auto"/>
        <w:right w:val="none" w:sz="0" w:space="0" w:color="auto"/>
      </w:divBdr>
    </w:div>
    <w:div w:id="754205811">
      <w:bodyDiv w:val="1"/>
      <w:marLeft w:val="0"/>
      <w:marRight w:val="0"/>
      <w:marTop w:val="0"/>
      <w:marBottom w:val="0"/>
      <w:divBdr>
        <w:top w:val="none" w:sz="0" w:space="0" w:color="auto"/>
        <w:left w:val="none" w:sz="0" w:space="0" w:color="auto"/>
        <w:bottom w:val="none" w:sz="0" w:space="0" w:color="auto"/>
        <w:right w:val="none" w:sz="0" w:space="0" w:color="auto"/>
      </w:divBdr>
    </w:div>
    <w:div w:id="1371609670">
      <w:bodyDiv w:val="1"/>
      <w:marLeft w:val="0"/>
      <w:marRight w:val="0"/>
      <w:marTop w:val="0"/>
      <w:marBottom w:val="0"/>
      <w:divBdr>
        <w:top w:val="none" w:sz="0" w:space="0" w:color="auto"/>
        <w:left w:val="none" w:sz="0" w:space="0" w:color="auto"/>
        <w:bottom w:val="none" w:sz="0" w:space="0" w:color="auto"/>
        <w:right w:val="none" w:sz="0" w:space="0" w:color="auto"/>
      </w:divBdr>
    </w:div>
    <w:div w:id="1377125723">
      <w:bodyDiv w:val="1"/>
      <w:marLeft w:val="0"/>
      <w:marRight w:val="0"/>
      <w:marTop w:val="0"/>
      <w:marBottom w:val="0"/>
      <w:divBdr>
        <w:top w:val="none" w:sz="0" w:space="0" w:color="auto"/>
        <w:left w:val="none" w:sz="0" w:space="0" w:color="auto"/>
        <w:bottom w:val="none" w:sz="0" w:space="0" w:color="auto"/>
        <w:right w:val="none" w:sz="0" w:space="0" w:color="auto"/>
      </w:divBdr>
    </w:div>
    <w:div w:id="1485930473">
      <w:bodyDiv w:val="1"/>
      <w:marLeft w:val="0"/>
      <w:marRight w:val="0"/>
      <w:marTop w:val="0"/>
      <w:marBottom w:val="0"/>
      <w:divBdr>
        <w:top w:val="none" w:sz="0" w:space="0" w:color="auto"/>
        <w:left w:val="none" w:sz="0" w:space="0" w:color="auto"/>
        <w:bottom w:val="none" w:sz="0" w:space="0" w:color="auto"/>
        <w:right w:val="none" w:sz="0" w:space="0" w:color="auto"/>
      </w:divBdr>
    </w:div>
    <w:div w:id="18823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715</Words>
  <Characters>4079</Characters>
  <Application>Microsoft Office Word</Application>
  <DocSecurity>4</DocSecurity>
  <Lines>33</Lines>
  <Paragraphs>9</Paragraphs>
  <ScaleCrop>false</ScaleCrop>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tianyao</dc:creator>
  <cp:keywords/>
  <dc:description/>
  <cp:lastModifiedBy>ZHONGM</cp:lastModifiedBy>
  <cp:revision>2</cp:revision>
  <dcterms:created xsi:type="dcterms:W3CDTF">2020-12-22T16:27:00Z</dcterms:created>
  <dcterms:modified xsi:type="dcterms:W3CDTF">2020-12-22T16:27:00Z</dcterms:modified>
</cp:coreProperties>
</file>