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13EB9">
      <w:pPr>
        <w:jc w:val="center"/>
        <w:rPr>
          <w:rFonts w:ascii="宋体" w:hAnsi="宋体"/>
          <w:b/>
          <w:sz w:val="48"/>
          <w:szCs w:val="48"/>
        </w:rPr>
      </w:pPr>
      <w:bookmarkStart w:id="0" w:name="t_2_0_table"/>
      <w:bookmarkEnd w:id="0"/>
      <w:r>
        <w:rPr>
          <w:rFonts w:ascii="宋体" w:hAnsi="宋体" w:hint="eastAsia"/>
          <w:b/>
          <w:sz w:val="48"/>
          <w:szCs w:val="48"/>
        </w:rPr>
        <w:t>华泰柏瑞景气回报一年持有期混合型证券投资基金开放日常转换业务公告</w:t>
      </w:r>
    </w:p>
    <w:p w:rsidR="00DF093F" w:rsidRDefault="00DF093F">
      <w:pPr>
        <w:jc w:val="center"/>
        <w:rPr>
          <w:rFonts w:ascii="宋体" w:hAnsi="宋体"/>
          <w:sz w:val="30"/>
          <w:szCs w:val="30"/>
        </w:rPr>
      </w:pPr>
    </w:p>
    <w:p w:rsidR="00DF093F" w:rsidRDefault="00DF093F">
      <w:pPr>
        <w:jc w:val="center"/>
        <w:rPr>
          <w:rFonts w:ascii="宋体" w:hAnsi="宋体"/>
          <w:sz w:val="30"/>
          <w:szCs w:val="30"/>
        </w:rPr>
      </w:pPr>
      <w:bookmarkStart w:id="1" w:name="t_2_0_0002_a2_fm1"/>
      <w:bookmarkEnd w:id="1"/>
    </w:p>
    <w:p w:rsidR="00DF093F" w:rsidRDefault="00DF093F">
      <w:pPr>
        <w:jc w:val="center"/>
        <w:rPr>
          <w:rFonts w:ascii="宋体" w:hAnsi="宋体"/>
          <w:sz w:val="30"/>
          <w:szCs w:val="30"/>
        </w:rPr>
      </w:pPr>
    </w:p>
    <w:p w:rsidR="00DF093F" w:rsidRDefault="00DF093F">
      <w:pPr>
        <w:jc w:val="center"/>
        <w:rPr>
          <w:rFonts w:ascii="宋体" w:hAnsi="宋体"/>
          <w:sz w:val="30"/>
          <w:szCs w:val="30"/>
        </w:rPr>
      </w:pPr>
    </w:p>
    <w:p w:rsidR="00DF093F" w:rsidRDefault="00DF093F">
      <w:pPr>
        <w:jc w:val="center"/>
        <w:rPr>
          <w:rFonts w:ascii="宋体" w:hAnsi="宋体"/>
          <w:sz w:val="30"/>
          <w:szCs w:val="30"/>
        </w:rPr>
      </w:pPr>
    </w:p>
    <w:p w:rsidR="00DF093F" w:rsidRDefault="00DF093F">
      <w:pPr>
        <w:jc w:val="center"/>
        <w:rPr>
          <w:rFonts w:ascii="宋体" w:hAnsi="宋体"/>
          <w:sz w:val="30"/>
          <w:szCs w:val="30"/>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F093F">
      <w:pPr>
        <w:rPr>
          <w:sz w:val="24"/>
        </w:rPr>
      </w:pPr>
    </w:p>
    <w:p w:rsidR="00DF093F" w:rsidRDefault="00D13EB9">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b/>
          <w:sz w:val="28"/>
          <w:szCs w:val="28"/>
        </w:rPr>
        <w:t>2020年</w:t>
      </w:r>
      <w:r>
        <w:rPr>
          <w:rFonts w:ascii="宋体" w:hAnsi="宋体" w:hint="eastAsia"/>
          <w:b/>
          <w:sz w:val="28"/>
          <w:szCs w:val="28"/>
        </w:rPr>
        <w:t>12</w:t>
      </w:r>
      <w:r>
        <w:rPr>
          <w:rFonts w:ascii="宋体" w:hAnsi="宋体"/>
          <w:b/>
          <w:sz w:val="28"/>
          <w:szCs w:val="28"/>
        </w:rPr>
        <w:t>月</w:t>
      </w:r>
      <w:r>
        <w:rPr>
          <w:rFonts w:ascii="宋体" w:hAnsi="宋体" w:hint="eastAsia"/>
          <w:b/>
          <w:sz w:val="28"/>
          <w:szCs w:val="28"/>
        </w:rPr>
        <w:t>23</w:t>
      </w:r>
      <w:r>
        <w:rPr>
          <w:rFonts w:ascii="宋体" w:hAnsi="宋体"/>
          <w:b/>
          <w:sz w:val="28"/>
          <w:szCs w:val="28"/>
        </w:rPr>
        <w:t>日</w:t>
      </w:r>
    </w:p>
    <w:p w:rsidR="00DF093F" w:rsidRDefault="00DF093F">
      <w:pPr>
        <w:rPr>
          <w:sz w:val="24"/>
        </w:rPr>
      </w:pPr>
    </w:p>
    <w:p w:rsidR="00DF093F" w:rsidRDefault="00DF093F">
      <w:pPr>
        <w:rPr>
          <w:sz w:val="24"/>
        </w:rPr>
      </w:pPr>
    </w:p>
    <w:p w:rsidR="00DF093F" w:rsidRDefault="00DF093F">
      <w:pPr>
        <w:rPr>
          <w:sz w:val="24"/>
        </w:rPr>
      </w:pPr>
    </w:p>
    <w:p w:rsidR="00DF093F" w:rsidRDefault="00DF093F"/>
    <w:p w:rsidR="00DF093F" w:rsidRDefault="00D13EB9" w:rsidP="00251CBA">
      <w:pPr>
        <w:pStyle w:val="2"/>
        <w:numPr>
          <w:ilvl w:val="0"/>
          <w:numId w:val="1"/>
        </w:numPr>
        <w:spacing w:beforeLines="50" w:afterLines="50" w:line="240" w:lineRule="auto"/>
        <w:rPr>
          <w:rFonts w:ascii="宋体" w:eastAsia="宋体" w:hAnsi="宋体"/>
          <w:bCs/>
          <w:sz w:val="24"/>
          <w:szCs w:val="24"/>
        </w:rPr>
        <w:pPrChange w:id="3" w:author="ZHONGM" w:date="2020-12-23T00:23:00Z">
          <w:pPr>
            <w:pStyle w:val="2"/>
            <w:numPr>
              <w:numId w:val="1"/>
            </w:numPr>
            <w:spacing w:beforeLines="50" w:afterLines="50" w:line="240" w:lineRule="auto"/>
            <w:ind w:left="420" w:hanging="420"/>
          </w:pPr>
        </w:pPrChange>
      </w:pPr>
      <w:bookmarkStart w:id="4" w:name="t_2_1_table"/>
      <w:bookmarkStart w:id="5" w:name="m01"/>
      <w:bookmarkEnd w:id="4"/>
      <w:r>
        <w:rPr>
          <w:rFonts w:ascii="宋体" w:eastAsia="宋体" w:hAnsi="宋体" w:hint="eastAsia"/>
          <w:bCs/>
          <w:sz w:val="24"/>
          <w:szCs w:val="24"/>
        </w:rPr>
        <w:lastRenderedPageBreak/>
        <w:t>公告基本信息</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3205"/>
        <w:gridCol w:w="3205"/>
      </w:tblGrid>
      <w:tr w:rsidR="00DF093F">
        <w:tc>
          <w:tcPr>
            <w:tcW w:w="2410" w:type="dxa"/>
          </w:tcPr>
          <w:p w:rsidR="00DF093F" w:rsidRDefault="00D13EB9">
            <w:pPr>
              <w:rPr>
                <w:rFonts w:ascii="宋体" w:hAnsi="宋体"/>
                <w:szCs w:val="21"/>
              </w:rPr>
            </w:pPr>
            <w:bookmarkStart w:id="6" w:name="m01_tab"/>
            <w:r>
              <w:rPr>
                <w:rFonts w:ascii="宋体" w:hAnsi="宋体" w:hint="eastAsia"/>
                <w:szCs w:val="21"/>
              </w:rPr>
              <w:t>基金名称</w:t>
            </w:r>
          </w:p>
        </w:tc>
        <w:tc>
          <w:tcPr>
            <w:tcW w:w="6410" w:type="dxa"/>
            <w:gridSpan w:val="2"/>
          </w:tcPr>
          <w:p w:rsidR="00DF093F" w:rsidRDefault="00D13EB9">
            <w:pPr>
              <w:rPr>
                <w:rFonts w:ascii="宋体" w:hAnsi="宋体"/>
                <w:szCs w:val="21"/>
              </w:rPr>
            </w:pPr>
            <w:bookmarkStart w:id="7" w:name="t_2_1_0009_a1_fm1"/>
            <w:bookmarkEnd w:id="7"/>
            <w:r>
              <w:rPr>
                <w:rFonts w:ascii="宋体" w:hAnsi="宋体" w:hint="eastAsia"/>
                <w:szCs w:val="21"/>
              </w:rPr>
              <w:t>华泰柏瑞景气回报一年持有期混合型证券投资基金</w:t>
            </w:r>
          </w:p>
        </w:tc>
      </w:tr>
      <w:tr w:rsidR="00DF093F">
        <w:tc>
          <w:tcPr>
            <w:tcW w:w="2410" w:type="dxa"/>
          </w:tcPr>
          <w:p w:rsidR="00DF093F" w:rsidRDefault="00D13EB9">
            <w:pPr>
              <w:rPr>
                <w:rFonts w:ascii="宋体" w:hAnsi="宋体"/>
                <w:szCs w:val="21"/>
              </w:rPr>
            </w:pPr>
            <w:r>
              <w:rPr>
                <w:rFonts w:ascii="宋体" w:hAnsi="宋体" w:hint="eastAsia"/>
                <w:szCs w:val="21"/>
              </w:rPr>
              <w:t>基金简称</w:t>
            </w:r>
          </w:p>
        </w:tc>
        <w:tc>
          <w:tcPr>
            <w:tcW w:w="6410" w:type="dxa"/>
            <w:gridSpan w:val="2"/>
          </w:tcPr>
          <w:p w:rsidR="00DF093F" w:rsidRDefault="00D13EB9">
            <w:pPr>
              <w:rPr>
                <w:rFonts w:ascii="宋体" w:hAnsi="宋体"/>
                <w:szCs w:val="21"/>
              </w:rPr>
            </w:pPr>
            <w:bookmarkStart w:id="8" w:name="t_2_1_0011_a1_fm1"/>
            <w:bookmarkEnd w:id="8"/>
            <w:r>
              <w:t>华泰柏瑞景气回报一年持有期混合</w:t>
            </w:r>
          </w:p>
        </w:tc>
      </w:tr>
      <w:tr w:rsidR="00DF093F">
        <w:tc>
          <w:tcPr>
            <w:tcW w:w="2410" w:type="dxa"/>
          </w:tcPr>
          <w:p w:rsidR="00DF093F" w:rsidRDefault="00D13EB9">
            <w:pPr>
              <w:rPr>
                <w:rFonts w:ascii="宋体" w:hAnsi="宋体"/>
                <w:szCs w:val="21"/>
              </w:rPr>
            </w:pPr>
            <w:r>
              <w:rPr>
                <w:rFonts w:ascii="宋体" w:hAnsi="宋体" w:hint="eastAsia"/>
                <w:szCs w:val="21"/>
              </w:rPr>
              <w:t>基金主代码</w:t>
            </w:r>
          </w:p>
        </w:tc>
        <w:tc>
          <w:tcPr>
            <w:tcW w:w="6410" w:type="dxa"/>
            <w:gridSpan w:val="2"/>
          </w:tcPr>
          <w:p w:rsidR="00DF093F" w:rsidRDefault="00D13EB9">
            <w:pPr>
              <w:rPr>
                <w:rFonts w:ascii="宋体" w:hAnsi="宋体"/>
                <w:szCs w:val="21"/>
              </w:rPr>
            </w:pPr>
            <w:bookmarkStart w:id="9" w:name="t_2_1_0012_a1_fm1"/>
            <w:bookmarkEnd w:id="9"/>
            <w:r>
              <w:rPr>
                <w:rFonts w:ascii="宋体" w:hAnsi="宋体" w:hint="eastAsia"/>
                <w:szCs w:val="21"/>
              </w:rPr>
              <w:t>008373</w:t>
            </w:r>
          </w:p>
        </w:tc>
      </w:tr>
      <w:tr w:rsidR="00DF093F">
        <w:tc>
          <w:tcPr>
            <w:tcW w:w="2410" w:type="dxa"/>
          </w:tcPr>
          <w:p w:rsidR="00DF093F" w:rsidRDefault="00D13EB9">
            <w:pPr>
              <w:rPr>
                <w:rFonts w:ascii="宋体" w:hAnsi="宋体"/>
                <w:szCs w:val="21"/>
              </w:rPr>
            </w:pPr>
            <w:r>
              <w:rPr>
                <w:rFonts w:ascii="宋体" w:hAnsi="宋体" w:hint="eastAsia"/>
                <w:szCs w:val="21"/>
              </w:rPr>
              <w:t>基金运作方式</w:t>
            </w:r>
          </w:p>
        </w:tc>
        <w:tc>
          <w:tcPr>
            <w:tcW w:w="6410" w:type="dxa"/>
            <w:gridSpan w:val="2"/>
          </w:tcPr>
          <w:p w:rsidR="00DF093F" w:rsidRDefault="00D13EB9">
            <w:pPr>
              <w:rPr>
                <w:rFonts w:ascii="宋体" w:hAnsi="宋体"/>
                <w:szCs w:val="21"/>
              </w:rPr>
            </w:pPr>
            <w:bookmarkStart w:id="10" w:name="t_2_1_0017_a1_fm1"/>
            <w:bookmarkEnd w:id="10"/>
            <w:r>
              <w:rPr>
                <w:rFonts w:ascii="宋体" w:hAnsi="宋体" w:hint="eastAsia"/>
                <w:szCs w:val="21"/>
              </w:rPr>
              <w:t>契约型开放式</w:t>
            </w:r>
          </w:p>
        </w:tc>
      </w:tr>
      <w:tr w:rsidR="00DF093F">
        <w:tc>
          <w:tcPr>
            <w:tcW w:w="2410" w:type="dxa"/>
          </w:tcPr>
          <w:p w:rsidR="00DF093F" w:rsidRDefault="00D13EB9">
            <w:pPr>
              <w:rPr>
                <w:rFonts w:ascii="宋体" w:hAnsi="宋体"/>
                <w:szCs w:val="21"/>
              </w:rPr>
            </w:pPr>
            <w:r>
              <w:rPr>
                <w:rFonts w:ascii="宋体" w:hAnsi="宋体" w:hint="eastAsia"/>
                <w:szCs w:val="21"/>
              </w:rPr>
              <w:t>基金合同生效日</w:t>
            </w:r>
          </w:p>
        </w:tc>
        <w:tc>
          <w:tcPr>
            <w:tcW w:w="6410" w:type="dxa"/>
            <w:gridSpan w:val="2"/>
          </w:tcPr>
          <w:p w:rsidR="00DF093F" w:rsidRDefault="00D13EB9">
            <w:pPr>
              <w:rPr>
                <w:rFonts w:ascii="宋体" w:hAnsi="宋体"/>
                <w:szCs w:val="21"/>
              </w:rPr>
            </w:pPr>
            <w:bookmarkStart w:id="11" w:name="t_2_1_0018_a1_fm1"/>
            <w:bookmarkEnd w:id="11"/>
            <w:r>
              <w:rPr>
                <w:rFonts w:ascii="宋体" w:hAnsi="宋体"/>
                <w:szCs w:val="21"/>
              </w:rPr>
              <w:t>20</w:t>
            </w:r>
            <w:r>
              <w:rPr>
                <w:rFonts w:ascii="宋体" w:hAnsi="宋体" w:hint="eastAsia"/>
                <w:szCs w:val="21"/>
              </w:rPr>
              <w:t>19</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18</w:t>
            </w:r>
            <w:r>
              <w:rPr>
                <w:rFonts w:ascii="宋体" w:hAnsi="宋体"/>
                <w:szCs w:val="21"/>
              </w:rPr>
              <w:t>日</w:t>
            </w:r>
          </w:p>
        </w:tc>
      </w:tr>
      <w:tr w:rsidR="00DF093F">
        <w:tc>
          <w:tcPr>
            <w:tcW w:w="2410" w:type="dxa"/>
          </w:tcPr>
          <w:p w:rsidR="00DF093F" w:rsidRDefault="00D13EB9">
            <w:pPr>
              <w:rPr>
                <w:rFonts w:ascii="宋体" w:hAnsi="宋体"/>
                <w:szCs w:val="21"/>
              </w:rPr>
            </w:pPr>
            <w:r>
              <w:rPr>
                <w:rFonts w:ascii="宋体" w:hAnsi="宋体" w:hint="eastAsia"/>
                <w:szCs w:val="21"/>
              </w:rPr>
              <w:t>基金管理人名称</w:t>
            </w:r>
          </w:p>
        </w:tc>
        <w:tc>
          <w:tcPr>
            <w:tcW w:w="6410" w:type="dxa"/>
            <w:gridSpan w:val="2"/>
          </w:tcPr>
          <w:p w:rsidR="00DF093F" w:rsidRDefault="00D13EB9">
            <w:pPr>
              <w:rPr>
                <w:rFonts w:ascii="宋体" w:hAnsi="宋体"/>
                <w:szCs w:val="21"/>
              </w:rPr>
            </w:pPr>
            <w:bookmarkStart w:id="12" w:name="t_2_1_0186_a1_fm1"/>
            <w:bookmarkEnd w:id="12"/>
            <w:r>
              <w:rPr>
                <w:rFonts w:ascii="宋体" w:hAnsi="宋体" w:hint="eastAsia"/>
                <w:szCs w:val="21"/>
              </w:rPr>
              <w:t>华泰柏瑞基金管理有限公司</w:t>
            </w:r>
          </w:p>
        </w:tc>
      </w:tr>
      <w:tr w:rsidR="00DF093F">
        <w:tc>
          <w:tcPr>
            <w:tcW w:w="2410" w:type="dxa"/>
          </w:tcPr>
          <w:p w:rsidR="00DF093F" w:rsidRDefault="00D13EB9">
            <w:pPr>
              <w:rPr>
                <w:rFonts w:ascii="宋体" w:hAnsi="宋体"/>
                <w:szCs w:val="21"/>
              </w:rPr>
            </w:pPr>
            <w:r>
              <w:rPr>
                <w:rFonts w:ascii="宋体" w:hAnsi="宋体" w:hint="eastAsia"/>
                <w:szCs w:val="21"/>
              </w:rPr>
              <w:t>基金托管人名称</w:t>
            </w:r>
          </w:p>
        </w:tc>
        <w:tc>
          <w:tcPr>
            <w:tcW w:w="6410" w:type="dxa"/>
            <w:gridSpan w:val="2"/>
          </w:tcPr>
          <w:p w:rsidR="00DF093F" w:rsidRDefault="00D13EB9">
            <w:pPr>
              <w:rPr>
                <w:rFonts w:ascii="宋体" w:hAnsi="宋体"/>
                <w:szCs w:val="21"/>
              </w:rPr>
            </w:pPr>
            <w:bookmarkStart w:id="13" w:name="t_2_1_0213_a1_fm1"/>
            <w:bookmarkEnd w:id="13"/>
            <w:r>
              <w:rPr>
                <w:rFonts w:ascii="宋体" w:hAnsi="宋体" w:hint="eastAsia"/>
                <w:szCs w:val="21"/>
              </w:rPr>
              <w:t>中国银行股份有限公司</w:t>
            </w:r>
          </w:p>
        </w:tc>
      </w:tr>
      <w:tr w:rsidR="00DF093F">
        <w:tc>
          <w:tcPr>
            <w:tcW w:w="2410" w:type="dxa"/>
          </w:tcPr>
          <w:p w:rsidR="00DF093F" w:rsidRDefault="00D13EB9">
            <w:pPr>
              <w:rPr>
                <w:rFonts w:ascii="宋体" w:hAnsi="宋体"/>
                <w:szCs w:val="21"/>
              </w:rPr>
            </w:pPr>
            <w:r>
              <w:rPr>
                <w:rFonts w:ascii="宋体" w:hAnsi="宋体" w:hint="eastAsia"/>
                <w:szCs w:val="21"/>
              </w:rPr>
              <w:t>基金注册登记机构名称</w:t>
            </w:r>
          </w:p>
        </w:tc>
        <w:tc>
          <w:tcPr>
            <w:tcW w:w="6410" w:type="dxa"/>
            <w:gridSpan w:val="2"/>
          </w:tcPr>
          <w:p w:rsidR="00DF093F" w:rsidRDefault="00D13EB9">
            <w:pPr>
              <w:rPr>
                <w:rFonts w:ascii="宋体" w:hAnsi="宋体"/>
                <w:szCs w:val="21"/>
              </w:rPr>
            </w:pPr>
            <w:bookmarkStart w:id="14" w:name="t_2_1_0310_a1_fm1"/>
            <w:bookmarkEnd w:id="14"/>
            <w:r>
              <w:rPr>
                <w:rFonts w:ascii="宋体" w:hAnsi="宋体" w:hint="eastAsia"/>
                <w:szCs w:val="21"/>
              </w:rPr>
              <w:t>华泰柏瑞基金管理有限公司</w:t>
            </w:r>
          </w:p>
        </w:tc>
      </w:tr>
      <w:tr w:rsidR="00DF093F">
        <w:tc>
          <w:tcPr>
            <w:tcW w:w="2410" w:type="dxa"/>
          </w:tcPr>
          <w:p w:rsidR="00DF093F" w:rsidRDefault="00D13EB9">
            <w:pPr>
              <w:rPr>
                <w:rFonts w:ascii="宋体" w:hAnsi="宋体"/>
                <w:szCs w:val="21"/>
              </w:rPr>
            </w:pPr>
            <w:r>
              <w:rPr>
                <w:rFonts w:ascii="宋体" w:hAnsi="宋体" w:hint="eastAsia"/>
                <w:szCs w:val="21"/>
              </w:rPr>
              <w:t>公告依据</w:t>
            </w:r>
          </w:p>
        </w:tc>
        <w:tc>
          <w:tcPr>
            <w:tcW w:w="6410" w:type="dxa"/>
            <w:gridSpan w:val="2"/>
          </w:tcPr>
          <w:p w:rsidR="00DF093F" w:rsidRDefault="00D13EB9">
            <w:pPr>
              <w:rPr>
                <w:rFonts w:ascii="宋体" w:hAnsi="宋体"/>
                <w:szCs w:val="21"/>
              </w:rPr>
            </w:pPr>
            <w:bookmarkStart w:id="15" w:name="t_2_1_2631_a1_fm1"/>
            <w:bookmarkEnd w:id="15"/>
            <w:r>
              <w:rPr>
                <w:rFonts w:ascii="宋体" w:hAnsi="宋体" w:hint="eastAsia"/>
                <w:szCs w:val="21"/>
              </w:rPr>
              <w:t>《中华人民共和国证券投资基金法》及其配套法规、《华泰柏瑞景气回报一年持有期混合型证券投资基金基金合同》、《华泰柏瑞景气回报一年持有期混合型证券投资基金招募说明书》</w:t>
            </w:r>
          </w:p>
        </w:tc>
      </w:tr>
      <w:tr w:rsidR="00DF093F">
        <w:tc>
          <w:tcPr>
            <w:tcW w:w="2410" w:type="dxa"/>
          </w:tcPr>
          <w:p w:rsidR="00DF093F" w:rsidRDefault="00D13EB9">
            <w:pPr>
              <w:rPr>
                <w:rFonts w:ascii="宋体" w:hAnsi="宋体"/>
                <w:szCs w:val="21"/>
              </w:rPr>
            </w:pPr>
            <w:r>
              <w:rPr>
                <w:rFonts w:ascii="宋体" w:hAnsi="宋体" w:hint="eastAsia"/>
                <w:szCs w:val="21"/>
              </w:rPr>
              <w:t>转换转入起始日</w:t>
            </w:r>
          </w:p>
        </w:tc>
        <w:tc>
          <w:tcPr>
            <w:tcW w:w="6410" w:type="dxa"/>
            <w:gridSpan w:val="2"/>
          </w:tcPr>
          <w:p w:rsidR="00DF093F" w:rsidRDefault="00D13EB9">
            <w:pPr>
              <w:rPr>
                <w:rFonts w:ascii="宋体" w:hAnsi="宋体"/>
                <w:szCs w:val="21"/>
              </w:rPr>
            </w:pPr>
            <w:bookmarkStart w:id="16" w:name="t_2_1_2793_a1_fm1"/>
            <w:bookmarkEnd w:id="16"/>
            <w:r>
              <w:rPr>
                <w:rFonts w:ascii="宋体" w:hAnsi="宋体"/>
                <w:szCs w:val="21"/>
              </w:rPr>
              <w:t>2020年</w:t>
            </w:r>
            <w:r>
              <w:rPr>
                <w:rFonts w:ascii="宋体" w:hAnsi="宋体" w:hint="eastAsia"/>
                <w:szCs w:val="21"/>
              </w:rPr>
              <w:t>12</w:t>
            </w:r>
            <w:r>
              <w:rPr>
                <w:rFonts w:ascii="宋体" w:hAnsi="宋体"/>
                <w:szCs w:val="21"/>
              </w:rPr>
              <w:t>月</w:t>
            </w:r>
            <w:r>
              <w:rPr>
                <w:rFonts w:ascii="宋体" w:hAnsi="宋体" w:hint="eastAsia"/>
                <w:szCs w:val="21"/>
              </w:rPr>
              <w:t>23</w:t>
            </w:r>
            <w:r>
              <w:rPr>
                <w:rFonts w:ascii="宋体" w:hAnsi="宋体"/>
                <w:szCs w:val="21"/>
              </w:rPr>
              <w:t>日</w:t>
            </w:r>
          </w:p>
        </w:tc>
      </w:tr>
      <w:tr w:rsidR="00DF093F">
        <w:tc>
          <w:tcPr>
            <w:tcW w:w="2410" w:type="dxa"/>
          </w:tcPr>
          <w:p w:rsidR="00DF093F" w:rsidRDefault="00D13EB9">
            <w:pPr>
              <w:rPr>
                <w:rFonts w:ascii="宋体" w:hAnsi="宋体"/>
                <w:szCs w:val="21"/>
              </w:rPr>
            </w:pPr>
            <w:r>
              <w:rPr>
                <w:rFonts w:ascii="宋体" w:hAnsi="宋体" w:hint="eastAsia"/>
                <w:szCs w:val="21"/>
              </w:rPr>
              <w:t>转换转出起始日</w:t>
            </w:r>
          </w:p>
        </w:tc>
        <w:tc>
          <w:tcPr>
            <w:tcW w:w="6410" w:type="dxa"/>
            <w:gridSpan w:val="2"/>
          </w:tcPr>
          <w:p w:rsidR="00DF093F" w:rsidRDefault="00D13EB9">
            <w:pPr>
              <w:rPr>
                <w:rFonts w:ascii="宋体" w:hAnsi="宋体"/>
                <w:szCs w:val="21"/>
              </w:rPr>
            </w:pPr>
            <w:bookmarkStart w:id="17" w:name="t_2_1_2794_a1_fm1"/>
            <w:bookmarkEnd w:id="17"/>
            <w:r>
              <w:rPr>
                <w:rFonts w:ascii="宋体" w:hAnsi="宋体"/>
                <w:szCs w:val="21"/>
              </w:rPr>
              <w:t>2020年</w:t>
            </w:r>
            <w:r>
              <w:rPr>
                <w:rFonts w:ascii="宋体" w:hAnsi="宋体" w:hint="eastAsia"/>
                <w:szCs w:val="21"/>
              </w:rPr>
              <w:t>12</w:t>
            </w:r>
            <w:r>
              <w:rPr>
                <w:rFonts w:ascii="宋体" w:hAnsi="宋体"/>
                <w:szCs w:val="21"/>
              </w:rPr>
              <w:t>月</w:t>
            </w:r>
            <w:r>
              <w:rPr>
                <w:rFonts w:ascii="宋体" w:hAnsi="宋体" w:hint="eastAsia"/>
                <w:szCs w:val="21"/>
              </w:rPr>
              <w:t>23</w:t>
            </w:r>
            <w:r>
              <w:rPr>
                <w:rFonts w:ascii="宋体" w:hAnsi="宋体"/>
                <w:szCs w:val="21"/>
              </w:rPr>
              <w:t>日</w:t>
            </w:r>
          </w:p>
        </w:tc>
      </w:tr>
      <w:tr w:rsidR="00DF093F">
        <w:tc>
          <w:tcPr>
            <w:tcW w:w="2410" w:type="dxa"/>
          </w:tcPr>
          <w:p w:rsidR="00DF093F" w:rsidRDefault="00D13EB9">
            <w:pPr>
              <w:rPr>
                <w:rFonts w:ascii="宋体" w:hAnsi="宋体"/>
                <w:szCs w:val="21"/>
              </w:rPr>
            </w:pPr>
            <w:r>
              <w:rPr>
                <w:rFonts w:ascii="宋体" w:hAnsi="宋体" w:hint="eastAsia"/>
                <w:szCs w:val="21"/>
              </w:rPr>
              <w:t>下属分级基金的基金简称</w:t>
            </w:r>
          </w:p>
        </w:tc>
        <w:tc>
          <w:tcPr>
            <w:tcW w:w="3205" w:type="dxa"/>
          </w:tcPr>
          <w:p w:rsidR="00DF093F" w:rsidRDefault="00D13EB9">
            <w:pPr>
              <w:rPr>
                <w:rFonts w:ascii="宋体" w:hAnsi="宋体"/>
                <w:szCs w:val="21"/>
              </w:rPr>
            </w:pPr>
            <w:r>
              <w:t>华泰柏瑞景气回报一年持有期混合</w:t>
            </w:r>
            <w:r>
              <w:t>A</w:t>
            </w:r>
          </w:p>
        </w:tc>
        <w:tc>
          <w:tcPr>
            <w:tcW w:w="3205" w:type="dxa"/>
          </w:tcPr>
          <w:p w:rsidR="00DF093F" w:rsidRDefault="00D13EB9">
            <w:pPr>
              <w:rPr>
                <w:rFonts w:ascii="宋体" w:hAnsi="宋体"/>
                <w:szCs w:val="21"/>
              </w:rPr>
            </w:pPr>
            <w:r>
              <w:t>华泰柏瑞景气回报一年持有期混合</w:t>
            </w:r>
            <w:r>
              <w:rPr>
                <w:rFonts w:hint="eastAsia"/>
              </w:rPr>
              <w:t>C</w:t>
            </w:r>
          </w:p>
        </w:tc>
      </w:tr>
      <w:tr w:rsidR="00DF093F">
        <w:tc>
          <w:tcPr>
            <w:tcW w:w="2410" w:type="dxa"/>
          </w:tcPr>
          <w:p w:rsidR="00DF093F" w:rsidRDefault="00D13EB9">
            <w:pPr>
              <w:rPr>
                <w:rFonts w:ascii="宋体" w:hAnsi="宋体"/>
                <w:szCs w:val="21"/>
              </w:rPr>
            </w:pPr>
            <w:r>
              <w:rPr>
                <w:rFonts w:ascii="宋体" w:hAnsi="宋体" w:hint="eastAsia"/>
                <w:szCs w:val="21"/>
              </w:rPr>
              <w:t>下属分级基金的交易代码</w:t>
            </w:r>
          </w:p>
        </w:tc>
        <w:tc>
          <w:tcPr>
            <w:tcW w:w="3205" w:type="dxa"/>
          </w:tcPr>
          <w:p w:rsidR="00DF093F" w:rsidRDefault="00D13EB9">
            <w:pPr>
              <w:rPr>
                <w:rFonts w:ascii="宋体" w:hAnsi="宋体"/>
                <w:szCs w:val="21"/>
              </w:rPr>
            </w:pPr>
            <w:r>
              <w:rPr>
                <w:rFonts w:ascii="宋体" w:hAnsi="宋体" w:hint="eastAsia"/>
                <w:szCs w:val="21"/>
              </w:rPr>
              <w:t>008373</w:t>
            </w:r>
          </w:p>
        </w:tc>
        <w:tc>
          <w:tcPr>
            <w:tcW w:w="3205" w:type="dxa"/>
          </w:tcPr>
          <w:p w:rsidR="00DF093F" w:rsidRDefault="00D13EB9">
            <w:pPr>
              <w:rPr>
                <w:rFonts w:ascii="宋体" w:hAnsi="宋体"/>
                <w:szCs w:val="21"/>
              </w:rPr>
            </w:pPr>
            <w:r>
              <w:rPr>
                <w:rFonts w:ascii="宋体" w:hAnsi="宋体" w:hint="eastAsia"/>
                <w:szCs w:val="21"/>
              </w:rPr>
              <w:t>008374</w:t>
            </w:r>
          </w:p>
        </w:tc>
      </w:tr>
      <w:tr w:rsidR="00DF093F">
        <w:tc>
          <w:tcPr>
            <w:tcW w:w="2410" w:type="dxa"/>
          </w:tcPr>
          <w:p w:rsidR="00DF093F" w:rsidRDefault="00D13EB9">
            <w:pPr>
              <w:rPr>
                <w:rFonts w:ascii="宋体" w:hAnsi="宋体"/>
                <w:szCs w:val="21"/>
              </w:rPr>
            </w:pPr>
            <w:r>
              <w:rPr>
                <w:rFonts w:ascii="宋体" w:hAnsi="宋体" w:hint="eastAsia"/>
                <w:szCs w:val="21"/>
              </w:rPr>
              <w:t>该分级基金是否开放日</w:t>
            </w:r>
          </w:p>
          <w:p w:rsidR="00DF093F" w:rsidRDefault="00D13EB9">
            <w:pPr>
              <w:rPr>
                <w:rFonts w:ascii="宋体" w:hAnsi="宋体"/>
                <w:szCs w:val="21"/>
              </w:rPr>
            </w:pPr>
            <w:r>
              <w:rPr>
                <w:rFonts w:ascii="宋体" w:hAnsi="宋体" w:hint="eastAsia"/>
                <w:szCs w:val="21"/>
              </w:rPr>
              <w:t>常转换业务</w:t>
            </w:r>
          </w:p>
        </w:tc>
        <w:tc>
          <w:tcPr>
            <w:tcW w:w="3205" w:type="dxa"/>
          </w:tcPr>
          <w:p w:rsidR="00DF093F" w:rsidRDefault="00D13EB9">
            <w:pPr>
              <w:rPr>
                <w:rFonts w:ascii="宋体" w:hAnsi="宋体"/>
                <w:szCs w:val="21"/>
              </w:rPr>
            </w:pPr>
            <w:r>
              <w:rPr>
                <w:rFonts w:ascii="宋体" w:hAnsi="宋体" w:hint="eastAsia"/>
                <w:szCs w:val="21"/>
              </w:rPr>
              <w:t>是</w:t>
            </w:r>
          </w:p>
        </w:tc>
        <w:tc>
          <w:tcPr>
            <w:tcW w:w="3205" w:type="dxa"/>
          </w:tcPr>
          <w:p w:rsidR="00DF093F" w:rsidRDefault="00D13EB9">
            <w:pPr>
              <w:rPr>
                <w:rFonts w:ascii="宋体" w:hAnsi="宋体"/>
                <w:szCs w:val="21"/>
              </w:rPr>
            </w:pPr>
            <w:r>
              <w:rPr>
                <w:rFonts w:ascii="宋体" w:hAnsi="宋体" w:hint="eastAsia"/>
                <w:szCs w:val="21"/>
              </w:rPr>
              <w:t>是</w:t>
            </w:r>
          </w:p>
        </w:tc>
      </w:tr>
      <w:bookmarkEnd w:id="6"/>
    </w:tbl>
    <w:p w:rsidR="00DF093F" w:rsidRDefault="00DF093F">
      <w:pPr>
        <w:spacing w:line="360" w:lineRule="auto"/>
        <w:jc w:val="left"/>
        <w:rPr>
          <w:rFonts w:ascii="宋体" w:hAnsi="宋体"/>
          <w:color w:val="0000FF"/>
          <w:kern w:val="0"/>
          <w:szCs w:val="21"/>
        </w:rPr>
      </w:pPr>
    </w:p>
    <w:bookmarkEnd w:id="5"/>
    <w:p w:rsidR="00DF093F" w:rsidRDefault="00DF093F">
      <w:pPr>
        <w:rPr>
          <w:rFonts w:ascii="宋体" w:hAnsi="宋体"/>
          <w:color w:val="0000FF"/>
          <w:kern w:val="0"/>
          <w:sz w:val="18"/>
        </w:rPr>
      </w:pPr>
    </w:p>
    <w:p w:rsidR="00DF093F" w:rsidRDefault="00D13EB9" w:rsidP="00251CBA">
      <w:pPr>
        <w:pStyle w:val="2"/>
        <w:numPr>
          <w:ilvl w:val="0"/>
          <w:numId w:val="1"/>
        </w:numPr>
        <w:spacing w:beforeLines="50" w:afterLines="50" w:line="240" w:lineRule="auto"/>
        <w:jc w:val="left"/>
        <w:rPr>
          <w:rFonts w:ascii="宋体" w:eastAsia="宋体" w:hAnsi="宋体"/>
          <w:bCs/>
          <w:sz w:val="24"/>
          <w:szCs w:val="24"/>
        </w:rPr>
        <w:pPrChange w:id="18" w:author="ZHONGM" w:date="2020-12-23T00:23:00Z">
          <w:pPr>
            <w:pStyle w:val="2"/>
            <w:numPr>
              <w:numId w:val="1"/>
            </w:numPr>
            <w:spacing w:beforeLines="50" w:afterLines="50" w:line="240" w:lineRule="auto"/>
            <w:ind w:left="420" w:hanging="420"/>
            <w:jc w:val="left"/>
          </w:pPr>
        </w:pPrChange>
      </w:pPr>
      <w:bookmarkStart w:id="19" w:name="t_2_2_table"/>
      <w:bookmarkEnd w:id="19"/>
      <w:r>
        <w:rPr>
          <w:rFonts w:ascii="宋体" w:eastAsia="宋体" w:hAnsi="宋体" w:hint="eastAsia"/>
          <w:bCs/>
          <w:sz w:val="24"/>
          <w:szCs w:val="24"/>
        </w:rPr>
        <w:t>日常转换业务的办理时间</w:t>
      </w:r>
    </w:p>
    <w:p w:rsidR="00DF093F" w:rsidRDefault="00D13EB9">
      <w:pPr>
        <w:spacing w:line="360" w:lineRule="auto"/>
        <w:ind w:firstLineChars="200" w:firstLine="420"/>
        <w:rPr>
          <w:rFonts w:ascii="宋体" w:hAnsi="宋体"/>
          <w:szCs w:val="21"/>
        </w:rPr>
      </w:pPr>
      <w:bookmarkStart w:id="20" w:name="t_2_2_2819_a1_fm1"/>
      <w:bookmarkEnd w:id="20"/>
      <w:r>
        <w:rPr>
          <w:rFonts w:ascii="宋体" w:hAnsi="宋体" w:hint="eastAsia"/>
          <w:szCs w:val="21"/>
        </w:rPr>
        <w:t>本基金自</w:t>
      </w:r>
      <w:r>
        <w:rPr>
          <w:rFonts w:ascii="宋体" w:hAnsi="宋体"/>
          <w:szCs w:val="21"/>
        </w:rPr>
        <w:t>2020年</w:t>
      </w:r>
      <w:r>
        <w:rPr>
          <w:rFonts w:ascii="宋体" w:hAnsi="宋体" w:hint="eastAsia"/>
          <w:szCs w:val="21"/>
        </w:rPr>
        <w:t>12</w:t>
      </w:r>
      <w:r>
        <w:rPr>
          <w:rFonts w:ascii="宋体" w:hAnsi="宋体"/>
          <w:szCs w:val="21"/>
        </w:rPr>
        <w:t>月</w:t>
      </w:r>
      <w:r>
        <w:rPr>
          <w:rFonts w:ascii="宋体" w:hAnsi="宋体" w:hint="eastAsia"/>
          <w:szCs w:val="21"/>
        </w:rPr>
        <w:t>23</w:t>
      </w:r>
      <w:r>
        <w:rPr>
          <w:rFonts w:ascii="宋体" w:hAnsi="宋体"/>
          <w:szCs w:val="21"/>
        </w:rPr>
        <w:t>日起开放日常</w:t>
      </w:r>
      <w:r>
        <w:rPr>
          <w:rFonts w:ascii="宋体" w:hAnsi="宋体" w:hint="eastAsia"/>
          <w:szCs w:val="21"/>
        </w:rPr>
        <w:t>转换</w:t>
      </w:r>
      <w:r>
        <w:rPr>
          <w:rFonts w:ascii="宋体" w:hAnsi="宋体"/>
          <w:szCs w:val="21"/>
        </w:rPr>
        <w:t>业务。</w:t>
      </w:r>
    </w:p>
    <w:p w:rsidR="00DF093F" w:rsidRDefault="00D13EB9">
      <w:pPr>
        <w:spacing w:line="360" w:lineRule="auto"/>
        <w:ind w:firstLineChars="200" w:firstLine="420"/>
        <w:rPr>
          <w:rFonts w:ascii="宋体" w:hAnsi="宋体"/>
          <w:szCs w:val="21"/>
        </w:rPr>
      </w:pPr>
      <w:r>
        <w:rPr>
          <w:rFonts w:ascii="宋体" w:hAnsi="宋体" w:hint="eastAsia"/>
          <w:szCs w:val="21"/>
        </w:rPr>
        <w:t>本基金对每份基金份额设置1年的最短持有期限，即：自基金合同生效日（对认购份额而言，下同）或基金份额申购确认日（对申购份额而言，下同）至该日次年的年度对日的期间内，投资者不能提出赎回或转换转出申请；该日次年的年度对日之后，投资者可以提出赎回或转换转出申请。若该日历年度实际不存在对应日期的，则顺延至下一日。</w:t>
      </w:r>
    </w:p>
    <w:p w:rsidR="00DF093F" w:rsidRDefault="00D13EB9">
      <w:pPr>
        <w:spacing w:line="360" w:lineRule="auto"/>
        <w:ind w:firstLineChars="200"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开放日的具体业务办理时间在招募说明书或相关公告中载明。</w:t>
      </w:r>
    </w:p>
    <w:p w:rsidR="00DF093F" w:rsidRDefault="00D13EB9" w:rsidP="00DF093F">
      <w:pPr>
        <w:spacing w:line="360" w:lineRule="auto"/>
        <w:ind w:firstLineChars="202" w:firstLine="424"/>
        <w:rPr>
          <w:rFonts w:ascii="宋体" w:hAnsi="宋体"/>
          <w:szCs w:val="21"/>
        </w:rPr>
      </w:pPr>
      <w:r>
        <w:rPr>
          <w:rFonts w:hint="eastAsia"/>
        </w:rPr>
        <w:t>基金合同生效后，若出现不可抗力或者新的证券交易市场、证券交易所交易时间变更或其他特殊情况，基金管理人将视情况对前述开放日及开放时间进行相应的调整，但应在实施日前依照</w:t>
      </w:r>
      <w:r>
        <w:rPr>
          <w:rFonts w:ascii="宋体" w:hAnsi="宋体" w:hint="eastAsia"/>
          <w:szCs w:val="21"/>
        </w:rPr>
        <w:t>《公开募集证券投资基金信息披露管理办法》（以下简称《信息披露办法》）的有关规定在指定媒介上公告。</w:t>
      </w:r>
    </w:p>
    <w:p w:rsidR="00DF093F" w:rsidRDefault="00D13EB9">
      <w:pPr>
        <w:spacing w:line="360" w:lineRule="auto"/>
        <w:ind w:firstLineChars="200" w:firstLine="420"/>
      </w:pPr>
      <w:r>
        <w:rPr>
          <w:rFonts w:hint="eastAsia"/>
        </w:rPr>
        <w:t>基金管理人不得在基金合同约定之外的日期或者时间办理基金份额的申购、赎回或者转换。</w:t>
      </w:r>
      <w:r>
        <w:rPr>
          <w:rFonts w:hint="eastAsia"/>
        </w:rPr>
        <w:lastRenderedPageBreak/>
        <w:t>投资人在基金合同约定之外的日期和时间提出申购、赎回或转换申请且登记机构确认接受的，其基金份额申购、赎回或转换价格为下一开放日基金份额申购、赎回或转换的价格。</w:t>
      </w:r>
    </w:p>
    <w:p w:rsidR="00DF093F" w:rsidRDefault="00D13EB9">
      <w:pPr>
        <w:spacing w:line="360" w:lineRule="auto"/>
        <w:ind w:firstLineChars="200" w:firstLine="420"/>
        <w:rPr>
          <w:rFonts w:ascii="宋体" w:hAnsi="宋体"/>
          <w:szCs w:val="21"/>
        </w:rPr>
      </w:pPr>
      <w:r>
        <w:rPr>
          <w:rFonts w:ascii="宋体" w:hAnsi="宋体" w:hint="eastAsia"/>
          <w:szCs w:val="21"/>
        </w:rPr>
        <w:t>本基金管理人网上直销</w:t>
      </w:r>
      <w:r>
        <w:rPr>
          <w:rFonts w:ascii="宋体" w:hAnsi="宋体"/>
          <w:szCs w:val="21"/>
        </w:rPr>
        <w:t>7*24小时受理日常</w:t>
      </w:r>
      <w:r>
        <w:rPr>
          <w:rFonts w:ascii="宋体" w:hAnsi="宋体" w:hint="eastAsia"/>
          <w:szCs w:val="21"/>
        </w:rPr>
        <w:t>申购、赎回或转换</w:t>
      </w:r>
      <w:r>
        <w:rPr>
          <w:rFonts w:ascii="宋体" w:hAnsi="宋体"/>
          <w:szCs w:val="21"/>
        </w:rPr>
        <w:t>业务申请，但投资人在基金开放日15:00后提交的业务申请视同下一基金开放日提交的业务申请。</w:t>
      </w:r>
    </w:p>
    <w:p w:rsidR="00DF093F" w:rsidRDefault="00DF093F">
      <w:pPr>
        <w:spacing w:line="360" w:lineRule="auto"/>
        <w:ind w:firstLineChars="200" w:firstLine="420"/>
        <w:rPr>
          <w:rFonts w:ascii="宋体" w:hAnsi="宋体"/>
          <w:szCs w:val="21"/>
        </w:rPr>
      </w:pPr>
    </w:p>
    <w:p w:rsidR="00DF093F" w:rsidRDefault="00DF093F">
      <w:pPr>
        <w:ind w:firstLineChars="200" w:firstLine="420"/>
        <w:jc w:val="left"/>
        <w:rPr>
          <w:rFonts w:ascii="宋体" w:hAnsi="宋体"/>
          <w:szCs w:val="21"/>
        </w:rPr>
      </w:pPr>
      <w:bookmarkStart w:id="21" w:name="t_2_3_1_table"/>
      <w:bookmarkStart w:id="22" w:name="t_2_3_1_2820_a1_fm1"/>
      <w:bookmarkStart w:id="23" w:name="t_2_3_2_table"/>
      <w:bookmarkStart w:id="24" w:name="t_2_3_2_2842_a1_fm1"/>
      <w:bookmarkStart w:id="25" w:name="t_2_3_2_q_01_2682_a1_fm2210"/>
      <w:bookmarkStart w:id="26" w:name="t_2_3_3_table"/>
      <w:bookmarkStart w:id="27" w:name="t_2_3_3_2821_a1_fm1"/>
      <w:bookmarkEnd w:id="21"/>
      <w:bookmarkEnd w:id="22"/>
      <w:bookmarkEnd w:id="23"/>
      <w:bookmarkEnd w:id="24"/>
      <w:bookmarkEnd w:id="25"/>
      <w:bookmarkEnd w:id="26"/>
      <w:bookmarkEnd w:id="27"/>
    </w:p>
    <w:p w:rsidR="00DF093F" w:rsidRDefault="00D13EB9" w:rsidP="00251CBA">
      <w:pPr>
        <w:pStyle w:val="2"/>
        <w:numPr>
          <w:ilvl w:val="0"/>
          <w:numId w:val="1"/>
        </w:numPr>
        <w:spacing w:beforeLines="50" w:afterLines="50" w:line="240" w:lineRule="auto"/>
        <w:rPr>
          <w:rFonts w:ascii="宋体" w:eastAsia="宋体" w:hAnsi="宋体"/>
          <w:bCs/>
          <w:sz w:val="24"/>
          <w:szCs w:val="24"/>
        </w:rPr>
        <w:pPrChange w:id="28" w:author="ZHONGM" w:date="2020-12-23T00:23:00Z">
          <w:pPr>
            <w:pStyle w:val="2"/>
            <w:numPr>
              <w:numId w:val="1"/>
            </w:numPr>
            <w:spacing w:beforeLines="50" w:afterLines="50" w:line="240" w:lineRule="auto"/>
            <w:ind w:left="420" w:hanging="420"/>
          </w:pPr>
        </w:pPrChange>
      </w:pPr>
      <w:bookmarkStart w:id="29" w:name="t_2_4_1_2822_a1_fm1"/>
      <w:bookmarkStart w:id="30" w:name="t_2_4_2_table"/>
      <w:bookmarkStart w:id="31" w:name="t_2_4_2_2843_a1_fm1"/>
      <w:bookmarkStart w:id="32" w:name="t_2_4_3_table"/>
      <w:bookmarkStart w:id="33" w:name="t_2_4_3_2823_a1_fm1"/>
      <w:bookmarkStart w:id="34" w:name="t_2_5_table"/>
      <w:bookmarkEnd w:id="29"/>
      <w:bookmarkEnd w:id="30"/>
      <w:bookmarkEnd w:id="31"/>
      <w:bookmarkEnd w:id="32"/>
      <w:bookmarkEnd w:id="33"/>
      <w:bookmarkEnd w:id="34"/>
      <w:r>
        <w:rPr>
          <w:rFonts w:ascii="宋体" w:eastAsia="宋体" w:hAnsi="宋体" w:hint="eastAsia"/>
          <w:bCs/>
          <w:sz w:val="24"/>
          <w:szCs w:val="24"/>
        </w:rPr>
        <w:t>日常转换业务</w:t>
      </w:r>
    </w:p>
    <w:p w:rsidR="00DF093F" w:rsidRDefault="00D13EB9" w:rsidP="00251CBA">
      <w:pPr>
        <w:pStyle w:val="2"/>
        <w:numPr>
          <w:ilvl w:val="1"/>
          <w:numId w:val="1"/>
        </w:numPr>
        <w:spacing w:beforeLines="50" w:afterLines="50" w:line="240" w:lineRule="auto"/>
        <w:jc w:val="left"/>
        <w:rPr>
          <w:rFonts w:ascii="宋体" w:eastAsia="宋体" w:hAnsi="宋体"/>
          <w:bCs/>
          <w:sz w:val="24"/>
          <w:szCs w:val="24"/>
        </w:rPr>
        <w:pPrChange w:id="35" w:author="ZHONGM" w:date="2020-12-23T00:23:00Z">
          <w:pPr>
            <w:pStyle w:val="2"/>
            <w:numPr>
              <w:ilvl w:val="1"/>
              <w:numId w:val="1"/>
            </w:numPr>
            <w:spacing w:beforeLines="50" w:afterLines="50" w:line="240" w:lineRule="auto"/>
            <w:ind w:left="720" w:hanging="720"/>
            <w:jc w:val="left"/>
          </w:pPr>
        </w:pPrChange>
      </w:pPr>
      <w:r>
        <w:rPr>
          <w:rFonts w:ascii="宋体" w:eastAsia="宋体" w:hAnsi="宋体" w:hint="eastAsia"/>
          <w:bCs/>
          <w:sz w:val="24"/>
          <w:szCs w:val="24"/>
        </w:rPr>
        <w:t>转换费率</w:t>
      </w:r>
    </w:p>
    <w:p w:rsidR="00DF093F" w:rsidRDefault="00D13EB9">
      <w:pPr>
        <w:spacing w:line="360" w:lineRule="auto"/>
        <w:ind w:firstLineChars="200" w:firstLine="420"/>
        <w:jc w:val="left"/>
        <w:rPr>
          <w:rFonts w:ascii="宋体" w:hAnsi="宋体"/>
          <w:szCs w:val="21"/>
        </w:rPr>
      </w:pPr>
      <w:bookmarkStart w:id="36" w:name="t_2_5_0179_a1_fm1"/>
      <w:bookmarkEnd w:id="36"/>
      <w:r>
        <w:rPr>
          <w:rFonts w:ascii="宋体" w:hAnsi="宋体" w:hint="eastAsia"/>
          <w:szCs w:val="21"/>
        </w:rPr>
        <w:t>基金转换是投资者按本公司规定条件将其所持有的本公司管理的一只基金份额转换为本公司管理的另一只基金份额的业务。</w:t>
      </w:r>
    </w:p>
    <w:p w:rsidR="00DF093F" w:rsidRDefault="00D13EB9">
      <w:pPr>
        <w:spacing w:line="360" w:lineRule="auto"/>
        <w:ind w:firstLineChars="200" w:firstLine="420"/>
        <w:jc w:val="left"/>
        <w:rPr>
          <w:rFonts w:ascii="宋体" w:hAnsi="宋体"/>
          <w:szCs w:val="21"/>
        </w:rPr>
      </w:pPr>
      <w:r>
        <w:rPr>
          <w:rFonts w:ascii="宋体" w:hAnsi="宋体" w:hint="eastAsia"/>
          <w:szCs w:val="21"/>
        </w:rPr>
        <w:t>本基金自</w:t>
      </w:r>
      <w:r>
        <w:rPr>
          <w:rFonts w:ascii="宋体" w:hAnsi="宋体"/>
          <w:szCs w:val="21"/>
        </w:rPr>
        <w:t>2020年</w:t>
      </w:r>
      <w:r>
        <w:rPr>
          <w:rFonts w:ascii="宋体" w:hAnsi="宋体" w:hint="eastAsia"/>
          <w:szCs w:val="21"/>
        </w:rPr>
        <w:t>12</w:t>
      </w:r>
      <w:r>
        <w:rPr>
          <w:rFonts w:ascii="宋体" w:hAnsi="宋体"/>
          <w:szCs w:val="21"/>
        </w:rPr>
        <w:t>月</w:t>
      </w:r>
      <w:r>
        <w:rPr>
          <w:rFonts w:ascii="宋体" w:hAnsi="宋体" w:hint="eastAsia"/>
          <w:szCs w:val="21"/>
        </w:rPr>
        <w:t>23</w:t>
      </w:r>
      <w:r>
        <w:rPr>
          <w:rFonts w:ascii="宋体" w:hAnsi="宋体"/>
          <w:szCs w:val="21"/>
        </w:rPr>
        <w:t>日起在基金管理人的直销柜台、网上直销以及其他相关销售机构开始办理转换业务。基金转换业务单笔起点为10份（转出基金份额），但某笔转换导致单个交易账户的基金份额余额少于1份时，余额部分基金份额将被同时赎回，具体的业务规则请见本公司相关公告；通过本公司</w:t>
      </w:r>
      <w:r>
        <w:rPr>
          <w:rFonts w:ascii="宋体" w:hAnsi="宋体" w:hint="eastAsia"/>
          <w:szCs w:val="21"/>
        </w:rPr>
        <w:t>直销网上交易系统转换本基金，最低转换份额为</w:t>
      </w:r>
      <w:r>
        <w:rPr>
          <w:rFonts w:ascii="宋体" w:hAnsi="宋体"/>
          <w:szCs w:val="21"/>
        </w:rPr>
        <w:t>10份；其他各销售机构对申赎业务及交易级差有其他规定的，以各销售机构的业务规定为准</w:t>
      </w:r>
      <w:r>
        <w:rPr>
          <w:rFonts w:ascii="宋体" w:hAnsi="宋体" w:hint="eastAsia"/>
          <w:szCs w:val="21"/>
        </w:rPr>
        <w:t>。转入份额按照四舍五入方法保留到小数点后两位，</w:t>
      </w:r>
      <w:r>
        <w:rPr>
          <w:rFonts w:ascii="宋体" w:hAnsi="宋体"/>
          <w:szCs w:val="21"/>
        </w:rPr>
        <w:t>由此产生的收益或损失由基金资产承担。</w:t>
      </w:r>
    </w:p>
    <w:p w:rsidR="00DF093F" w:rsidRDefault="00D13EB9">
      <w:pPr>
        <w:spacing w:line="360" w:lineRule="auto"/>
        <w:ind w:firstLineChars="200" w:firstLine="420"/>
        <w:jc w:val="left"/>
        <w:rPr>
          <w:rFonts w:ascii="宋体" w:hAnsi="宋体"/>
          <w:szCs w:val="21"/>
        </w:rPr>
      </w:pPr>
      <w:r>
        <w:rPr>
          <w:rFonts w:ascii="宋体" w:hAnsi="宋体" w:hint="eastAsia"/>
          <w:szCs w:val="21"/>
        </w:rPr>
        <w:t>基金转换费用由转出基金赎回费用及基金申购补差费用两部分构成。</w:t>
      </w:r>
    </w:p>
    <w:p w:rsidR="00DF093F" w:rsidRDefault="00D13EB9">
      <w:pPr>
        <w:spacing w:line="360" w:lineRule="auto"/>
        <w:ind w:firstLineChars="200" w:firstLine="420"/>
        <w:jc w:val="left"/>
        <w:rPr>
          <w:rFonts w:ascii="宋体" w:hAnsi="宋体"/>
          <w:szCs w:val="21"/>
        </w:rPr>
      </w:pPr>
      <w:r>
        <w:rPr>
          <w:rFonts w:ascii="宋体" w:hAnsi="宋体" w:hint="eastAsia"/>
          <w:szCs w:val="21"/>
        </w:rPr>
        <w:t>1）基金申购补差费：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具体收取情况视每次转换时两只基金的申购费率的差异情况而定。</w:t>
      </w:r>
    </w:p>
    <w:p w:rsidR="00DF093F" w:rsidRDefault="00D13EB9">
      <w:pPr>
        <w:spacing w:line="360" w:lineRule="auto"/>
        <w:ind w:firstLineChars="200" w:firstLine="420"/>
        <w:jc w:val="left"/>
        <w:rPr>
          <w:rFonts w:ascii="宋体" w:hAnsi="宋体"/>
          <w:szCs w:val="21"/>
        </w:rPr>
      </w:pPr>
      <w:r>
        <w:rPr>
          <w:rFonts w:ascii="宋体" w:hAnsi="宋体" w:hint="eastAsia"/>
          <w:szCs w:val="21"/>
        </w:rPr>
        <w:t>2）基金赎回费：如涉及的转出基金有赎回费用，收取该基金的赎回费用。收取的赎回费按照各基金的基金合同、招募说明书约定的比例归入基金财产。转换费用由基金份额持有人承担。</w:t>
      </w:r>
    </w:p>
    <w:p w:rsidR="00DF093F" w:rsidRDefault="00D13EB9">
      <w:pPr>
        <w:spacing w:line="360" w:lineRule="auto"/>
        <w:ind w:firstLineChars="200" w:firstLine="420"/>
        <w:jc w:val="left"/>
        <w:rPr>
          <w:rFonts w:ascii="宋体" w:hAnsi="宋体"/>
          <w:szCs w:val="21"/>
        </w:rPr>
      </w:pPr>
      <w:r>
        <w:rPr>
          <w:rFonts w:ascii="宋体" w:hAnsi="宋体" w:hint="eastAsia"/>
          <w:szCs w:val="21"/>
        </w:rPr>
        <w:t>本基金的直销柜台基金转换基金申购补差费用实施</w:t>
      </w:r>
      <w:r>
        <w:rPr>
          <w:rFonts w:ascii="宋体" w:hAnsi="宋体"/>
          <w:szCs w:val="21"/>
        </w:rPr>
        <w:t>0折优惠。网上直销基金转换基金申购补差费用实施0折优惠</w:t>
      </w:r>
      <w:r>
        <w:rPr>
          <w:rFonts w:ascii="宋体" w:hAnsi="宋体" w:hint="eastAsia"/>
          <w:szCs w:val="21"/>
        </w:rPr>
        <w:t>。</w:t>
      </w:r>
    </w:p>
    <w:p w:rsidR="00DF093F" w:rsidRDefault="00D13EB9">
      <w:pPr>
        <w:spacing w:line="360" w:lineRule="auto"/>
        <w:ind w:firstLineChars="200" w:firstLine="420"/>
        <w:jc w:val="left"/>
        <w:rPr>
          <w:rFonts w:ascii="宋体" w:hAnsi="宋体"/>
          <w:szCs w:val="21"/>
        </w:rPr>
      </w:pPr>
      <w:r>
        <w:rPr>
          <w:rFonts w:ascii="宋体" w:hAnsi="宋体" w:hint="eastAsia"/>
          <w:szCs w:val="21"/>
        </w:rPr>
        <w:t>本公司旗下基金的申购费率、赎回费率请详见各基金公开法律文件。</w:t>
      </w:r>
    </w:p>
    <w:p w:rsidR="00DF093F" w:rsidRDefault="00DF093F">
      <w:pPr>
        <w:spacing w:line="360" w:lineRule="auto"/>
        <w:ind w:firstLineChars="200" w:firstLine="420"/>
        <w:jc w:val="left"/>
        <w:rPr>
          <w:rFonts w:ascii="宋体" w:hAnsi="宋体"/>
          <w:szCs w:val="21"/>
        </w:rPr>
      </w:pPr>
    </w:p>
    <w:p w:rsidR="00DF093F" w:rsidRDefault="00D13EB9" w:rsidP="00251CBA">
      <w:pPr>
        <w:numPr>
          <w:ilvl w:val="1"/>
          <w:numId w:val="1"/>
        </w:numPr>
        <w:spacing w:beforeLines="50" w:afterLines="50"/>
        <w:jc w:val="left"/>
        <w:rPr>
          <w:rFonts w:ascii="宋体" w:hAnsi="宋体"/>
          <w:b/>
          <w:sz w:val="24"/>
          <w:szCs w:val="20"/>
        </w:rPr>
        <w:pPrChange w:id="37" w:author="ZHONGM" w:date="2020-12-23T00:23:00Z">
          <w:pPr>
            <w:numPr>
              <w:ilvl w:val="1"/>
              <w:numId w:val="1"/>
            </w:numPr>
            <w:spacing w:beforeLines="50" w:afterLines="50"/>
            <w:ind w:left="720" w:hanging="720"/>
            <w:jc w:val="left"/>
          </w:pPr>
        </w:pPrChange>
      </w:pPr>
      <w:r>
        <w:rPr>
          <w:rFonts w:ascii="宋体" w:hAnsi="宋体" w:hint="eastAsia"/>
          <w:b/>
          <w:sz w:val="24"/>
          <w:szCs w:val="20"/>
        </w:rPr>
        <w:t>其他与转换相关的事项</w:t>
      </w:r>
    </w:p>
    <w:p w:rsidR="00DF093F" w:rsidRDefault="00D13EB9">
      <w:pPr>
        <w:spacing w:line="360" w:lineRule="auto"/>
        <w:ind w:firstLineChars="200" w:firstLine="420"/>
        <w:jc w:val="left"/>
        <w:rPr>
          <w:rFonts w:ascii="宋体" w:hAnsi="宋体"/>
          <w:szCs w:val="21"/>
        </w:rPr>
      </w:pPr>
      <w:bookmarkStart w:id="38" w:name="t_2_5_2824_a1_fm1"/>
      <w:bookmarkEnd w:id="38"/>
      <w:r>
        <w:rPr>
          <w:rFonts w:ascii="宋体" w:hAnsi="宋体" w:hint="eastAsia"/>
          <w:szCs w:val="21"/>
        </w:rPr>
        <w:t>本基金转换业务适用的基金范围为本基金及本公司旗下的以下基金：</w:t>
      </w:r>
    </w:p>
    <w:tbl>
      <w:tblPr>
        <w:tblW w:w="0" w:type="auto"/>
        <w:jc w:val="center"/>
        <w:tblLayout w:type="fixed"/>
        <w:tblLook w:val="04A0"/>
      </w:tblPr>
      <w:tblGrid>
        <w:gridCol w:w="675"/>
        <w:gridCol w:w="6507"/>
        <w:gridCol w:w="1878"/>
      </w:tblGrid>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序号</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基金名称</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基金代码</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华泰柏瑞盛世中国混合型证券投资基金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460001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华泰柏瑞积极成长混合型证券投资基金</w:t>
            </w:r>
            <w:r>
              <w:rPr>
                <w:rFonts w:ascii="Arial" w:hAnsi="Arial" w:cs="Arial" w:hint="eastAsia"/>
                <w:sz w:val="19"/>
                <w:szCs w:val="19"/>
              </w:rPr>
              <w:t>A</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460002</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华泰柏瑞金字塔稳本增利债券型证券投资基金</w:t>
            </w:r>
            <w:r>
              <w:rPr>
                <w:rFonts w:ascii="Arial" w:hAnsi="Arial" w:cs="Arial" w:hint="eastAsia"/>
                <w:sz w:val="19"/>
                <w:szCs w:val="19"/>
              </w:rPr>
              <w:t>B</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460003</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华泰柏瑞价值增长混合型证券投资基金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bCs/>
                <w:color w:val="000000"/>
                <w:kern w:val="0"/>
                <w:sz w:val="18"/>
                <w:szCs w:val="18"/>
              </w:rPr>
              <w:t>460005/010037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华泰柏瑞货币市场证券投资基金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/B</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460006/460106</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6</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华泰柏瑞行业领先混合型证券投资基金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460007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7</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华泰柏瑞稳健收益债券型证券投资基金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460008/460108</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8</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华泰柏瑞量化先行混合型证券投资基金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460009</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9</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华泰柏瑞上证中小盘交易型开放式指数证券投资基金联接基金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460220</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10</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华泰柏瑞沪深</w:t>
            </w:r>
            <w:r>
              <w:rPr>
                <w:rFonts w:ascii="Arial" w:hAnsi="Arial" w:cs="Arial" w:hint="eastAsia"/>
                <w:sz w:val="19"/>
                <w:szCs w:val="19"/>
              </w:rPr>
              <w:t>300</w:t>
            </w:r>
            <w:r>
              <w:rPr>
                <w:rFonts w:ascii="Arial" w:hAnsi="Arial" w:cs="Arial" w:hint="eastAsia"/>
                <w:sz w:val="19"/>
                <w:szCs w:val="19"/>
              </w:rPr>
              <w:t>交易型开放式指数证券投资基金联接基金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460300/006131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11</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华泰柏瑞量化增强混合型证券投资基金</w:t>
            </w:r>
            <w:r>
              <w:rPr>
                <w:rFonts w:ascii="Arial" w:hAnsi="Arial" w:cs="Arial" w:hint="eastAsia"/>
                <w:sz w:val="19"/>
                <w:szCs w:val="19"/>
              </w:rPr>
              <w:t>A</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000172</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12</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华泰柏瑞季季红债券型证券投资基金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000186</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13</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华泰柏瑞丰盛纯债债券型证券投资基金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000187/000188</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14</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华泰柏瑞丰汇债券型证券投资基金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000421/000422</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15</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华泰柏瑞创新升级混合型证券投资基金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000566/010028</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16</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华泰柏瑞量化优选灵活配置混合型证券投资基金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000877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17</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华泰柏瑞创新动力灵活配置混合型证券投资基金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000967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18</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华泰柏瑞消费成长灵活配置混合型证券投资基金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001069</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19</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华泰柏瑞量化阿尔法灵活配置混合型证券投资基金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005055/006532</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20</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华泰柏瑞量化驱动灵活配置混合型证券投资基金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001074/006531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21</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华泰柏瑞积极优选股票型证券投资基金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001097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22</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华泰柏瑞中证</w:t>
            </w:r>
            <w:r>
              <w:rPr>
                <w:rFonts w:ascii="Arial" w:hAnsi="Arial" w:cs="Arial" w:hint="eastAsia"/>
                <w:sz w:val="19"/>
                <w:szCs w:val="19"/>
              </w:rPr>
              <w:t>500</w:t>
            </w:r>
            <w:r>
              <w:rPr>
                <w:rFonts w:ascii="Arial" w:hAnsi="Arial" w:cs="Arial" w:hint="eastAsia"/>
                <w:sz w:val="19"/>
                <w:szCs w:val="19"/>
              </w:rPr>
              <w:t>交易型开放式指数证券投资基金联接基金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001214/006087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23</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华泰柏瑞量化智慧灵活配置混合型证券投资基金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001244/006104</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24</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华泰柏瑞新利灵活配置混合型证券投资基金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001247/002091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25</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华泰柏瑞健康生活灵活配置混合型证券投资基金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001398</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26</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华泰柏瑞精选回报灵活配置混合型证券投资基金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001524</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27</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华泰柏瑞激励动力灵活配置混合型证券投资基金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001815/002082</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28</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华泰柏瑞量化对冲稳健收益定期开放混合型发起式证券投资基金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002804</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29</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华泰柏瑞多策略灵活配置混合型证券投资基金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003175</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30</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华泰柏瑞天添宝货币市场基金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/B</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003246/003871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31</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华泰柏瑞新经济沪港深灵活配置混合型证券投资基金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003413</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32</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华泰柏瑞享利灵活配置混合型证券投资基金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003591/003592</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33</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华泰柏瑞鼎利灵活配置混合型证券投资基金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004010/004011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34</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华泰柏瑞鸿利中短债债券型证券投资基金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r>
              <w:rPr>
                <w:rFonts w:ascii="Arial" w:hAnsi="Arial" w:cs="Arial" w:hint="eastAsia"/>
                <w:sz w:val="19"/>
                <w:szCs w:val="19"/>
              </w:rPr>
              <w:t>/E</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bCs/>
                <w:color w:val="000000"/>
                <w:kern w:val="0"/>
                <w:sz w:val="18"/>
                <w:szCs w:val="18"/>
              </w:rPr>
              <w:t>009093/009094/009095</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35</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华泰柏瑞医疗健康混合型证券投资基金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005805</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36</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华泰柏瑞质量成长混合型证券投资基金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008528</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37</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w:t>
            </w:r>
            <w:r>
              <w:rPr>
                <w:rFonts w:ascii="Arial" w:hAnsi="Arial" w:cs="Arial" w:hint="eastAsia"/>
                <w:sz w:val="19"/>
                <w:szCs w:val="19"/>
              </w:rPr>
              <w:t>MSCI</w:t>
            </w:r>
            <w:r>
              <w:rPr>
                <w:rFonts w:ascii="Arial" w:hAnsi="Arial" w:cs="Arial" w:hint="eastAsia"/>
                <w:sz w:val="19"/>
                <w:szCs w:val="19"/>
              </w:rPr>
              <w:t>中国</w:t>
            </w:r>
            <w:r>
              <w:rPr>
                <w:rFonts w:ascii="Arial" w:hAnsi="Arial" w:cs="Arial" w:hint="eastAsia"/>
                <w:sz w:val="19"/>
                <w:szCs w:val="19"/>
              </w:rPr>
              <w:t>A</w:t>
            </w:r>
            <w:r>
              <w:rPr>
                <w:rFonts w:ascii="Arial" w:hAnsi="Arial" w:cs="Arial" w:hint="eastAsia"/>
                <w:sz w:val="19"/>
                <w:szCs w:val="19"/>
              </w:rPr>
              <w:t>股国际通交易型开放式指数证券投资基金联接基金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006286/006293</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38</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华泰柏瑞交易型货币市场证券投资基金</w:t>
            </w:r>
            <w:r>
              <w:rPr>
                <w:rFonts w:ascii="Arial" w:hAnsi="Arial" w:cs="Arial" w:hint="eastAsia"/>
                <w:sz w:val="19"/>
                <w:szCs w:val="19"/>
              </w:rPr>
              <w:t>B</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002469</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39</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华泰柏瑞量化创优灵活配置混合型证券投资基金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004394</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40</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华泰柏瑞生物医药灵活配置混合型证券投资基金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bCs/>
                <w:color w:val="000000"/>
                <w:kern w:val="0"/>
                <w:sz w:val="18"/>
                <w:szCs w:val="18"/>
              </w:rPr>
              <w:t>004905/010031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41</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华泰柏瑞富利灵活配置混合型证券投资基金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004475</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42</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华泰柏瑞战略新兴产业混合型证券投资基金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005409</w:t>
            </w:r>
            <w:r>
              <w:rPr>
                <w:rFonts w:ascii="宋体" w:hAnsi="宋体" w:cs="宋体"/>
                <w:bCs/>
                <w:color w:val="000000"/>
                <w:kern w:val="0"/>
                <w:sz w:val="18"/>
                <w:szCs w:val="18"/>
              </w:rPr>
              <w:t>/010032</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43</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华泰柏瑞新金融地产灵活配置混合型证券投资基金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005576</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44</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华泰柏瑞锦瑞债券型证券投资基金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008524/008525</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45</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华泰柏瑞中证科技</w:t>
            </w:r>
            <w:r>
              <w:rPr>
                <w:rFonts w:ascii="Arial" w:hAnsi="Arial" w:cs="Arial" w:hint="eastAsia"/>
                <w:sz w:val="19"/>
                <w:szCs w:val="19"/>
              </w:rPr>
              <w:t>100</w:t>
            </w:r>
            <w:r>
              <w:rPr>
                <w:rFonts w:ascii="Arial" w:hAnsi="Arial" w:cs="Arial" w:hint="eastAsia"/>
                <w:sz w:val="19"/>
                <w:szCs w:val="19"/>
              </w:rPr>
              <w:t>交易型开放式指数证券投资基金联接基金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bCs/>
                <w:color w:val="000000"/>
                <w:kern w:val="0"/>
                <w:sz w:val="18"/>
                <w:szCs w:val="18"/>
              </w:rPr>
              <w:t>008399/008400</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46</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华泰柏瑞量化明选混合型证券投资基金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bCs/>
                <w:color w:val="000000"/>
                <w:kern w:val="0"/>
                <w:sz w:val="18"/>
                <w:szCs w:val="18"/>
              </w:rPr>
              <w:t>006942</w:t>
            </w:r>
            <w:r>
              <w:rPr>
                <w:rFonts w:ascii="宋体" w:hAnsi="宋体" w:cs="宋体" w:hint="eastAsia"/>
                <w:bCs/>
                <w:color w:val="000000"/>
                <w:kern w:val="0"/>
                <w:sz w:val="18"/>
                <w:szCs w:val="18"/>
              </w:rPr>
              <w:t>/</w:t>
            </w:r>
            <w:r>
              <w:rPr>
                <w:rFonts w:ascii="宋体" w:hAnsi="宋体" w:cs="宋体"/>
                <w:bCs/>
                <w:color w:val="000000"/>
                <w:kern w:val="0"/>
                <w:sz w:val="18"/>
                <w:szCs w:val="18"/>
              </w:rPr>
              <w:t>006943</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47</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华泰柏瑞基本面智选混合型证券投资基金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007306/007307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48</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华泰柏瑞中证红利低波动交易型开放式指数证券投资基金联接基金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007466/007467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49</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sz w:val="19"/>
                <w:szCs w:val="19"/>
              </w:rPr>
              <w:t>华泰柏瑞研究精选混合型证券投资基金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007968/010291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50</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华泰柏瑞行业精选混合型证券投资基金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008526/008527</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51</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华泰柏瑞景气优选混合型证券投资基金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009636</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52</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华泰柏瑞景利混合型证券投资基金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010060/010061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53</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华泰柏瑞锦乾债券型证券投资基金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009953</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54</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华泰柏瑞品质优选混合型证券投资基金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009990/009991</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55</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sz w:val="19"/>
                <w:szCs w:val="19"/>
              </w:rPr>
              <w:t>华泰柏瑞优势领航混合型证券投资基金</w:t>
            </w:r>
            <w:r>
              <w:rPr>
                <w:rFonts w:ascii="Arial" w:hAnsi="Arial" w:cs="Arial" w:hint="eastAsia"/>
                <w:sz w:val="19"/>
                <w:szCs w:val="19"/>
              </w:rPr>
              <w:t>A</w:t>
            </w:r>
            <w:r>
              <w:rPr>
                <w:rFonts w:ascii="Arial" w:hAnsi="Arial" w:cs="Arial" w:hint="eastAsia"/>
                <w:sz w:val="19"/>
                <w:szCs w:val="19"/>
              </w:rPr>
              <w:t>类</w:t>
            </w:r>
            <w:r>
              <w:rPr>
                <w:rFonts w:ascii="Arial" w:hAnsi="Arial" w:cs="Arial" w:hint="eastAsia"/>
                <w:sz w:val="19"/>
                <w:szCs w:val="19"/>
              </w:rPr>
              <w:t>/C</w:t>
            </w:r>
            <w:r>
              <w:rPr>
                <w:rFonts w:ascii="Arial" w:hAnsi="Arial" w:cs="Arial" w:hint="eastAsia"/>
                <w:sz w:val="19"/>
                <w:szCs w:val="19"/>
              </w:rPr>
              <w:t>类</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bCs/>
                <w:color w:val="000000"/>
                <w:kern w:val="0"/>
                <w:sz w:val="18"/>
                <w:szCs w:val="18"/>
              </w:rPr>
              <w:t>010122/010123</w:t>
            </w:r>
          </w:p>
        </w:tc>
      </w:tr>
      <w:tr w:rsidR="00DF093F">
        <w:trPr>
          <w:trHeight w:val="285"/>
          <w:jc w:val="center"/>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56</w:t>
            </w:r>
          </w:p>
        </w:tc>
        <w:tc>
          <w:tcPr>
            <w:tcW w:w="6507"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Arial" w:hAnsi="Arial" w:cs="Arial"/>
                <w:sz w:val="19"/>
                <w:szCs w:val="19"/>
              </w:rPr>
            </w:pPr>
            <w:r>
              <w:rPr>
                <w:rFonts w:ascii="Arial" w:hAnsi="Arial" w:cs="Arial" w:hint="eastAsia"/>
                <w:sz w:val="19"/>
                <w:szCs w:val="19"/>
              </w:rPr>
              <w:t>华泰柏瑞量化绝对收益策略定期开放混合型发起式证券投资基金</w:t>
            </w:r>
          </w:p>
        </w:tc>
        <w:tc>
          <w:tcPr>
            <w:tcW w:w="1878" w:type="dxa"/>
            <w:tcBorders>
              <w:top w:val="single" w:sz="8" w:space="0" w:color="auto"/>
              <w:left w:val="nil"/>
              <w:bottom w:val="single" w:sz="8" w:space="0" w:color="auto"/>
              <w:right w:val="single" w:sz="8" w:space="0" w:color="auto"/>
            </w:tcBorders>
            <w:shd w:val="clear" w:color="auto" w:fill="auto"/>
            <w:noWrap/>
            <w:vAlign w:val="center"/>
            <w:hideMark/>
          </w:tcPr>
          <w:p w:rsidR="00DF093F" w:rsidRDefault="00D13EB9">
            <w:pPr>
              <w:spacing w:line="360" w:lineRule="auto"/>
              <w:jc w:val="left"/>
              <w:rPr>
                <w:rFonts w:ascii="宋体" w:hAnsi="宋体" w:cs="宋体"/>
                <w:bCs/>
                <w:color w:val="000000"/>
                <w:kern w:val="0"/>
                <w:sz w:val="18"/>
                <w:szCs w:val="18"/>
              </w:rPr>
            </w:pPr>
            <w:r>
              <w:rPr>
                <w:rFonts w:ascii="宋体" w:hAnsi="宋体" w:cs="宋体" w:hint="eastAsia"/>
                <w:bCs/>
                <w:color w:val="000000"/>
                <w:kern w:val="0"/>
                <w:sz w:val="18"/>
                <w:szCs w:val="18"/>
              </w:rPr>
              <w:t>001073</w:t>
            </w:r>
          </w:p>
        </w:tc>
      </w:tr>
    </w:tbl>
    <w:p w:rsidR="00DF093F" w:rsidRDefault="00D13EB9">
      <w:pPr>
        <w:spacing w:line="360" w:lineRule="auto"/>
        <w:jc w:val="left"/>
        <w:rPr>
          <w:rFonts w:ascii="宋体" w:hAnsi="宋体"/>
          <w:szCs w:val="21"/>
        </w:rPr>
      </w:pPr>
      <w:r>
        <w:rPr>
          <w:rFonts w:ascii="宋体" w:hAnsi="宋体" w:hint="eastAsia"/>
          <w:szCs w:val="21"/>
        </w:rPr>
        <w:t>注：上述目前正在封闭期内的基金不能参与此次转换；</w:t>
      </w:r>
    </w:p>
    <w:p w:rsidR="00DF093F" w:rsidRDefault="00D13EB9">
      <w:pPr>
        <w:spacing w:line="360" w:lineRule="auto"/>
        <w:ind w:firstLineChars="200" w:firstLine="420"/>
        <w:jc w:val="left"/>
        <w:rPr>
          <w:rFonts w:ascii="宋体" w:hAnsi="宋体"/>
          <w:szCs w:val="21"/>
        </w:rPr>
      </w:pPr>
      <w:r>
        <w:rPr>
          <w:rFonts w:ascii="宋体" w:hAnsi="宋体" w:hint="eastAsia"/>
          <w:szCs w:val="21"/>
        </w:rPr>
        <w:t xml:space="preserve">本基金 A类份额在以下代销机构办理转换业务： </w:t>
      </w:r>
    </w:p>
    <w:tbl>
      <w:tblPr>
        <w:tblW w:w="0" w:type="auto"/>
        <w:jc w:val="center"/>
        <w:tblInd w:w="93" w:type="dxa"/>
        <w:tblLook w:val="04A0"/>
      </w:tblPr>
      <w:tblGrid>
        <w:gridCol w:w="616"/>
        <w:gridCol w:w="3416"/>
        <w:gridCol w:w="616"/>
        <w:gridCol w:w="3416"/>
      </w:tblGrid>
      <w:tr w:rsidR="00DF093F">
        <w:trPr>
          <w:trHeight w:val="28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中国银行股份有限公司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交通银行股份有限公司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中银国际证券股份有限公司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华安证券股份有限公司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平安银行股份有限公司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嘉实财富管理有限公司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中信银行股份有限公司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太平洋证券股份有限公司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中国民生银行股份有限公司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上海基煜基金销售有限公司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安信证券股份有限公司 </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江苏银行股份有限公司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渤海证券股份有限公司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民生证券股份有限公司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长江证券股份有限公司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广发银行股份有限公司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光大证券股份有限公司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大通证券股份有限公司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中信证券华南股份有限公司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西部证券股份有限公司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国都证券股份有限公司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财达证券股份有限公司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国信证券股份有限公司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财通证券股份有限公司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恒泰证券股份有限公司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东方证券股份有限公司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申万宏源西部证券有限公司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东兴证券股份有限公司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华福证券有限责任公司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方正证券股份有限公司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华泰证券股份有限公司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广发证券股份有限公司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华西证券股份有限公司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国元证券股份有限公司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华鑫证券有限责任公司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海通证券股份有限公司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平安证券股份有限公司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万联证券股份有限公司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中泰证券股份有限公司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湘财证券股份有限公司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上海证券有限责任公司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中原证券股份有限公司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申万宏源证券有限公司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上海浦东发展银行股份有限公司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西南证券股份有限公司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中国人寿保险股份有限公司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新时代证券股份有限公司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中信证券(山东)有限责任公司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信达证券股份有限公司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浙商证券股份有限公司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中国中金财富证券有限公司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中国银河证券股份有限公司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中信建投证券股份有限公司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中国国际金融股份有限公司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上海长量基金销售有限公司　</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上海好买基金销售有限公司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上海天天基金销售有限公司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深圳众禄基金销售股份有限</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北京展恒基金销售股份有限公司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浙江同花顺基金销售有限公司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蚂蚁（杭州）基金销售有限公司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和讯信息科技有限公司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浦领基金销售有限公司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上海大智慧基金销售有限公司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深圳市新兰德证券投资咨询有限公司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上海利得基金销售有限公司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诺亚正行基金销售有限公司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上海陆金所基金销售有限公司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北京虹点基金销售有限公司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珠海盈米基金销售有限公司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上海联泰基金销售有限公司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北京恒天明泽基金销售有限公司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深圳前海微众银行股份有限公司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深圳市金斧子基金销售有限公司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上海万得基金销售有限公司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北京蛋卷基金销售有限公司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东方财富证券股份有限公司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中证金牛(北京)投资咨询有限公司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京东肯特瑞基金销售有限公司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通华财富（上海）基金销售有限公司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玄元保险代理有限公司</w:t>
            </w:r>
          </w:p>
        </w:tc>
      </w:tr>
      <w:tr w:rsidR="00DF093F">
        <w:trPr>
          <w:trHeight w:val="28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北京度小满基金销售有限公司</w:t>
            </w: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F093F">
            <w:pPr>
              <w:widowControl/>
              <w:jc w:val="center"/>
              <w:rPr>
                <w:rFonts w:ascii="宋体" w:hAnsi="宋体" w:cs="宋体"/>
                <w:color w:val="000000"/>
                <w:kern w:val="0"/>
                <w:sz w:val="20"/>
                <w:szCs w:val="20"/>
              </w:rPr>
            </w:pPr>
          </w:p>
        </w:tc>
        <w:tc>
          <w:tcPr>
            <w:tcW w:w="0" w:type="auto"/>
            <w:tcBorders>
              <w:top w:val="nil"/>
              <w:left w:val="nil"/>
              <w:bottom w:val="single" w:sz="8" w:space="0" w:color="auto"/>
              <w:right w:val="single" w:sz="8" w:space="0" w:color="auto"/>
            </w:tcBorders>
            <w:shd w:val="clear" w:color="auto" w:fill="auto"/>
            <w:noWrap/>
            <w:vAlign w:val="bottom"/>
            <w:hideMark/>
          </w:tcPr>
          <w:p w:rsidR="00DF093F" w:rsidRDefault="00DF093F">
            <w:pPr>
              <w:widowControl/>
              <w:jc w:val="center"/>
              <w:rPr>
                <w:rFonts w:ascii="宋体" w:hAnsi="宋体" w:cs="宋体"/>
                <w:color w:val="000000"/>
                <w:kern w:val="0"/>
                <w:sz w:val="20"/>
                <w:szCs w:val="20"/>
              </w:rPr>
            </w:pPr>
          </w:p>
        </w:tc>
      </w:tr>
    </w:tbl>
    <w:p w:rsidR="00DF093F" w:rsidRDefault="00DF093F">
      <w:pPr>
        <w:spacing w:line="360" w:lineRule="auto"/>
        <w:ind w:firstLine="405"/>
        <w:jc w:val="left"/>
        <w:rPr>
          <w:rFonts w:ascii="宋体" w:hAnsi="宋体"/>
          <w:szCs w:val="21"/>
        </w:rPr>
      </w:pPr>
    </w:p>
    <w:p w:rsidR="00DF093F" w:rsidRDefault="00D13EB9">
      <w:pPr>
        <w:spacing w:line="360" w:lineRule="auto"/>
        <w:ind w:firstLine="405"/>
        <w:jc w:val="left"/>
        <w:rPr>
          <w:rFonts w:ascii="宋体" w:hAnsi="宋体"/>
          <w:szCs w:val="21"/>
        </w:rPr>
      </w:pPr>
      <w:r>
        <w:rPr>
          <w:rFonts w:ascii="宋体" w:hAnsi="宋体" w:hint="eastAsia"/>
          <w:szCs w:val="21"/>
        </w:rPr>
        <w:t>本基金 C类份额在以下代销机构办理转换业务：</w:t>
      </w:r>
    </w:p>
    <w:tbl>
      <w:tblPr>
        <w:tblW w:w="0" w:type="auto"/>
        <w:jc w:val="center"/>
        <w:tblInd w:w="93" w:type="dxa"/>
        <w:tblLook w:val="04A0"/>
      </w:tblPr>
      <w:tblGrid>
        <w:gridCol w:w="616"/>
        <w:gridCol w:w="3416"/>
        <w:gridCol w:w="616"/>
        <w:gridCol w:w="3416"/>
      </w:tblGrid>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中国银行股份有限公司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嘉实财富管理有限公司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上海基煜基金销售有限公司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华泰证券股份有限公司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中国人寿保险股份有限公司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上海长量基金销售有限公司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上海好买基金销售有限公司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上海天天基金销售有限公司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深圳众禄基金销售股份有限公司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浙江同花顺基金销售有限公司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蚂蚁（杭州）基金销售有限公司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浦领基金销售有限公司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深圳市新兰德证券投资咨询有限公司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上海利得基金销售有限公司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诺亚正行基金销售有限公司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上海陆金所基金销售有限公司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珠海盈米基金销售有限公司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上海联泰基金销售有限公司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和耕传承基金销售有限公司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深圳市金斧子基金销售有限公司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上海万得基金销售有限公司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北京蛋卷基金销售有限公司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东方财富证券股份有限公司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中证金牛</w:t>
            </w:r>
            <w:r>
              <w:rPr>
                <w:rFonts w:ascii="宋体" w:hAnsi="宋体" w:cs="宋体"/>
                <w:color w:val="000000"/>
                <w:kern w:val="0"/>
                <w:sz w:val="20"/>
                <w:szCs w:val="20"/>
              </w:rPr>
              <w:t>(北京)投资咨询有限公司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京东肯特瑞基金销售有限公司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通华财富（上海）基金销售有限公司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江苏银行股份有限公司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北京恒天明泽基金销售有限公司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玄元保险代理有限公司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F093F">
            <w:pPr>
              <w:widowControl/>
              <w:jc w:val="center"/>
              <w:rPr>
                <w:rFonts w:ascii="宋体" w:hAnsi="宋体" w:cs="宋体"/>
                <w:color w:val="000000"/>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F093F">
            <w:pPr>
              <w:widowControl/>
              <w:jc w:val="center"/>
              <w:rPr>
                <w:rFonts w:ascii="宋体" w:hAnsi="宋体" w:cs="宋体"/>
                <w:color w:val="000000"/>
                <w:kern w:val="0"/>
                <w:sz w:val="20"/>
                <w:szCs w:val="20"/>
              </w:rPr>
            </w:pPr>
          </w:p>
        </w:tc>
      </w:tr>
    </w:tbl>
    <w:p w:rsidR="00DF093F" w:rsidRDefault="00D13EB9">
      <w:pPr>
        <w:spacing w:line="360" w:lineRule="auto"/>
        <w:ind w:firstLine="405"/>
        <w:jc w:val="left"/>
        <w:rPr>
          <w:rFonts w:ascii="宋体" w:hAnsi="宋体"/>
          <w:szCs w:val="21"/>
        </w:rPr>
      </w:pPr>
      <w:r>
        <w:rPr>
          <w:rFonts w:ascii="宋体" w:hAnsi="宋体" w:hint="eastAsia"/>
          <w:vanish/>
          <w:szCs w:val="21"/>
        </w:rPr>
        <w:cr/>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p>
    <w:p w:rsidR="00DF093F" w:rsidRDefault="00D13EB9">
      <w:pPr>
        <w:spacing w:line="360" w:lineRule="auto"/>
        <w:ind w:firstLineChars="200" w:firstLine="420"/>
        <w:jc w:val="left"/>
        <w:rPr>
          <w:rFonts w:ascii="宋体" w:hAnsi="宋体"/>
          <w:szCs w:val="21"/>
        </w:rPr>
      </w:pPr>
      <w:r>
        <w:rPr>
          <w:rFonts w:ascii="宋体" w:hAnsi="宋体" w:hint="eastAsia"/>
          <w:szCs w:val="21"/>
        </w:rPr>
        <w:t>具体的业务规则请以代销机构的相关公告为准</w:t>
      </w:r>
      <w:r>
        <w:rPr>
          <w:rFonts w:ascii="宋体" w:hAnsi="宋体"/>
          <w:szCs w:val="21"/>
        </w:rPr>
        <w:t>,各代销机构保留对其业务规则的最终解释权。</w:t>
      </w:r>
    </w:p>
    <w:p w:rsidR="00DF093F" w:rsidRDefault="00DF093F">
      <w:pPr>
        <w:spacing w:line="360" w:lineRule="auto"/>
        <w:ind w:firstLineChars="200" w:firstLine="420"/>
        <w:jc w:val="left"/>
        <w:rPr>
          <w:rFonts w:ascii="宋体" w:hAnsi="宋体"/>
          <w:szCs w:val="21"/>
        </w:rPr>
      </w:pPr>
    </w:p>
    <w:p w:rsidR="00DF093F" w:rsidRDefault="00D13EB9" w:rsidP="00251CBA">
      <w:pPr>
        <w:pStyle w:val="2"/>
        <w:numPr>
          <w:ilvl w:val="0"/>
          <w:numId w:val="1"/>
        </w:numPr>
        <w:spacing w:beforeLines="50" w:afterLines="50" w:line="240" w:lineRule="auto"/>
        <w:rPr>
          <w:rFonts w:ascii="宋体" w:eastAsia="宋体" w:hAnsi="宋体"/>
          <w:bCs/>
          <w:sz w:val="24"/>
          <w:szCs w:val="24"/>
        </w:rPr>
        <w:pPrChange w:id="39" w:author="ZHONGM" w:date="2020-12-23T00:23:00Z">
          <w:pPr>
            <w:pStyle w:val="2"/>
            <w:numPr>
              <w:numId w:val="1"/>
            </w:numPr>
            <w:spacing w:beforeLines="50" w:afterLines="50" w:line="240" w:lineRule="auto"/>
            <w:ind w:left="420" w:hanging="420"/>
          </w:pPr>
        </w:pPrChange>
      </w:pPr>
      <w:bookmarkStart w:id="40" w:name="t_2_6_table"/>
      <w:bookmarkStart w:id="41" w:name="t_2_6_2825_a1_fm1"/>
      <w:bookmarkEnd w:id="40"/>
      <w:bookmarkEnd w:id="41"/>
      <w:r>
        <w:rPr>
          <w:rFonts w:ascii="宋体" w:eastAsia="宋体" w:hAnsi="宋体" w:hint="eastAsia"/>
          <w:bCs/>
          <w:sz w:val="24"/>
          <w:szCs w:val="24"/>
        </w:rPr>
        <w:t>基金销售机构</w:t>
      </w:r>
    </w:p>
    <w:p w:rsidR="00DF093F" w:rsidRDefault="00D13EB9" w:rsidP="00251CBA">
      <w:pPr>
        <w:numPr>
          <w:ilvl w:val="1"/>
          <w:numId w:val="1"/>
        </w:numPr>
        <w:spacing w:beforeLines="50" w:afterLines="50"/>
        <w:jc w:val="left"/>
        <w:rPr>
          <w:rFonts w:ascii="宋体" w:hAnsi="宋体"/>
          <w:b/>
          <w:sz w:val="24"/>
          <w:szCs w:val="20"/>
        </w:rPr>
        <w:pPrChange w:id="42" w:author="ZHONGM" w:date="2020-12-23T00:23:00Z">
          <w:pPr>
            <w:numPr>
              <w:ilvl w:val="1"/>
              <w:numId w:val="1"/>
            </w:numPr>
            <w:spacing w:beforeLines="50" w:afterLines="50"/>
            <w:ind w:left="720" w:hanging="720"/>
            <w:jc w:val="left"/>
          </w:pPr>
        </w:pPrChange>
      </w:pPr>
      <w:r>
        <w:rPr>
          <w:rFonts w:ascii="宋体" w:hAnsi="宋体" w:hint="eastAsia"/>
          <w:b/>
          <w:sz w:val="24"/>
          <w:szCs w:val="20"/>
        </w:rPr>
        <w:t>场外销售机构</w:t>
      </w:r>
    </w:p>
    <w:p w:rsidR="00DF093F" w:rsidRDefault="00D13EB9" w:rsidP="00251CBA">
      <w:pPr>
        <w:numPr>
          <w:ilvl w:val="2"/>
          <w:numId w:val="1"/>
        </w:numPr>
        <w:spacing w:beforeLines="50" w:afterLines="50"/>
        <w:jc w:val="left"/>
        <w:rPr>
          <w:rFonts w:ascii="宋体" w:hAnsi="宋体"/>
          <w:b/>
          <w:sz w:val="24"/>
          <w:szCs w:val="20"/>
        </w:rPr>
        <w:pPrChange w:id="43" w:author="ZHONGM" w:date="2020-12-23T00:23:00Z">
          <w:pPr>
            <w:numPr>
              <w:ilvl w:val="2"/>
              <w:numId w:val="1"/>
            </w:numPr>
            <w:spacing w:beforeLines="50" w:afterLines="50"/>
            <w:ind w:left="720" w:hanging="720"/>
            <w:jc w:val="left"/>
          </w:pPr>
        </w:pPrChange>
      </w:pPr>
      <w:r>
        <w:rPr>
          <w:rFonts w:ascii="宋体" w:hAnsi="宋体" w:hint="eastAsia"/>
          <w:b/>
          <w:sz w:val="24"/>
          <w:szCs w:val="20"/>
        </w:rPr>
        <w:t>直销机构</w:t>
      </w:r>
    </w:p>
    <w:p w:rsidR="00DF093F" w:rsidRDefault="00D13EB9">
      <w:pPr>
        <w:spacing w:line="360" w:lineRule="auto"/>
        <w:ind w:firstLineChars="200" w:firstLine="420"/>
        <w:rPr>
          <w:rFonts w:ascii="宋体" w:hAnsi="宋体"/>
          <w:szCs w:val="21"/>
        </w:rPr>
      </w:pPr>
      <w:bookmarkStart w:id="44" w:name="t_2_7_2833_a1_fm1"/>
      <w:bookmarkEnd w:id="44"/>
      <w:r>
        <w:rPr>
          <w:rFonts w:ascii="宋体" w:hAnsi="宋体" w:hint="eastAsia"/>
          <w:szCs w:val="21"/>
        </w:rPr>
        <w:t>名</w:t>
      </w:r>
      <w:r>
        <w:rPr>
          <w:rFonts w:ascii="宋体" w:hAnsi="宋体"/>
          <w:szCs w:val="21"/>
        </w:rPr>
        <w:t>称：华泰柏瑞基金管理有限公司</w:t>
      </w:r>
    </w:p>
    <w:p w:rsidR="00DF093F" w:rsidRDefault="00D13EB9">
      <w:pPr>
        <w:spacing w:line="360" w:lineRule="auto"/>
        <w:ind w:firstLineChars="200" w:firstLine="420"/>
        <w:rPr>
          <w:rFonts w:ascii="宋体" w:hAnsi="宋体"/>
          <w:szCs w:val="21"/>
        </w:rPr>
      </w:pPr>
      <w:r>
        <w:rPr>
          <w:rFonts w:ascii="宋体" w:hAnsi="宋体" w:hint="eastAsia"/>
          <w:szCs w:val="21"/>
        </w:rPr>
        <w:t>办公地址：中国（上海）自由贸易试验区民生路</w:t>
      </w:r>
      <w:r>
        <w:rPr>
          <w:rFonts w:ascii="宋体" w:hAnsi="宋体"/>
          <w:szCs w:val="21"/>
        </w:rPr>
        <w:t>1199弄证大五道口广场1号楼17层</w:t>
      </w:r>
    </w:p>
    <w:p w:rsidR="00DF093F" w:rsidRDefault="00D13EB9">
      <w:pPr>
        <w:spacing w:line="360" w:lineRule="auto"/>
        <w:ind w:firstLineChars="200" w:firstLine="420"/>
        <w:rPr>
          <w:rFonts w:ascii="宋体" w:hAnsi="宋体"/>
          <w:szCs w:val="21"/>
        </w:rPr>
      </w:pPr>
      <w:r>
        <w:rPr>
          <w:rFonts w:ascii="宋体" w:hAnsi="宋体" w:hint="eastAsia"/>
          <w:szCs w:val="21"/>
        </w:rPr>
        <w:t>注册地址：中国（上海）自由贸易试验区民生路</w:t>
      </w:r>
      <w:r>
        <w:rPr>
          <w:rFonts w:ascii="宋体" w:hAnsi="宋体"/>
          <w:szCs w:val="21"/>
        </w:rPr>
        <w:t>1199弄证大五道口广场1号楼17层</w:t>
      </w:r>
    </w:p>
    <w:p w:rsidR="00DF093F" w:rsidRDefault="00D13EB9">
      <w:pPr>
        <w:spacing w:line="360" w:lineRule="auto"/>
        <w:ind w:firstLineChars="200" w:firstLine="420"/>
        <w:rPr>
          <w:rFonts w:ascii="宋体" w:hAnsi="宋体"/>
          <w:szCs w:val="21"/>
        </w:rPr>
      </w:pPr>
      <w:r>
        <w:rPr>
          <w:rFonts w:ascii="宋体" w:hAnsi="宋体" w:hint="eastAsia"/>
          <w:szCs w:val="21"/>
        </w:rPr>
        <w:t>法定代表人：贾波</w:t>
      </w:r>
    </w:p>
    <w:p w:rsidR="00DF093F" w:rsidRDefault="00D13EB9">
      <w:pPr>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021-38784638</w:t>
      </w:r>
    </w:p>
    <w:p w:rsidR="00DF093F" w:rsidRDefault="00D13EB9">
      <w:pPr>
        <w:spacing w:line="360" w:lineRule="auto"/>
        <w:ind w:firstLineChars="200" w:firstLine="420"/>
        <w:rPr>
          <w:rFonts w:ascii="宋体" w:hAnsi="宋体"/>
          <w:szCs w:val="21"/>
        </w:rPr>
      </w:pPr>
      <w:r>
        <w:rPr>
          <w:rFonts w:ascii="宋体" w:hAnsi="宋体" w:hint="eastAsia"/>
          <w:szCs w:val="21"/>
        </w:rPr>
        <w:t>全国统一客户服务电话：</w:t>
      </w:r>
      <w:r>
        <w:rPr>
          <w:rFonts w:ascii="宋体" w:hAnsi="宋体"/>
          <w:szCs w:val="21"/>
        </w:rPr>
        <w:t>400-888-0001</w:t>
      </w:r>
    </w:p>
    <w:p w:rsidR="00DF093F" w:rsidRDefault="00D13EB9">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021-50103016</w:t>
      </w:r>
    </w:p>
    <w:p w:rsidR="00DF093F" w:rsidRDefault="00D13EB9">
      <w:pPr>
        <w:spacing w:line="360" w:lineRule="auto"/>
        <w:ind w:firstLineChars="200" w:firstLine="420"/>
        <w:rPr>
          <w:rFonts w:ascii="宋体" w:hAnsi="宋体"/>
          <w:szCs w:val="21"/>
        </w:rPr>
      </w:pPr>
      <w:r>
        <w:rPr>
          <w:rFonts w:ascii="宋体" w:hAnsi="宋体" w:hint="eastAsia"/>
          <w:szCs w:val="21"/>
        </w:rPr>
        <w:t>联系人：汪莹白</w:t>
      </w:r>
    </w:p>
    <w:p w:rsidR="00DF093F" w:rsidRDefault="00D13EB9">
      <w:pPr>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www.huatai-pb.com</w:t>
      </w:r>
    </w:p>
    <w:p w:rsidR="00DF093F" w:rsidRDefault="00D13EB9">
      <w:pPr>
        <w:spacing w:line="360" w:lineRule="auto"/>
        <w:ind w:firstLineChars="200" w:firstLine="420"/>
        <w:rPr>
          <w:rFonts w:ascii="宋体" w:hAnsi="宋体"/>
          <w:szCs w:val="21"/>
        </w:rPr>
      </w:pPr>
      <w:r>
        <w:rPr>
          <w:rFonts w:ascii="宋体" w:hAnsi="宋体" w:hint="eastAsia"/>
          <w:szCs w:val="21"/>
        </w:rPr>
        <w:t>投资者还可通过本公司网上直销开户、交易本基金，网上直销网址：</w:t>
      </w:r>
      <w:r>
        <w:rPr>
          <w:rFonts w:ascii="宋体" w:hAnsi="宋体"/>
          <w:szCs w:val="21"/>
        </w:rPr>
        <w:t>www.huatai-pb.com。</w:t>
      </w:r>
    </w:p>
    <w:p w:rsidR="00DF093F" w:rsidRDefault="00DF093F">
      <w:pPr>
        <w:spacing w:line="360" w:lineRule="auto"/>
        <w:ind w:firstLineChars="200" w:firstLine="420"/>
        <w:rPr>
          <w:rFonts w:ascii="宋体" w:hAnsi="宋体"/>
          <w:szCs w:val="21"/>
        </w:rPr>
      </w:pPr>
    </w:p>
    <w:p w:rsidR="00DF093F" w:rsidRDefault="00D13EB9" w:rsidP="00251CBA">
      <w:pPr>
        <w:spacing w:beforeLines="50" w:afterLines="50"/>
        <w:jc w:val="left"/>
        <w:rPr>
          <w:rFonts w:ascii="宋体" w:hAnsi="宋体"/>
          <w:b/>
          <w:sz w:val="24"/>
          <w:szCs w:val="20"/>
        </w:rPr>
        <w:pPrChange w:id="45" w:author="ZHONGM" w:date="2020-12-23T00:23:00Z">
          <w:pPr>
            <w:spacing w:beforeLines="50" w:afterLines="50"/>
            <w:jc w:val="left"/>
          </w:pPr>
        </w:pPrChange>
      </w:pPr>
      <w:r>
        <w:rPr>
          <w:rFonts w:ascii="宋体" w:hAnsi="宋体" w:hint="eastAsia"/>
          <w:b/>
          <w:sz w:val="24"/>
          <w:szCs w:val="20"/>
        </w:rPr>
        <w:t>4.1.2 场外代销机构</w:t>
      </w:r>
    </w:p>
    <w:p w:rsidR="00DF093F" w:rsidRDefault="00DF093F" w:rsidP="00251CBA">
      <w:pPr>
        <w:spacing w:beforeLines="50" w:afterLines="50"/>
        <w:jc w:val="left"/>
        <w:rPr>
          <w:rFonts w:ascii="宋体" w:hAnsi="宋体"/>
          <w:b/>
          <w:sz w:val="24"/>
          <w:szCs w:val="20"/>
        </w:rPr>
        <w:pPrChange w:id="46" w:author="ZHONGM" w:date="2020-12-23T00:23:00Z">
          <w:pPr>
            <w:spacing w:beforeLines="50" w:afterLines="50"/>
            <w:jc w:val="left"/>
          </w:pPr>
        </w:pPrChange>
      </w:pPr>
    </w:p>
    <w:p w:rsidR="00DF093F" w:rsidRDefault="00D13EB9" w:rsidP="00251CBA">
      <w:pPr>
        <w:spacing w:beforeLines="50" w:afterLines="50"/>
        <w:jc w:val="left"/>
        <w:rPr>
          <w:rFonts w:ascii="宋体" w:hAnsi="宋体"/>
          <w:b/>
          <w:sz w:val="24"/>
          <w:szCs w:val="20"/>
        </w:rPr>
        <w:pPrChange w:id="47" w:author="ZHONGM" w:date="2020-12-23T00:23:00Z">
          <w:pPr>
            <w:spacing w:beforeLines="50" w:afterLines="50"/>
            <w:jc w:val="left"/>
          </w:pPr>
        </w:pPrChange>
      </w:pPr>
      <w:r>
        <w:rPr>
          <w:rFonts w:ascii="宋体" w:hAnsi="宋体" w:hint="eastAsia"/>
          <w:b/>
          <w:sz w:val="24"/>
          <w:szCs w:val="20"/>
        </w:rPr>
        <w:t>（1）代销 A 类的代销机构</w:t>
      </w:r>
    </w:p>
    <w:tbl>
      <w:tblPr>
        <w:tblW w:w="0" w:type="auto"/>
        <w:jc w:val="center"/>
        <w:tblInd w:w="93" w:type="dxa"/>
        <w:tblLook w:val="04A0"/>
      </w:tblPr>
      <w:tblGrid>
        <w:gridCol w:w="616"/>
        <w:gridCol w:w="3016"/>
        <w:gridCol w:w="616"/>
        <w:gridCol w:w="3416"/>
      </w:tblGrid>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中国银行股份有限公司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交通银行股份有限公司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中银国际证券股份有限公司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华安证券股份有限公司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平安银行股份有限公司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嘉实财富管理有限公司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中信银行股份有限公司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太平洋证券股份有限公司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中国民生银行股份有限公司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上海基煜基金销售有限公司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安信证券股份有限公司 </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江苏银行股份有限公司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渤海证券股份有限公司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民生证券股份有限公司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长江证券股份有限公司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广发银行股份有限公司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光大证券股份有限公司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大通证券股份有限公司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中信证券华南股份有限公司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西部证券股份有限公司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国都证券股份有限公司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财达证券股份有限公司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国信证券股份有限公司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财通证券股份有限公司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恒泰证券股份有限公司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东方证券股份有限公司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申万宏源西部证券有限公司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东兴证券股份有限公司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华福证券有限责任公司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方正证券股份有限公司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华泰证券股份有限公司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广发证券股份有限公司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华西证券股份有限公司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国元证券股份有限公司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华鑫证券有限责任公司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海通证券股份有限公司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平安证券股份有限公司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万联证券股份有限公司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中泰证券股份有限公司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湘财证券股份有限公司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上海证券有限责任公司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中原证券股份有限公司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申万宏源证券有限公司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上海浦东发展银行股份有限公司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西南证券股份有限公司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中国人寿保险股份有限公司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新时代证券股份有限公司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中信证券(山东)有限责任公司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信达证券股份有限公司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浙商证券股份有限公司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中国中金财富证券有限公司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中国银河证券股份有限公司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中信建投证券股份有限公司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中国国际金融股份有限公司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56　</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上海长量基金销售有限公司　</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上海好买基金销售有限公司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上海天天基金销售有限公司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深圳众禄基金销售股份有限公司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北京展恒基金销售股份有限公司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浙江同花顺基金销售有限公司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蚂蚁（杭州）基金销售有限公司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和讯信息科技有限公司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浦领基金销售有限公司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上海大智慧基金销售有限公司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深圳市新兰德证券投资咨询有限公司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上海利得基金销售有限公司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诺亚正行基金销售有限公司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上海陆金所基金销售有限公司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北京虹点基金销售有限公司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珠海盈米基金销售有限公司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上海联泰基金销售有限公司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深圳前海微众银行股份有限公司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深圳市金斧子基金销售有限公司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上海万得基金销售有限公司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北京蛋卷基金销售有限公司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东方财富证券股份有限公司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中证金牛</w:t>
            </w:r>
            <w:r>
              <w:rPr>
                <w:rFonts w:ascii="宋体" w:hAnsi="宋体" w:cs="宋体"/>
                <w:color w:val="000000"/>
                <w:kern w:val="0"/>
                <w:sz w:val="20"/>
                <w:szCs w:val="20"/>
              </w:rPr>
              <w:t>(北京)投资咨询有限公司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京东肯特瑞基金销售有限公司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通华财富（上海）基金销售有限公司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玄元保险代理有限公司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北京度小满基金销售有限公司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83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北京恒天明泽基金销售有限公司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F093F">
            <w:pPr>
              <w:widowControl/>
              <w:jc w:val="center"/>
              <w:rPr>
                <w:rFonts w:ascii="宋体" w:hAnsi="宋体" w:cs="宋体"/>
                <w:color w:val="000000"/>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F093F">
            <w:pPr>
              <w:widowControl/>
              <w:jc w:val="center"/>
              <w:rPr>
                <w:rFonts w:ascii="宋体" w:hAnsi="宋体" w:cs="宋体"/>
                <w:color w:val="000000"/>
                <w:kern w:val="0"/>
                <w:sz w:val="20"/>
                <w:szCs w:val="20"/>
              </w:rPr>
            </w:pPr>
          </w:p>
        </w:tc>
      </w:tr>
    </w:tbl>
    <w:p w:rsidR="00DF093F" w:rsidRDefault="00DF093F" w:rsidP="00251CBA">
      <w:pPr>
        <w:spacing w:beforeLines="50" w:afterLines="50"/>
        <w:jc w:val="left"/>
        <w:rPr>
          <w:rFonts w:ascii="宋体" w:hAnsi="宋体"/>
          <w:b/>
          <w:sz w:val="24"/>
          <w:szCs w:val="20"/>
        </w:rPr>
        <w:pPrChange w:id="48" w:author="ZHONGM" w:date="2020-12-23T00:23:00Z">
          <w:pPr>
            <w:spacing w:beforeLines="50" w:afterLines="50"/>
            <w:jc w:val="left"/>
          </w:pPr>
        </w:pPrChange>
      </w:pPr>
    </w:p>
    <w:p w:rsidR="00DF093F" w:rsidRDefault="00D13EB9" w:rsidP="00251CBA">
      <w:pPr>
        <w:spacing w:beforeLines="50" w:afterLines="50"/>
        <w:jc w:val="left"/>
        <w:rPr>
          <w:rFonts w:ascii="宋体" w:hAnsi="宋体"/>
          <w:b/>
          <w:sz w:val="24"/>
          <w:szCs w:val="20"/>
        </w:rPr>
        <w:pPrChange w:id="49" w:author="ZHONGM" w:date="2020-12-23T00:23:00Z">
          <w:pPr>
            <w:spacing w:beforeLines="50" w:afterLines="50"/>
            <w:jc w:val="left"/>
          </w:pPr>
        </w:pPrChange>
      </w:pPr>
      <w:bookmarkStart w:id="50" w:name="t_2_7_2834_a1_fm1"/>
      <w:bookmarkStart w:id="51" w:name="t_2_7_2835_a1_fm1"/>
      <w:bookmarkStart w:id="52" w:name="t_2_8_table"/>
      <w:bookmarkEnd w:id="50"/>
      <w:bookmarkEnd w:id="51"/>
      <w:bookmarkEnd w:id="52"/>
      <w:r>
        <w:rPr>
          <w:rFonts w:ascii="宋体" w:hAnsi="宋体" w:hint="eastAsia"/>
          <w:b/>
          <w:sz w:val="24"/>
          <w:szCs w:val="20"/>
        </w:rPr>
        <w:t>（2）代销 C类的代销机构</w:t>
      </w:r>
    </w:p>
    <w:tbl>
      <w:tblPr>
        <w:tblW w:w="0" w:type="auto"/>
        <w:jc w:val="center"/>
        <w:tblInd w:w="93" w:type="dxa"/>
        <w:tblLook w:val="04A0"/>
      </w:tblPr>
      <w:tblGrid>
        <w:gridCol w:w="616"/>
        <w:gridCol w:w="3416"/>
        <w:gridCol w:w="616"/>
        <w:gridCol w:w="3416"/>
      </w:tblGrid>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代销机构名称</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中国银行股份有限公司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嘉实财富管理有限公司</w:t>
            </w:r>
          </w:p>
        </w:tc>
      </w:tr>
      <w:tr w:rsidR="00DF093F">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上海基煜基金销售有限公司</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华泰证券股份有限公司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中国人寿保险股份有限公司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上海长量基金销售有限公司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上海好买基金销售有限公司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上海天天基金销售有限公司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深圳众禄基金销售股份有限公司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浙江同花顺基金销售有限公司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蚂蚁（杭州）基金销售有限公司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浦领基金销售有限公司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深圳市新兰德证券投资咨询有限公司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上海利得基金销售有限公司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诺亚正行基金销售有限公司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上海陆金所基金销售有限公司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珠海盈米基金销售有限公司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上海联泰基金销售有限公司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和耕传承基金销售有限公司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深圳市金斧子基金销售有限公司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上海万得基金销售有限公司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北京蛋卷基金销售有限公司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东方财富证券股份有限公司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color w:val="000000"/>
                <w:kern w:val="0"/>
                <w:sz w:val="20"/>
                <w:szCs w:val="20"/>
              </w:rPr>
              <w:t>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中证金牛</w:t>
            </w:r>
            <w:r>
              <w:rPr>
                <w:rFonts w:ascii="宋体" w:hAnsi="宋体" w:cs="宋体"/>
                <w:color w:val="000000"/>
                <w:kern w:val="0"/>
                <w:sz w:val="20"/>
                <w:szCs w:val="20"/>
              </w:rPr>
              <w:t>(北京)投资咨询有限公司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京东肯特瑞基金销售有限公司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通华财富（上海）基金销售有限公司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江苏银行股份有限公司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北京恒天明泽基金销售有限公司</w:t>
            </w:r>
          </w:p>
        </w:tc>
      </w:tr>
      <w:tr w:rsidR="00DF093F">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13EB9">
            <w:pPr>
              <w:widowControl/>
              <w:jc w:val="center"/>
              <w:rPr>
                <w:rFonts w:ascii="宋体" w:hAnsi="宋体" w:cs="宋体"/>
                <w:color w:val="000000"/>
                <w:kern w:val="0"/>
                <w:sz w:val="20"/>
                <w:szCs w:val="20"/>
              </w:rPr>
            </w:pPr>
            <w:r>
              <w:rPr>
                <w:rFonts w:ascii="宋体" w:hAnsi="宋体" w:cs="宋体" w:hint="eastAsia"/>
                <w:color w:val="000000"/>
                <w:kern w:val="0"/>
                <w:sz w:val="20"/>
                <w:szCs w:val="20"/>
              </w:rPr>
              <w:t>玄元保险代理有限公司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F093F">
            <w:pPr>
              <w:widowControl/>
              <w:jc w:val="center"/>
              <w:rPr>
                <w:rFonts w:ascii="宋体" w:hAnsi="宋体" w:cs="宋体"/>
                <w:color w:val="000000"/>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93F" w:rsidRDefault="00DF093F">
            <w:pPr>
              <w:widowControl/>
              <w:jc w:val="center"/>
              <w:rPr>
                <w:rFonts w:ascii="宋体" w:hAnsi="宋体" w:cs="宋体"/>
                <w:color w:val="000000"/>
                <w:kern w:val="0"/>
                <w:sz w:val="20"/>
                <w:szCs w:val="20"/>
              </w:rPr>
            </w:pPr>
          </w:p>
        </w:tc>
      </w:tr>
    </w:tbl>
    <w:p w:rsidR="00DF093F" w:rsidRDefault="00D13EB9" w:rsidP="00251CBA">
      <w:pPr>
        <w:pStyle w:val="2"/>
        <w:numPr>
          <w:ilvl w:val="0"/>
          <w:numId w:val="1"/>
        </w:numPr>
        <w:spacing w:beforeLines="50" w:afterLines="50" w:line="240" w:lineRule="auto"/>
        <w:rPr>
          <w:rFonts w:ascii="宋体" w:eastAsia="宋体" w:hAnsi="宋体"/>
          <w:bCs/>
          <w:sz w:val="24"/>
          <w:szCs w:val="24"/>
        </w:rPr>
        <w:pPrChange w:id="53" w:author="ZHONGM" w:date="2020-12-23T00:23:00Z">
          <w:pPr>
            <w:pStyle w:val="2"/>
            <w:numPr>
              <w:numId w:val="1"/>
            </w:numPr>
            <w:spacing w:beforeLines="50" w:afterLines="50" w:line="240" w:lineRule="auto"/>
            <w:ind w:left="420" w:hanging="420"/>
          </w:pPr>
        </w:pPrChange>
      </w:pPr>
      <w:r>
        <w:rPr>
          <w:rFonts w:ascii="宋体" w:eastAsia="宋体" w:hAnsi="宋体" w:hint="eastAsia"/>
          <w:bCs/>
          <w:sz w:val="24"/>
          <w:szCs w:val="24"/>
        </w:rPr>
        <w:t>其他需要提示的事项</w:t>
      </w:r>
    </w:p>
    <w:p w:rsidR="00DF093F" w:rsidRDefault="00D13EB9">
      <w:pPr>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本公告仅对本基金的开放转换业务事项予以说明。投资者欲了解本基金详细情况，请认真阅读《华泰柏瑞景气回报一年持有期混合型证券投资基金招募说明书》，亦可登陆本公司网站（www.huatai-pb.com）和中国证监会基金电子披露网站（http://eid.csrc.gov.cn/fund）进行查询。</w:t>
      </w:r>
    </w:p>
    <w:p w:rsidR="00DF093F" w:rsidRDefault="00D13EB9">
      <w:pPr>
        <w:spacing w:line="360" w:lineRule="auto"/>
        <w:ind w:firstLineChars="200" w:firstLine="420"/>
        <w:jc w:val="left"/>
        <w:rPr>
          <w:rFonts w:ascii="宋体" w:hAnsi="宋体"/>
          <w:szCs w:val="21"/>
        </w:rPr>
      </w:pPr>
      <w:r>
        <w:rPr>
          <w:rFonts w:ascii="宋体" w:hAnsi="宋体" w:hint="eastAsia"/>
          <w:szCs w:val="21"/>
        </w:rPr>
        <w:t>2、基金管理人可在法律法规允许的范围内、在不对基金份额持有人利益造成损害的前提下，对上述业务的办理时间、方式等规则进行调整，并在新规则开始实施前按照《信息披露办法》的有关规定在指定媒介公告。</w:t>
      </w:r>
    </w:p>
    <w:p w:rsidR="00DF093F" w:rsidRDefault="00D13EB9">
      <w:pPr>
        <w:spacing w:line="360" w:lineRule="auto"/>
        <w:ind w:firstLineChars="200" w:firstLine="420"/>
        <w:jc w:val="left"/>
        <w:rPr>
          <w:rFonts w:ascii="宋体" w:hAnsi="宋体"/>
          <w:szCs w:val="21"/>
        </w:rPr>
      </w:pPr>
      <w:r>
        <w:rPr>
          <w:rFonts w:ascii="宋体" w:hAnsi="宋体" w:hint="eastAsia"/>
          <w:szCs w:val="21"/>
        </w:rPr>
        <w:t>3、本基金对每份基金份额设置1年的最短持有期限，即：自基金合同生效日（对认购份额而言，下同）或基金份额申购确认日（对申购份额而言，下同）至该日次年的年度对日的期间内，投资者不能提出赎回或转换转出申请；该日次年的年度对日之后，投资者可以提出赎回或转换转出申请。若该日历年度实际不存在对应日期的，则顺延至下一日。</w:t>
      </w:r>
    </w:p>
    <w:p w:rsidR="00DF093F" w:rsidRDefault="00D13EB9">
      <w:pPr>
        <w:spacing w:line="360" w:lineRule="auto"/>
        <w:ind w:firstLineChars="200" w:firstLine="420"/>
        <w:jc w:val="left"/>
        <w:rPr>
          <w:rFonts w:ascii="宋体" w:hAnsi="宋体"/>
          <w:szCs w:val="21"/>
        </w:rPr>
      </w:pPr>
      <w:r>
        <w:rPr>
          <w:rFonts w:ascii="宋体" w:hAnsi="宋体" w:hint="eastAsia"/>
          <w:szCs w:val="21"/>
        </w:rPr>
        <w:t>4、</w:t>
      </w:r>
      <w:r>
        <w:t>本基金为逐笔计提业绩报酬的基金，由于管理人可能计提业绩报酬，投资者实际赎回份额净值可能低于每日披露的基金份额净值，投资者实际赎回金额以登记机构确认数据为准。</w:t>
      </w:r>
    </w:p>
    <w:p w:rsidR="00DF093F" w:rsidRDefault="00D13EB9">
      <w:pPr>
        <w:spacing w:line="360" w:lineRule="auto"/>
        <w:ind w:firstLineChars="200" w:firstLine="420"/>
        <w:jc w:val="left"/>
        <w:rPr>
          <w:rFonts w:ascii="宋体" w:hAnsi="宋体"/>
          <w:szCs w:val="21"/>
        </w:rPr>
      </w:pPr>
      <w:r>
        <w:rPr>
          <w:rFonts w:ascii="宋体" w:hAnsi="宋体" w:hint="eastAsia"/>
          <w:szCs w:val="21"/>
        </w:rPr>
        <w:t>5</w:t>
      </w:r>
      <w:r>
        <w:rPr>
          <w:rFonts w:ascii="宋体" w:hAnsi="宋体"/>
          <w:szCs w:val="21"/>
        </w:rPr>
        <w:t>、如有任何疑问，欢迎与我们联系：</w:t>
      </w:r>
    </w:p>
    <w:p w:rsidR="00DF093F" w:rsidRDefault="00D13EB9">
      <w:pPr>
        <w:spacing w:line="360" w:lineRule="auto"/>
        <w:ind w:firstLineChars="200" w:firstLine="420"/>
        <w:jc w:val="left"/>
        <w:rPr>
          <w:rFonts w:ascii="宋体" w:hAnsi="宋体"/>
          <w:szCs w:val="21"/>
        </w:rPr>
      </w:pPr>
      <w:r>
        <w:rPr>
          <w:rFonts w:ascii="宋体" w:hAnsi="宋体" w:hint="eastAsia"/>
          <w:szCs w:val="21"/>
        </w:rPr>
        <w:t>客户服务中心电话：</w:t>
      </w:r>
      <w:r>
        <w:rPr>
          <w:rFonts w:ascii="宋体" w:hAnsi="宋体"/>
          <w:szCs w:val="21"/>
        </w:rPr>
        <w:t>400-888-0001（免长途费），021-38784638</w:t>
      </w:r>
    </w:p>
    <w:p w:rsidR="00DF093F" w:rsidRDefault="00D13EB9">
      <w:pPr>
        <w:spacing w:line="360" w:lineRule="auto"/>
        <w:ind w:firstLineChars="200" w:firstLine="420"/>
        <w:jc w:val="left"/>
        <w:rPr>
          <w:rFonts w:ascii="宋体" w:hAnsi="宋体"/>
          <w:szCs w:val="21"/>
        </w:rPr>
      </w:pPr>
      <w:r>
        <w:rPr>
          <w:rFonts w:ascii="宋体" w:hAnsi="宋体" w:hint="eastAsia"/>
          <w:szCs w:val="21"/>
        </w:rPr>
        <w:t>电子邮件地址：</w:t>
      </w:r>
      <w:r>
        <w:rPr>
          <w:rFonts w:ascii="宋体" w:hAnsi="宋体"/>
          <w:szCs w:val="21"/>
        </w:rPr>
        <w:t>cs4008880001@huatai-pb.com</w:t>
      </w:r>
    </w:p>
    <w:p w:rsidR="00DF093F" w:rsidRDefault="00DF093F">
      <w:pPr>
        <w:spacing w:line="360" w:lineRule="auto"/>
        <w:ind w:firstLineChars="200" w:firstLine="480"/>
        <w:jc w:val="left"/>
        <w:rPr>
          <w:rFonts w:ascii="宋体" w:hAnsi="宋体"/>
          <w:bCs/>
          <w:sz w:val="24"/>
          <w:szCs w:val="24"/>
        </w:rPr>
      </w:pPr>
    </w:p>
    <w:p w:rsidR="00DF093F" w:rsidRDefault="00D13EB9">
      <w:pPr>
        <w:spacing w:line="360" w:lineRule="auto"/>
        <w:ind w:firstLineChars="200" w:firstLine="420"/>
        <w:jc w:val="left"/>
        <w:rPr>
          <w:rFonts w:ascii="宋体" w:hAnsi="宋体"/>
          <w:szCs w:val="21"/>
        </w:rPr>
      </w:pPr>
      <w:bookmarkStart w:id="54" w:name="t_2_8_2756_a1_fm1"/>
      <w:bookmarkStart w:id="55" w:name="t_2_9_table"/>
      <w:bookmarkStart w:id="56" w:name="t_2_9_2646_a1_fm1"/>
      <w:bookmarkEnd w:id="54"/>
      <w:bookmarkEnd w:id="55"/>
      <w:bookmarkEnd w:id="56"/>
      <w:r>
        <w:rPr>
          <w:rFonts w:ascii="宋体" w:hAnsi="宋体"/>
          <w:szCs w:val="21"/>
        </w:rPr>
        <w:t>风险提示：基金管理人承诺以诚实信用、勤勉尽责的原则管理和运用基金财产，但不</w:t>
      </w:r>
      <w:r>
        <w:rPr>
          <w:rFonts w:ascii="宋体" w:hAnsi="宋体" w:hint="eastAsia"/>
          <w:szCs w:val="21"/>
        </w:rPr>
        <w:t>保证基金一定盈利，也不保证最低收益。敬请投资者于投资前认真阅读本基金的《基金合同》和《招募说明书》。</w:t>
      </w:r>
    </w:p>
    <w:p w:rsidR="00DF093F" w:rsidRDefault="00DF093F">
      <w:pPr>
        <w:spacing w:line="360" w:lineRule="auto"/>
        <w:ind w:firstLineChars="200" w:firstLine="420"/>
        <w:jc w:val="left"/>
        <w:rPr>
          <w:rFonts w:ascii="宋体" w:hAnsi="宋体"/>
          <w:szCs w:val="21"/>
        </w:rPr>
      </w:pPr>
    </w:p>
    <w:p w:rsidR="00DF093F" w:rsidRDefault="00D13EB9">
      <w:pPr>
        <w:spacing w:line="360" w:lineRule="auto"/>
        <w:jc w:val="right"/>
        <w:rPr>
          <w:rFonts w:ascii="宋体" w:hAnsi="宋体"/>
          <w:sz w:val="24"/>
          <w:szCs w:val="30"/>
        </w:rPr>
      </w:pPr>
      <w:r>
        <w:rPr>
          <w:rFonts w:ascii="宋体" w:hAnsi="宋体" w:hint="eastAsia"/>
          <w:sz w:val="24"/>
          <w:szCs w:val="30"/>
        </w:rPr>
        <w:t>华泰柏瑞基金管理有限公司</w:t>
      </w:r>
    </w:p>
    <w:p w:rsidR="00DF093F" w:rsidRDefault="00D13EB9">
      <w:pPr>
        <w:spacing w:line="360" w:lineRule="auto"/>
        <w:jc w:val="right"/>
        <w:rPr>
          <w:rFonts w:ascii="宋体" w:hAnsi="宋体"/>
          <w:szCs w:val="21"/>
        </w:rPr>
      </w:pPr>
      <w:bookmarkStart w:id="57" w:name="_GoBack"/>
      <w:bookmarkEnd w:id="57"/>
      <w:r>
        <w:rPr>
          <w:rFonts w:ascii="宋体" w:hAnsi="宋体"/>
          <w:sz w:val="24"/>
          <w:szCs w:val="30"/>
        </w:rPr>
        <w:t>2020年</w:t>
      </w:r>
      <w:r>
        <w:rPr>
          <w:rFonts w:ascii="宋体" w:hAnsi="宋体" w:hint="eastAsia"/>
          <w:sz w:val="24"/>
          <w:szCs w:val="30"/>
        </w:rPr>
        <w:t>12</w:t>
      </w:r>
      <w:r>
        <w:rPr>
          <w:rFonts w:ascii="宋体" w:hAnsi="宋体"/>
          <w:sz w:val="24"/>
          <w:szCs w:val="30"/>
        </w:rPr>
        <w:t>月</w:t>
      </w:r>
      <w:r>
        <w:rPr>
          <w:rFonts w:ascii="宋体" w:hAnsi="宋体" w:hint="eastAsia"/>
          <w:sz w:val="24"/>
          <w:szCs w:val="30"/>
        </w:rPr>
        <w:t>23</w:t>
      </w:r>
      <w:r>
        <w:rPr>
          <w:rFonts w:ascii="宋体" w:hAnsi="宋体"/>
          <w:sz w:val="24"/>
          <w:szCs w:val="30"/>
        </w:rPr>
        <w:t>日</w:t>
      </w:r>
    </w:p>
    <w:sectPr w:rsidR="00DF093F" w:rsidSect="00DF093F">
      <w:headerReference w:type="default" r:id="rId8"/>
      <w:footerReference w:type="default" r:id="rId9"/>
      <w:pgSz w:w="11906" w:h="16838"/>
      <w:pgMar w:top="1440" w:right="1531" w:bottom="1134" w:left="1531"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CF58D" w15:done="0"/>
  <w15:commentEx w15:paraId="3E04F0D3" w15:done="0"/>
  <w15:commentEx w15:paraId="5E9796E2" w15:done="0"/>
  <w15:commentEx w15:paraId="78843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5B49D" w16cid:durableId="235E74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B9" w:rsidRDefault="00D13EB9">
      <w:r>
        <w:separator/>
      </w:r>
    </w:p>
  </w:endnote>
  <w:endnote w:type="continuationSeparator" w:id="0">
    <w:p w:rsidR="00D13EB9" w:rsidRDefault="00D1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3F" w:rsidRDefault="00D13EB9">
    <w:pPr>
      <w:pStyle w:val="a5"/>
      <w:jc w:val="center"/>
    </w:pPr>
    <w:r>
      <w:rPr>
        <w:rFonts w:hint="eastAsia"/>
      </w:rPr>
      <w:t>第</w:t>
    </w:r>
    <w:r w:rsidR="00413B71">
      <w:fldChar w:fldCharType="begin"/>
    </w:r>
    <w:r>
      <w:instrText xml:space="preserve"> PAGE   \* MERGEFORMAT </w:instrText>
    </w:r>
    <w:r w:rsidR="00413B71">
      <w:fldChar w:fldCharType="separate"/>
    </w:r>
    <w:r w:rsidR="00251CBA">
      <w:rPr>
        <w:noProof/>
      </w:rPr>
      <w:t>1</w:t>
    </w:r>
    <w:r w:rsidR="00413B71">
      <w:rPr>
        <w:noProof/>
      </w:rPr>
      <w:fldChar w:fldCharType="end"/>
    </w:r>
    <w:r>
      <w:rPr>
        <w:rFonts w:hint="eastAsia"/>
      </w:rPr>
      <w:t>页共</w:t>
    </w:r>
    <w:fldSimple w:instr=" NUMPAGES   \* MERGEFORMAT ">
      <w:r w:rsidR="00251CBA">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B9" w:rsidRDefault="00D13EB9">
      <w:r>
        <w:separator/>
      </w:r>
    </w:p>
  </w:footnote>
  <w:footnote w:type="continuationSeparator" w:id="0">
    <w:p w:rsidR="00D13EB9" w:rsidRDefault="00D13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3F" w:rsidRDefault="00D13EB9">
    <w:pPr>
      <w:pStyle w:val="a4"/>
      <w:jc w:val="right"/>
    </w:pPr>
    <w:r>
      <w:rPr>
        <w:rFonts w:hint="eastAsia"/>
      </w:rPr>
      <w:t>华泰柏瑞景气回报一年持有期混合型证券投资基金开放日常转换业务公告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姚(Chen Yao)">
    <w15:presenceInfo w15:providerId="AD" w15:userId="S-1-5-21-2026026363-2301416390-712920408-7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93F"/>
    <w:rsid w:val="00251CBA"/>
    <w:rsid w:val="00407BE2"/>
    <w:rsid w:val="00413B71"/>
    <w:rsid w:val="00762DD4"/>
    <w:rsid w:val="00D13EB9"/>
    <w:rsid w:val="00DF0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3F"/>
    <w:pPr>
      <w:widowControl w:val="0"/>
      <w:jc w:val="both"/>
    </w:pPr>
    <w:rPr>
      <w:kern w:val="2"/>
      <w:sz w:val="21"/>
      <w:szCs w:val="22"/>
    </w:rPr>
  </w:style>
  <w:style w:type="paragraph" w:styleId="2">
    <w:name w:val="heading 2"/>
    <w:basedOn w:val="a"/>
    <w:next w:val="a"/>
    <w:link w:val="2Char"/>
    <w:qFormat/>
    <w:rsid w:val="00DF093F"/>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DF093F"/>
    <w:rPr>
      <w:rFonts w:ascii="Times New Roman" w:hAnsi="Times New Roman"/>
      <w:kern w:val="2"/>
      <w:sz w:val="18"/>
    </w:rPr>
  </w:style>
  <w:style w:type="character" w:customStyle="1" w:styleId="Char0">
    <w:name w:val="页眉 Char"/>
    <w:link w:val="a4"/>
    <w:rsid w:val="00DF093F"/>
    <w:rPr>
      <w:kern w:val="2"/>
      <w:sz w:val="18"/>
      <w:szCs w:val="18"/>
    </w:rPr>
  </w:style>
  <w:style w:type="character" w:customStyle="1" w:styleId="Char1">
    <w:name w:val="页脚 Char"/>
    <w:link w:val="a5"/>
    <w:rsid w:val="00DF093F"/>
    <w:rPr>
      <w:kern w:val="2"/>
      <w:sz w:val="18"/>
      <w:szCs w:val="18"/>
    </w:rPr>
  </w:style>
  <w:style w:type="character" w:customStyle="1" w:styleId="2Char">
    <w:name w:val="标题 2 Char"/>
    <w:link w:val="2"/>
    <w:rsid w:val="00DF093F"/>
    <w:rPr>
      <w:rFonts w:ascii="Arial" w:eastAsia="黑体" w:hAnsi="Arial"/>
      <w:b/>
      <w:kern w:val="2"/>
      <w:sz w:val="32"/>
    </w:rPr>
  </w:style>
  <w:style w:type="character" w:styleId="a6">
    <w:name w:val="footnote reference"/>
    <w:rsid w:val="00DF093F"/>
    <w:rPr>
      <w:vertAlign w:val="superscript"/>
    </w:rPr>
  </w:style>
  <w:style w:type="paragraph" w:customStyle="1" w:styleId="Char2">
    <w:name w:val="Char"/>
    <w:basedOn w:val="a"/>
    <w:rsid w:val="00DF093F"/>
    <w:rPr>
      <w:rFonts w:ascii="Times New Roman" w:hAnsi="Times New Roman"/>
      <w:szCs w:val="24"/>
    </w:rPr>
  </w:style>
  <w:style w:type="paragraph" w:styleId="a3">
    <w:name w:val="footnote text"/>
    <w:basedOn w:val="a"/>
    <w:link w:val="Char"/>
    <w:rsid w:val="00DF093F"/>
    <w:pPr>
      <w:snapToGrid w:val="0"/>
      <w:jc w:val="left"/>
    </w:pPr>
    <w:rPr>
      <w:rFonts w:ascii="Times New Roman" w:hAnsi="Times New Roman"/>
      <w:sz w:val="18"/>
      <w:szCs w:val="20"/>
    </w:rPr>
  </w:style>
  <w:style w:type="paragraph" w:styleId="a5">
    <w:name w:val="footer"/>
    <w:basedOn w:val="a"/>
    <w:link w:val="Char1"/>
    <w:rsid w:val="00DF093F"/>
    <w:pPr>
      <w:tabs>
        <w:tab w:val="center" w:pos="4153"/>
        <w:tab w:val="right" w:pos="8306"/>
      </w:tabs>
      <w:snapToGrid w:val="0"/>
      <w:jc w:val="left"/>
    </w:pPr>
    <w:rPr>
      <w:sz w:val="18"/>
      <w:szCs w:val="18"/>
    </w:rPr>
  </w:style>
  <w:style w:type="paragraph" w:styleId="a7">
    <w:name w:val="Document Map"/>
    <w:basedOn w:val="a"/>
    <w:rsid w:val="00DF093F"/>
    <w:pPr>
      <w:shd w:val="clear" w:color="auto" w:fill="000080"/>
    </w:pPr>
  </w:style>
  <w:style w:type="paragraph" w:styleId="a4">
    <w:name w:val="header"/>
    <w:basedOn w:val="a"/>
    <w:link w:val="Char0"/>
    <w:rsid w:val="00DF093F"/>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DF093F"/>
    <w:pPr>
      <w:widowControl w:val="0"/>
      <w:autoSpaceDE w:val="0"/>
      <w:autoSpaceDN w:val="0"/>
      <w:adjustRightInd w:val="0"/>
    </w:pPr>
    <w:rPr>
      <w:rFonts w:ascii="宋体" w:cs="宋体"/>
      <w:color w:val="000000"/>
      <w:sz w:val="24"/>
      <w:szCs w:val="24"/>
    </w:rPr>
  </w:style>
  <w:style w:type="paragraph" w:styleId="a8">
    <w:name w:val="Balloon Text"/>
    <w:basedOn w:val="a"/>
    <w:link w:val="Char3"/>
    <w:uiPriority w:val="99"/>
    <w:semiHidden/>
    <w:unhideWhenUsed/>
    <w:rsid w:val="00DF093F"/>
    <w:rPr>
      <w:sz w:val="18"/>
      <w:szCs w:val="18"/>
    </w:rPr>
  </w:style>
  <w:style w:type="character" w:customStyle="1" w:styleId="Char3">
    <w:name w:val="批注框文本 Char"/>
    <w:link w:val="a8"/>
    <w:uiPriority w:val="99"/>
    <w:semiHidden/>
    <w:rsid w:val="00DF093F"/>
    <w:rPr>
      <w:kern w:val="2"/>
      <w:sz w:val="18"/>
      <w:szCs w:val="18"/>
    </w:rPr>
  </w:style>
  <w:style w:type="character" w:styleId="a9">
    <w:name w:val="annotation reference"/>
    <w:uiPriority w:val="99"/>
    <w:semiHidden/>
    <w:unhideWhenUsed/>
    <w:rsid w:val="00DF093F"/>
    <w:rPr>
      <w:sz w:val="21"/>
      <w:szCs w:val="21"/>
    </w:rPr>
  </w:style>
  <w:style w:type="paragraph" w:styleId="aa">
    <w:name w:val="annotation text"/>
    <w:basedOn w:val="a"/>
    <w:link w:val="Char4"/>
    <w:uiPriority w:val="99"/>
    <w:semiHidden/>
    <w:unhideWhenUsed/>
    <w:rsid w:val="00DF093F"/>
    <w:pPr>
      <w:jc w:val="left"/>
    </w:pPr>
  </w:style>
  <w:style w:type="character" w:customStyle="1" w:styleId="Char4">
    <w:name w:val="批注文字 Char"/>
    <w:link w:val="aa"/>
    <w:uiPriority w:val="99"/>
    <w:semiHidden/>
    <w:rsid w:val="00DF093F"/>
    <w:rPr>
      <w:kern w:val="2"/>
      <w:sz w:val="21"/>
      <w:szCs w:val="22"/>
    </w:rPr>
  </w:style>
  <w:style w:type="paragraph" w:styleId="ab">
    <w:name w:val="annotation subject"/>
    <w:basedOn w:val="aa"/>
    <w:next w:val="aa"/>
    <w:link w:val="Char5"/>
    <w:uiPriority w:val="99"/>
    <w:semiHidden/>
    <w:unhideWhenUsed/>
    <w:rsid w:val="00DF093F"/>
    <w:rPr>
      <w:b/>
      <w:bCs/>
    </w:rPr>
  </w:style>
  <w:style w:type="character" w:customStyle="1" w:styleId="Char5">
    <w:name w:val="批注主题 Char"/>
    <w:link w:val="ab"/>
    <w:uiPriority w:val="99"/>
    <w:semiHidden/>
    <w:rsid w:val="00DF093F"/>
    <w:rPr>
      <w:b/>
      <w:bCs/>
      <w:kern w:val="2"/>
      <w:sz w:val="21"/>
      <w:szCs w:val="22"/>
    </w:rPr>
  </w:style>
  <w:style w:type="paragraph" w:styleId="ac">
    <w:name w:val="Revision"/>
    <w:hidden/>
    <w:uiPriority w:val="99"/>
    <w:semiHidden/>
    <w:rsid w:val="00DF093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24446">
      <w:bodyDiv w:val="1"/>
      <w:marLeft w:val="0"/>
      <w:marRight w:val="0"/>
      <w:marTop w:val="0"/>
      <w:marBottom w:val="0"/>
      <w:divBdr>
        <w:top w:val="none" w:sz="0" w:space="0" w:color="auto"/>
        <w:left w:val="none" w:sz="0" w:space="0" w:color="auto"/>
        <w:bottom w:val="none" w:sz="0" w:space="0" w:color="auto"/>
        <w:right w:val="none" w:sz="0" w:space="0" w:color="auto"/>
      </w:divBdr>
    </w:div>
    <w:div w:id="292758685">
      <w:bodyDiv w:val="1"/>
      <w:marLeft w:val="0"/>
      <w:marRight w:val="0"/>
      <w:marTop w:val="0"/>
      <w:marBottom w:val="0"/>
      <w:divBdr>
        <w:top w:val="none" w:sz="0" w:space="0" w:color="auto"/>
        <w:left w:val="none" w:sz="0" w:space="0" w:color="auto"/>
        <w:bottom w:val="none" w:sz="0" w:space="0" w:color="auto"/>
        <w:right w:val="none" w:sz="0" w:space="0" w:color="auto"/>
      </w:divBdr>
    </w:div>
    <w:div w:id="325280933">
      <w:bodyDiv w:val="1"/>
      <w:marLeft w:val="0"/>
      <w:marRight w:val="0"/>
      <w:marTop w:val="0"/>
      <w:marBottom w:val="0"/>
      <w:divBdr>
        <w:top w:val="none" w:sz="0" w:space="0" w:color="auto"/>
        <w:left w:val="none" w:sz="0" w:space="0" w:color="auto"/>
        <w:bottom w:val="none" w:sz="0" w:space="0" w:color="auto"/>
        <w:right w:val="none" w:sz="0" w:space="0" w:color="auto"/>
      </w:divBdr>
    </w:div>
    <w:div w:id="482428368">
      <w:bodyDiv w:val="1"/>
      <w:marLeft w:val="0"/>
      <w:marRight w:val="0"/>
      <w:marTop w:val="0"/>
      <w:marBottom w:val="0"/>
      <w:divBdr>
        <w:top w:val="none" w:sz="0" w:space="0" w:color="auto"/>
        <w:left w:val="none" w:sz="0" w:space="0" w:color="auto"/>
        <w:bottom w:val="none" w:sz="0" w:space="0" w:color="auto"/>
        <w:right w:val="none" w:sz="0" w:space="0" w:color="auto"/>
      </w:divBdr>
    </w:div>
    <w:div w:id="503017414">
      <w:bodyDiv w:val="1"/>
      <w:marLeft w:val="0"/>
      <w:marRight w:val="0"/>
      <w:marTop w:val="0"/>
      <w:marBottom w:val="0"/>
      <w:divBdr>
        <w:top w:val="none" w:sz="0" w:space="0" w:color="auto"/>
        <w:left w:val="none" w:sz="0" w:space="0" w:color="auto"/>
        <w:bottom w:val="none" w:sz="0" w:space="0" w:color="auto"/>
        <w:right w:val="none" w:sz="0" w:space="0" w:color="auto"/>
      </w:divBdr>
    </w:div>
    <w:div w:id="522132094">
      <w:bodyDiv w:val="1"/>
      <w:marLeft w:val="0"/>
      <w:marRight w:val="0"/>
      <w:marTop w:val="0"/>
      <w:marBottom w:val="0"/>
      <w:divBdr>
        <w:top w:val="none" w:sz="0" w:space="0" w:color="auto"/>
        <w:left w:val="none" w:sz="0" w:space="0" w:color="auto"/>
        <w:bottom w:val="none" w:sz="0" w:space="0" w:color="auto"/>
        <w:right w:val="none" w:sz="0" w:space="0" w:color="auto"/>
      </w:divBdr>
    </w:div>
    <w:div w:id="537934543">
      <w:bodyDiv w:val="1"/>
      <w:marLeft w:val="0"/>
      <w:marRight w:val="0"/>
      <w:marTop w:val="0"/>
      <w:marBottom w:val="0"/>
      <w:divBdr>
        <w:top w:val="none" w:sz="0" w:space="0" w:color="auto"/>
        <w:left w:val="none" w:sz="0" w:space="0" w:color="auto"/>
        <w:bottom w:val="none" w:sz="0" w:space="0" w:color="auto"/>
        <w:right w:val="none" w:sz="0" w:space="0" w:color="auto"/>
      </w:divBdr>
    </w:div>
    <w:div w:id="591012822">
      <w:bodyDiv w:val="1"/>
      <w:marLeft w:val="0"/>
      <w:marRight w:val="0"/>
      <w:marTop w:val="0"/>
      <w:marBottom w:val="0"/>
      <w:divBdr>
        <w:top w:val="none" w:sz="0" w:space="0" w:color="auto"/>
        <w:left w:val="none" w:sz="0" w:space="0" w:color="auto"/>
        <w:bottom w:val="none" w:sz="0" w:space="0" w:color="auto"/>
        <w:right w:val="none" w:sz="0" w:space="0" w:color="auto"/>
      </w:divBdr>
    </w:div>
    <w:div w:id="850486070">
      <w:bodyDiv w:val="1"/>
      <w:marLeft w:val="0"/>
      <w:marRight w:val="0"/>
      <w:marTop w:val="0"/>
      <w:marBottom w:val="0"/>
      <w:divBdr>
        <w:top w:val="none" w:sz="0" w:space="0" w:color="auto"/>
        <w:left w:val="none" w:sz="0" w:space="0" w:color="auto"/>
        <w:bottom w:val="none" w:sz="0" w:space="0" w:color="auto"/>
        <w:right w:val="none" w:sz="0" w:space="0" w:color="auto"/>
      </w:divBdr>
    </w:div>
    <w:div w:id="868882048">
      <w:bodyDiv w:val="1"/>
      <w:marLeft w:val="0"/>
      <w:marRight w:val="0"/>
      <w:marTop w:val="0"/>
      <w:marBottom w:val="0"/>
      <w:divBdr>
        <w:top w:val="none" w:sz="0" w:space="0" w:color="auto"/>
        <w:left w:val="none" w:sz="0" w:space="0" w:color="auto"/>
        <w:bottom w:val="none" w:sz="0" w:space="0" w:color="auto"/>
        <w:right w:val="none" w:sz="0" w:space="0" w:color="auto"/>
      </w:divBdr>
    </w:div>
    <w:div w:id="975599936">
      <w:bodyDiv w:val="1"/>
      <w:marLeft w:val="0"/>
      <w:marRight w:val="0"/>
      <w:marTop w:val="0"/>
      <w:marBottom w:val="0"/>
      <w:divBdr>
        <w:top w:val="none" w:sz="0" w:space="0" w:color="auto"/>
        <w:left w:val="none" w:sz="0" w:space="0" w:color="auto"/>
        <w:bottom w:val="none" w:sz="0" w:space="0" w:color="auto"/>
        <w:right w:val="none" w:sz="0" w:space="0" w:color="auto"/>
      </w:divBdr>
    </w:div>
    <w:div w:id="1180241195">
      <w:bodyDiv w:val="1"/>
      <w:marLeft w:val="0"/>
      <w:marRight w:val="0"/>
      <w:marTop w:val="0"/>
      <w:marBottom w:val="0"/>
      <w:divBdr>
        <w:top w:val="none" w:sz="0" w:space="0" w:color="auto"/>
        <w:left w:val="none" w:sz="0" w:space="0" w:color="auto"/>
        <w:bottom w:val="none" w:sz="0" w:space="0" w:color="auto"/>
        <w:right w:val="none" w:sz="0" w:space="0" w:color="auto"/>
      </w:divBdr>
    </w:div>
    <w:div w:id="1201211383">
      <w:bodyDiv w:val="1"/>
      <w:marLeft w:val="0"/>
      <w:marRight w:val="0"/>
      <w:marTop w:val="0"/>
      <w:marBottom w:val="0"/>
      <w:divBdr>
        <w:top w:val="none" w:sz="0" w:space="0" w:color="auto"/>
        <w:left w:val="none" w:sz="0" w:space="0" w:color="auto"/>
        <w:bottom w:val="none" w:sz="0" w:space="0" w:color="auto"/>
        <w:right w:val="none" w:sz="0" w:space="0" w:color="auto"/>
      </w:divBdr>
    </w:div>
    <w:div w:id="1441341637">
      <w:bodyDiv w:val="1"/>
      <w:marLeft w:val="0"/>
      <w:marRight w:val="0"/>
      <w:marTop w:val="0"/>
      <w:marBottom w:val="0"/>
      <w:divBdr>
        <w:top w:val="none" w:sz="0" w:space="0" w:color="auto"/>
        <w:left w:val="none" w:sz="0" w:space="0" w:color="auto"/>
        <w:bottom w:val="none" w:sz="0" w:space="0" w:color="auto"/>
        <w:right w:val="none" w:sz="0" w:space="0" w:color="auto"/>
      </w:divBdr>
    </w:div>
    <w:div w:id="1474060819">
      <w:bodyDiv w:val="1"/>
      <w:marLeft w:val="0"/>
      <w:marRight w:val="0"/>
      <w:marTop w:val="0"/>
      <w:marBottom w:val="0"/>
      <w:divBdr>
        <w:top w:val="none" w:sz="0" w:space="0" w:color="auto"/>
        <w:left w:val="none" w:sz="0" w:space="0" w:color="auto"/>
        <w:bottom w:val="none" w:sz="0" w:space="0" w:color="auto"/>
        <w:right w:val="none" w:sz="0" w:space="0" w:color="auto"/>
      </w:divBdr>
    </w:div>
    <w:div w:id="1660035531">
      <w:bodyDiv w:val="1"/>
      <w:marLeft w:val="0"/>
      <w:marRight w:val="0"/>
      <w:marTop w:val="0"/>
      <w:marBottom w:val="0"/>
      <w:divBdr>
        <w:top w:val="none" w:sz="0" w:space="0" w:color="auto"/>
        <w:left w:val="none" w:sz="0" w:space="0" w:color="auto"/>
        <w:bottom w:val="none" w:sz="0" w:space="0" w:color="auto"/>
        <w:right w:val="none" w:sz="0" w:space="0" w:color="auto"/>
      </w:divBdr>
    </w:div>
    <w:div w:id="1706518188">
      <w:bodyDiv w:val="1"/>
      <w:marLeft w:val="0"/>
      <w:marRight w:val="0"/>
      <w:marTop w:val="0"/>
      <w:marBottom w:val="0"/>
      <w:divBdr>
        <w:top w:val="none" w:sz="0" w:space="0" w:color="auto"/>
        <w:left w:val="none" w:sz="0" w:space="0" w:color="auto"/>
        <w:bottom w:val="none" w:sz="0" w:space="0" w:color="auto"/>
        <w:right w:val="none" w:sz="0" w:space="0" w:color="auto"/>
      </w:divBdr>
    </w:div>
    <w:div w:id="1771126800">
      <w:bodyDiv w:val="1"/>
      <w:marLeft w:val="0"/>
      <w:marRight w:val="0"/>
      <w:marTop w:val="0"/>
      <w:marBottom w:val="0"/>
      <w:divBdr>
        <w:top w:val="none" w:sz="0" w:space="0" w:color="auto"/>
        <w:left w:val="none" w:sz="0" w:space="0" w:color="auto"/>
        <w:bottom w:val="none" w:sz="0" w:space="0" w:color="auto"/>
        <w:right w:val="none" w:sz="0" w:space="0" w:color="auto"/>
      </w:divBdr>
    </w:div>
    <w:div w:id="1785493993">
      <w:bodyDiv w:val="1"/>
      <w:marLeft w:val="0"/>
      <w:marRight w:val="0"/>
      <w:marTop w:val="0"/>
      <w:marBottom w:val="0"/>
      <w:divBdr>
        <w:top w:val="none" w:sz="0" w:space="0" w:color="auto"/>
        <w:left w:val="none" w:sz="0" w:space="0" w:color="auto"/>
        <w:bottom w:val="none" w:sz="0" w:space="0" w:color="auto"/>
        <w:right w:val="none" w:sz="0" w:space="0" w:color="auto"/>
      </w:divBdr>
    </w:div>
    <w:div w:id="2031101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94DF-8501-4E37-A060-046F7FF8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7565</Characters>
  <Application>Microsoft Office Word</Application>
  <DocSecurity>4</DocSecurity>
  <PresentationFormat/>
  <Lines>63</Lines>
  <Paragraphs>17</Paragraphs>
  <Slides>0</Slides>
  <Notes>0</Notes>
  <HiddenSlides>0</HiddenSlides>
  <MMClips>0</MMClips>
  <ScaleCrop>false</ScaleCrop>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ZHONGM</cp:lastModifiedBy>
  <cp:revision>2</cp:revision>
  <cp:lastPrinted>2020-06-17T09:45:00Z</cp:lastPrinted>
  <dcterms:created xsi:type="dcterms:W3CDTF">2020-12-22T16:23:00Z</dcterms:created>
  <dcterms:modified xsi:type="dcterms:W3CDTF">2020-12-22T16:23:00Z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