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C04E3C" w:rsidRDefault="00E92053" w:rsidP="003313D0">
      <w:pPr>
        <w:spacing w:line="540" w:lineRule="exact"/>
        <w:ind w:firstLineChars="50" w:firstLine="160"/>
        <w:jc w:val="center"/>
        <w:rPr>
          <w:rFonts w:ascii="仿宋" w:eastAsia="仿宋" w:hAnsi="仿宋"/>
          <w:b/>
          <w:color w:val="000000" w:themeColor="text1"/>
          <w:sz w:val="32"/>
          <w:szCs w:val="32"/>
        </w:rPr>
      </w:pPr>
      <w:bookmarkStart w:id="0" w:name="_GoBack"/>
      <w:bookmarkEnd w:id="0"/>
      <w:r w:rsidRPr="00C04E3C">
        <w:rPr>
          <w:rFonts w:ascii="仿宋" w:eastAsia="仿宋" w:hAnsi="仿宋" w:hint="eastAsia"/>
          <w:b/>
          <w:color w:val="000000" w:themeColor="text1"/>
          <w:sz w:val="32"/>
          <w:szCs w:val="32"/>
        </w:rPr>
        <w:t>万家基金管理有限公司</w:t>
      </w:r>
      <w:r w:rsidR="008704E6" w:rsidRPr="00C04E3C">
        <w:rPr>
          <w:rFonts w:ascii="仿宋" w:eastAsia="仿宋" w:hAnsi="仿宋" w:hint="eastAsia"/>
          <w:b/>
          <w:color w:val="000000" w:themeColor="text1"/>
          <w:sz w:val="32"/>
          <w:szCs w:val="32"/>
        </w:rPr>
        <w:t>关于</w:t>
      </w:r>
      <w:r w:rsidRPr="00C04E3C">
        <w:rPr>
          <w:rFonts w:ascii="仿宋" w:eastAsia="仿宋" w:hAnsi="仿宋" w:hint="eastAsia"/>
          <w:b/>
          <w:color w:val="000000" w:themeColor="text1"/>
          <w:sz w:val="32"/>
          <w:szCs w:val="32"/>
        </w:rPr>
        <w:t>旗下</w:t>
      </w:r>
      <w:r w:rsidR="00B667CB" w:rsidRPr="00C04E3C">
        <w:rPr>
          <w:rFonts w:ascii="仿宋" w:eastAsia="仿宋" w:hAnsi="仿宋" w:hint="eastAsia"/>
          <w:b/>
          <w:color w:val="000000" w:themeColor="text1"/>
          <w:sz w:val="32"/>
          <w:szCs w:val="32"/>
        </w:rPr>
        <w:t>部分</w:t>
      </w:r>
      <w:r w:rsidR="008704E6" w:rsidRPr="00C04E3C">
        <w:rPr>
          <w:rFonts w:ascii="仿宋" w:eastAsia="仿宋" w:hAnsi="仿宋" w:hint="eastAsia"/>
          <w:b/>
          <w:color w:val="000000" w:themeColor="text1"/>
          <w:sz w:val="32"/>
          <w:szCs w:val="32"/>
        </w:rPr>
        <w:t>公开募集证券投资基金修订</w:t>
      </w:r>
      <w:r w:rsidRPr="00C04E3C">
        <w:rPr>
          <w:rFonts w:ascii="仿宋" w:eastAsia="仿宋" w:hAnsi="仿宋" w:hint="eastAsia"/>
          <w:b/>
          <w:color w:val="000000" w:themeColor="text1"/>
          <w:sz w:val="32"/>
          <w:szCs w:val="32"/>
        </w:rPr>
        <w:t>基金合同及托管协议的</w:t>
      </w:r>
      <w:r w:rsidR="00BB3501" w:rsidRPr="00C04E3C">
        <w:rPr>
          <w:rFonts w:ascii="仿宋" w:eastAsia="仿宋" w:hAnsi="仿宋" w:hint="eastAsia"/>
          <w:b/>
          <w:color w:val="000000" w:themeColor="text1"/>
          <w:sz w:val="32"/>
          <w:szCs w:val="32"/>
        </w:rPr>
        <w:t>公告</w:t>
      </w:r>
    </w:p>
    <w:p w:rsidR="005B5746" w:rsidRPr="00C04E3C" w:rsidRDefault="005B5746" w:rsidP="0043655D">
      <w:pPr>
        <w:spacing w:line="540" w:lineRule="exact"/>
        <w:rPr>
          <w:rFonts w:ascii="仿宋" w:eastAsia="仿宋" w:hAnsi="仿宋"/>
          <w:color w:val="000000" w:themeColor="text1"/>
          <w:sz w:val="24"/>
          <w:szCs w:val="24"/>
        </w:rPr>
      </w:pPr>
    </w:p>
    <w:p w:rsidR="006749C0" w:rsidRPr="00C04E3C" w:rsidRDefault="0084231A" w:rsidP="00A362CD">
      <w:pPr>
        <w:spacing w:line="540" w:lineRule="exact"/>
        <w:ind w:firstLineChars="200" w:firstLine="480"/>
        <w:rPr>
          <w:rFonts w:ascii="仿宋" w:eastAsia="仿宋" w:hAnsi="仿宋"/>
          <w:color w:val="000000" w:themeColor="text1"/>
          <w:sz w:val="24"/>
          <w:szCs w:val="24"/>
        </w:rPr>
      </w:pPr>
      <w:r w:rsidRPr="00C04E3C">
        <w:rPr>
          <w:rFonts w:ascii="仿宋" w:eastAsia="仿宋" w:hAnsi="仿宋"/>
          <w:color w:val="000000" w:themeColor="text1"/>
          <w:sz w:val="24"/>
          <w:szCs w:val="24"/>
        </w:rPr>
        <w:t>为更好地满足广大投资者的理财需求</w:t>
      </w:r>
      <w:r w:rsidRPr="00C04E3C">
        <w:rPr>
          <w:rFonts w:ascii="仿宋" w:eastAsia="仿宋" w:hAnsi="仿宋" w:hint="eastAsia"/>
          <w:color w:val="000000" w:themeColor="text1"/>
          <w:sz w:val="24"/>
          <w:szCs w:val="24"/>
        </w:rPr>
        <w:t>，</w:t>
      </w:r>
      <w:r w:rsidR="00780214" w:rsidRPr="00C04E3C">
        <w:rPr>
          <w:rFonts w:ascii="仿宋" w:eastAsia="仿宋" w:hAnsi="仿宋"/>
          <w:color w:val="000000" w:themeColor="text1"/>
          <w:sz w:val="24"/>
          <w:szCs w:val="24"/>
        </w:rPr>
        <w:t>根据</w:t>
      </w:r>
      <w:r w:rsidR="00780214" w:rsidRPr="00C04E3C">
        <w:rPr>
          <w:rFonts w:ascii="仿宋" w:eastAsia="仿宋" w:hAnsi="仿宋" w:hint="eastAsia"/>
          <w:color w:val="000000" w:themeColor="text1"/>
          <w:sz w:val="24"/>
          <w:szCs w:val="24"/>
        </w:rPr>
        <w:t>《中华人民共和国证券投资基金法》、《公开募集证券投资基金运作管理办法》、《存托凭证发行与交易管理办法（试行）》</w:t>
      </w:r>
      <w:r w:rsidRPr="00C04E3C">
        <w:rPr>
          <w:rFonts w:ascii="仿宋" w:eastAsia="仿宋" w:hAnsi="仿宋" w:hint="eastAsia"/>
          <w:color w:val="000000" w:themeColor="text1"/>
          <w:sz w:val="24"/>
          <w:szCs w:val="24"/>
        </w:rPr>
        <w:t>、《公开募集证券投资基金侧袋机制指引（试行）》</w:t>
      </w:r>
      <w:r w:rsidR="00780214" w:rsidRPr="00C04E3C">
        <w:rPr>
          <w:rFonts w:ascii="仿宋" w:eastAsia="仿宋" w:hAnsi="仿宋" w:hint="eastAsia"/>
          <w:color w:val="000000" w:themeColor="text1"/>
          <w:sz w:val="24"/>
          <w:szCs w:val="24"/>
        </w:rPr>
        <w:t>等法律法规规定及各基金基金合同约定，万家基金管理有限公司（以下简称“本</w:t>
      </w:r>
      <w:r w:rsidR="005C7FDE" w:rsidRPr="00C04E3C">
        <w:rPr>
          <w:rFonts w:ascii="仿宋" w:eastAsia="仿宋" w:hAnsi="仿宋" w:hint="eastAsia"/>
          <w:color w:val="000000" w:themeColor="text1"/>
          <w:sz w:val="24"/>
          <w:szCs w:val="24"/>
        </w:rPr>
        <w:t>基金管理人</w:t>
      </w:r>
      <w:r w:rsidR="00780214" w:rsidRPr="00C04E3C">
        <w:rPr>
          <w:rFonts w:ascii="仿宋" w:eastAsia="仿宋" w:hAnsi="仿宋" w:hint="eastAsia"/>
          <w:color w:val="000000" w:themeColor="text1"/>
          <w:sz w:val="24"/>
          <w:szCs w:val="24"/>
        </w:rPr>
        <w:t>”）经与各基金的基金托管人协商一致，并向中国证监会备案，</w:t>
      </w:r>
      <w:r w:rsidRPr="00C04E3C">
        <w:rPr>
          <w:rFonts w:ascii="仿宋" w:eastAsia="仿宋" w:hAnsi="仿宋" w:hint="eastAsia"/>
          <w:color w:val="000000" w:themeColor="text1"/>
          <w:sz w:val="24"/>
          <w:szCs w:val="24"/>
        </w:rPr>
        <w:t>决定自2</w:t>
      </w:r>
      <w:r w:rsidRPr="00C04E3C">
        <w:rPr>
          <w:rFonts w:ascii="仿宋" w:eastAsia="仿宋" w:hAnsi="仿宋"/>
          <w:color w:val="000000" w:themeColor="text1"/>
          <w:sz w:val="24"/>
          <w:szCs w:val="24"/>
        </w:rPr>
        <w:t>020年12月</w:t>
      </w:r>
      <w:r w:rsidR="00BD769A">
        <w:rPr>
          <w:rFonts w:ascii="仿宋" w:eastAsia="仿宋" w:hAnsi="仿宋"/>
          <w:color w:val="000000" w:themeColor="text1"/>
          <w:sz w:val="24"/>
          <w:szCs w:val="24"/>
        </w:rPr>
        <w:t>21</w:t>
      </w:r>
      <w:r w:rsidRPr="00C04E3C">
        <w:rPr>
          <w:rFonts w:ascii="仿宋" w:eastAsia="仿宋" w:hAnsi="仿宋"/>
          <w:color w:val="000000" w:themeColor="text1"/>
          <w:sz w:val="24"/>
          <w:szCs w:val="24"/>
        </w:rPr>
        <w:t>日起</w:t>
      </w:r>
      <w:r w:rsidRPr="00C04E3C">
        <w:rPr>
          <w:rFonts w:ascii="仿宋" w:eastAsia="仿宋" w:hAnsi="仿宋" w:hint="eastAsia"/>
          <w:color w:val="000000" w:themeColor="text1"/>
          <w:sz w:val="24"/>
          <w:szCs w:val="24"/>
        </w:rPr>
        <w:t>，</w:t>
      </w:r>
      <w:r w:rsidRPr="00C04E3C">
        <w:rPr>
          <w:rFonts w:ascii="仿宋" w:eastAsia="仿宋" w:hAnsi="仿宋"/>
          <w:color w:val="000000" w:themeColor="text1"/>
          <w:sz w:val="24"/>
          <w:szCs w:val="24"/>
        </w:rPr>
        <w:t>对</w:t>
      </w:r>
      <w:r w:rsidR="005C7FDE" w:rsidRPr="00C04E3C">
        <w:rPr>
          <w:rFonts w:ascii="仿宋" w:eastAsia="仿宋" w:hAnsi="仿宋" w:hint="eastAsia"/>
          <w:color w:val="000000" w:themeColor="text1"/>
          <w:sz w:val="24"/>
          <w:szCs w:val="24"/>
        </w:rPr>
        <w:t>本基金管理人</w:t>
      </w:r>
      <w:r w:rsidR="00780214" w:rsidRPr="00C04E3C">
        <w:rPr>
          <w:rFonts w:ascii="仿宋" w:eastAsia="仿宋" w:hAnsi="仿宋" w:hint="eastAsia"/>
          <w:color w:val="000000" w:themeColor="text1"/>
          <w:sz w:val="24"/>
          <w:szCs w:val="24"/>
        </w:rPr>
        <w:t>旗下</w:t>
      </w:r>
      <w:r w:rsidR="006749C0" w:rsidRPr="00C04E3C">
        <w:rPr>
          <w:rFonts w:ascii="仿宋" w:eastAsia="仿宋" w:hAnsi="仿宋" w:hint="eastAsia"/>
          <w:color w:val="000000" w:themeColor="text1"/>
          <w:sz w:val="24"/>
          <w:szCs w:val="24"/>
        </w:rPr>
        <w:t>部分</w:t>
      </w:r>
      <w:r w:rsidR="00780214" w:rsidRPr="00C04E3C">
        <w:rPr>
          <w:rFonts w:ascii="仿宋" w:eastAsia="仿宋" w:hAnsi="仿宋" w:hint="eastAsia"/>
          <w:color w:val="000000" w:themeColor="text1"/>
          <w:sz w:val="24"/>
          <w:szCs w:val="24"/>
        </w:rPr>
        <w:t>公开募集证券投资基金</w:t>
      </w:r>
      <w:r w:rsidR="006749C0" w:rsidRPr="00C04E3C">
        <w:rPr>
          <w:rFonts w:ascii="仿宋" w:eastAsia="仿宋" w:hAnsi="仿宋" w:hint="eastAsia"/>
          <w:color w:val="000000" w:themeColor="text1"/>
          <w:sz w:val="24"/>
          <w:szCs w:val="24"/>
        </w:rPr>
        <w:t>的基金合同和托管协议进行修订。现将有关情况说明如下：</w:t>
      </w:r>
    </w:p>
    <w:p w:rsidR="006749C0" w:rsidRPr="00EA12DB" w:rsidRDefault="008704E6" w:rsidP="003313D0">
      <w:pPr>
        <w:spacing w:line="540" w:lineRule="exact"/>
        <w:ind w:firstLineChars="200" w:firstLine="480"/>
        <w:rPr>
          <w:rFonts w:ascii="仿宋" w:eastAsia="仿宋" w:hAnsi="仿宋"/>
          <w:b/>
          <w:color w:val="000000" w:themeColor="text1"/>
          <w:sz w:val="24"/>
          <w:szCs w:val="24"/>
        </w:rPr>
      </w:pPr>
      <w:r w:rsidRPr="00EA12DB">
        <w:rPr>
          <w:rFonts w:ascii="仿宋" w:eastAsia="仿宋" w:hAnsi="仿宋"/>
          <w:b/>
          <w:color w:val="000000" w:themeColor="text1"/>
          <w:sz w:val="24"/>
          <w:szCs w:val="24"/>
        </w:rPr>
        <w:t>一</w:t>
      </w:r>
      <w:r w:rsidRPr="00EA12DB">
        <w:rPr>
          <w:rFonts w:ascii="仿宋" w:eastAsia="仿宋" w:hAnsi="仿宋" w:hint="eastAsia"/>
          <w:b/>
          <w:color w:val="000000" w:themeColor="text1"/>
          <w:sz w:val="24"/>
          <w:szCs w:val="24"/>
        </w:rPr>
        <w:t>、</w:t>
      </w:r>
      <w:r w:rsidRPr="00EA12DB">
        <w:rPr>
          <w:rFonts w:ascii="仿宋" w:eastAsia="仿宋" w:hAnsi="仿宋"/>
          <w:b/>
          <w:color w:val="000000" w:themeColor="text1"/>
          <w:sz w:val="24"/>
          <w:szCs w:val="24"/>
        </w:rPr>
        <w:t>投资范围增加存托凭证</w:t>
      </w:r>
    </w:p>
    <w:p w:rsidR="00780214" w:rsidRPr="00C04E3C" w:rsidRDefault="004317E4" w:rsidP="00A362CD">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1、</w:t>
      </w:r>
      <w:r w:rsidR="00BC7A50" w:rsidRPr="00C04E3C">
        <w:rPr>
          <w:rFonts w:ascii="仿宋" w:eastAsia="仿宋" w:hAnsi="仿宋"/>
          <w:color w:val="000000" w:themeColor="text1"/>
          <w:sz w:val="24"/>
          <w:szCs w:val="24"/>
        </w:rPr>
        <w:t>为更好地满足广大投资者的理财需求</w:t>
      </w:r>
      <w:r w:rsidR="00BC7A50" w:rsidRPr="00C04E3C">
        <w:rPr>
          <w:rFonts w:ascii="仿宋" w:eastAsia="仿宋" w:hAnsi="仿宋" w:hint="eastAsia"/>
          <w:color w:val="000000" w:themeColor="text1"/>
          <w:sz w:val="24"/>
          <w:szCs w:val="24"/>
        </w:rPr>
        <w:t>，</w:t>
      </w:r>
      <w:r w:rsidR="005C7FDE" w:rsidRPr="00C04E3C">
        <w:rPr>
          <w:rFonts w:ascii="仿宋" w:eastAsia="仿宋" w:hAnsi="仿宋" w:hint="eastAsia"/>
          <w:color w:val="000000" w:themeColor="text1"/>
          <w:sz w:val="24"/>
          <w:szCs w:val="24"/>
        </w:rPr>
        <w:t>本基金管理人</w:t>
      </w:r>
      <w:r w:rsidR="00BC7A50" w:rsidRPr="00C04E3C">
        <w:rPr>
          <w:rFonts w:ascii="仿宋" w:eastAsia="仿宋" w:hAnsi="仿宋" w:hint="eastAsia"/>
          <w:color w:val="000000" w:themeColor="text1"/>
          <w:sz w:val="24"/>
          <w:szCs w:val="24"/>
        </w:rPr>
        <w:t>根据《存托凭证发行与交易管理办法（试行）》，</w:t>
      </w:r>
      <w:r w:rsidRPr="00C04E3C">
        <w:rPr>
          <w:rFonts w:ascii="仿宋" w:eastAsia="仿宋" w:hAnsi="仿宋" w:hint="eastAsia"/>
          <w:color w:val="000000" w:themeColor="text1"/>
          <w:sz w:val="24"/>
          <w:szCs w:val="24"/>
        </w:rPr>
        <w:t>对旗下</w:t>
      </w:r>
      <w:r w:rsidR="00C04E3C">
        <w:rPr>
          <w:rFonts w:ascii="仿宋" w:eastAsia="仿宋" w:hAnsi="仿宋"/>
          <w:color w:val="000000" w:themeColor="text1"/>
          <w:sz w:val="24"/>
          <w:szCs w:val="24"/>
        </w:rPr>
        <w:t>54</w:t>
      </w:r>
      <w:r w:rsidRPr="00C04E3C">
        <w:rPr>
          <w:rFonts w:ascii="仿宋" w:eastAsia="仿宋" w:hAnsi="仿宋" w:hint="eastAsia"/>
          <w:color w:val="000000" w:themeColor="text1"/>
          <w:sz w:val="24"/>
          <w:szCs w:val="24"/>
        </w:rPr>
        <w:t>只公开募集证券投资基金</w:t>
      </w:r>
      <w:r w:rsidR="00780214" w:rsidRPr="00C04E3C">
        <w:rPr>
          <w:rFonts w:ascii="仿宋" w:eastAsia="仿宋" w:hAnsi="仿宋" w:hint="eastAsia"/>
          <w:color w:val="000000" w:themeColor="text1"/>
          <w:sz w:val="24"/>
          <w:szCs w:val="24"/>
        </w:rPr>
        <w:t>参与存托凭证投资修订基金合同和托管协议，包括明确投资范围包含存托凭证、增加存托凭证投资策略、投资比例限制、估值方法和信息披露等内容，并将在更新的招募说明书、产品资料概要中</w:t>
      </w:r>
      <w:r w:rsidRPr="00C04E3C">
        <w:rPr>
          <w:rFonts w:ascii="仿宋" w:eastAsia="仿宋" w:hAnsi="仿宋" w:hint="eastAsia"/>
          <w:color w:val="000000" w:themeColor="text1"/>
          <w:sz w:val="24"/>
          <w:szCs w:val="24"/>
        </w:rPr>
        <w:t>，对涉及上述修改的内容进行相应调整</w:t>
      </w:r>
      <w:r w:rsidR="00780214" w:rsidRPr="00C04E3C">
        <w:rPr>
          <w:rFonts w:ascii="仿宋" w:eastAsia="仿宋" w:hAnsi="仿宋" w:hint="eastAsia"/>
          <w:color w:val="000000" w:themeColor="text1"/>
          <w:sz w:val="24"/>
          <w:szCs w:val="24"/>
        </w:rPr>
        <w:t>。</w:t>
      </w:r>
    </w:p>
    <w:p w:rsidR="004317E4" w:rsidRPr="00C04E3C" w:rsidRDefault="004317E4" w:rsidP="00A362CD">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2、修改涉及的基金</w:t>
      </w:r>
    </w:p>
    <w:tbl>
      <w:tblPr>
        <w:tblW w:w="5000" w:type="pct"/>
        <w:jc w:val="center"/>
        <w:tblCellMar>
          <w:left w:w="0" w:type="dxa"/>
          <w:right w:w="0" w:type="dxa"/>
        </w:tblCellMar>
        <w:tblLook w:val="04A0"/>
      </w:tblPr>
      <w:tblGrid>
        <w:gridCol w:w="710"/>
        <w:gridCol w:w="8050"/>
      </w:tblGrid>
      <w:tr w:rsidR="00C04E3C" w:rsidRPr="00C04E3C" w:rsidTr="00C04E3C">
        <w:trPr>
          <w:trHeight w:val="282"/>
          <w:jc w:val="center"/>
        </w:trPr>
        <w:tc>
          <w:tcPr>
            <w:tcW w:w="40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widowControl/>
              <w:jc w:val="center"/>
              <w:rPr>
                <w:rFonts w:ascii="仿宋" w:eastAsia="仿宋" w:hAnsi="仿宋"/>
                <w:color w:val="000000"/>
                <w:sz w:val="24"/>
                <w:szCs w:val="24"/>
              </w:rPr>
            </w:pPr>
            <w:r w:rsidRPr="00C04E3C">
              <w:rPr>
                <w:rFonts w:ascii="仿宋" w:eastAsia="仿宋" w:hAnsi="仿宋" w:hint="eastAsia"/>
                <w:color w:val="000000"/>
                <w:sz w:val="24"/>
                <w:szCs w:val="24"/>
              </w:rPr>
              <w:t>序号</w:t>
            </w:r>
          </w:p>
        </w:tc>
        <w:tc>
          <w:tcPr>
            <w:tcW w:w="45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基金名称</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万家瑞益灵活配置混合型证券投资基金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万家瑞隆混合型证券投资基金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万家上证50交易型开放式指数证券投资基金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万家行业优选混合型证券投资基金(LOF)</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万家成长优选灵活配置混合型证券投资基金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lastRenderedPageBreak/>
              <w:t>6</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万家和谐增长混合型证券投资基金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7</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万家双引擎灵活配置混合型证券投资基金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8</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万家颐达灵活配置混合型证券投资基金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9</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万家家瑞债券型证券投资基金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10</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万家臻选混合型证券投资基金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11</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万家汽车新趋势混合型证券投资基金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12</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万家中证500指数增强型发起式证券投资基金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13</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万家自主创新混合型证券投资基金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14</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万家价值优势一年持有期混合型证券投资基金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15</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万家新机遇价值驱动灵活配置混合型证券投资基金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16</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万家科创板2年定期开放混合型证券投资基金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17</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万家双利债券型证券投资基金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18</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万家民丰回报一年持有期混合型证券投资基金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19</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万家颐和灵活配置混合型证券投资基金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20</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万家瑞丰灵活配置混合型证券投资基金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21</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万家瑞兴灵活配置混合型证券投资基金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22</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万家瑞富灵活配置混合型证券投资基金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23</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万家瑞尧灵活配置混合型证券投资基金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24</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万家瑞舜灵活配置混合型证券投资基金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25</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万家健康产业混合型证券投资基金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lastRenderedPageBreak/>
              <w:t>26</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万家精选混合型证券投资基金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27</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万家科创主题3年封闭运作灵活配置混合型证券投资基金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28</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万家量化睿选灵活配置混合型证券投资基金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29</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万家人工智能混合型证券投资基金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30</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万家消费成长股票型证券投资基金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31</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万家新机遇龙头企业灵活配置混合型证券投资基金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32</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万家新利灵活配置混合型证券投资基金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33</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万家新兴蓝筹灵活配置混合型证券投资基金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34</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万家中证红利指数证券投资基金(LOF)</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35</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万家潜力价值灵活配置混合型证券投资基金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36</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万家量化同顺多策略灵活配置混合型证券投资基金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37</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万家智造优势混合型证券投资基金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38</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万家平衡养老目标三年持有期混合型发起式基金中基金(FOF)</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39</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万家养老目标日期2035三年持有期混合型发起式基金中基金(FOF)</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40</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万家科技创新混合型证券投资基金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41</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万家增强收益债券型证券投资基金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42</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万家社会责任18个月定期开放混合型证券投资基金(LOF)</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43</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万家创业板2年定期开放混合型证券投资基金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44</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万家品质生活灵活配置混合型证券投资基金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45</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万家180指数证券投资基金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lastRenderedPageBreak/>
              <w:t>46</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万家瑞和灵活配置混合型证券投资基金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47</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万家沪深300指数增强型证券投资基金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48</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万家瑞盈灵活配置混合型证券投资基金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49</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万家瑞祥灵活配置混合型证券投资基金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50</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万家宏观择时多策略灵活配置混合型证券投资基金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51</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万家中证1000指数增强型发起式证券投资基金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52</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万家经济新动能混合型证券投资基金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53</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万家鑫动力月月购一年滚动持有混合型证券投资基金</w:t>
            </w:r>
          </w:p>
        </w:tc>
      </w:tr>
      <w:tr w:rsidR="00C04E3C" w:rsidRPr="00C04E3C" w:rsidTr="00C04E3C">
        <w:trPr>
          <w:trHeight w:val="282"/>
          <w:jc w:val="center"/>
        </w:trPr>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54</w:t>
            </w:r>
          </w:p>
        </w:tc>
        <w:tc>
          <w:tcPr>
            <w:tcW w:w="4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万家互联互通中国优势量化策略混合型证券投资基金</w:t>
            </w:r>
          </w:p>
        </w:tc>
      </w:tr>
    </w:tbl>
    <w:p w:rsidR="004317E4" w:rsidRPr="00C04E3C" w:rsidRDefault="004317E4" w:rsidP="00A362CD">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3、存托凭证投资风险</w:t>
      </w:r>
      <w:r w:rsidR="00EA12DB">
        <w:rPr>
          <w:rFonts w:ascii="仿宋" w:eastAsia="仿宋" w:hAnsi="仿宋" w:hint="eastAsia"/>
          <w:color w:val="000000" w:themeColor="text1"/>
          <w:sz w:val="24"/>
          <w:szCs w:val="24"/>
        </w:rPr>
        <w:t>提示</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基金投资存托凭证在承担境内上市交易股票投资的共同风险外，还将承担与存托凭证、创新企业发行、境外发行人以及交易机制相关的特有风险，具体包括但不限于以下风险：</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（1）与存托凭证相关的风险</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1）存托凭证是新证券品种，由存托人签发、以境外证券为基础在中国境内发行，代表境外基础证券权益。存托凭证持有人实际享有的权益与境外基础证券持有人的权益虽然基本相当，但并不能等同于直接持有境外基础证券。</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2</w:t>
      </w:r>
      <w:r w:rsidR="005C7FDE" w:rsidRPr="00C04E3C">
        <w:rPr>
          <w:rFonts w:ascii="仿宋" w:eastAsia="仿宋" w:hAnsi="仿宋" w:hint="eastAsia"/>
          <w:color w:val="000000" w:themeColor="text1"/>
          <w:sz w:val="24"/>
          <w:szCs w:val="24"/>
        </w:rPr>
        <w:t>）</w:t>
      </w:r>
      <w:r w:rsidRPr="00C04E3C">
        <w:rPr>
          <w:rFonts w:ascii="仿宋" w:eastAsia="仿宋" w:hAnsi="仿宋" w:hint="eastAsia"/>
          <w:color w:val="000000" w:themeColor="text1"/>
          <w:sz w:val="24"/>
          <w:szCs w:val="24"/>
        </w:rPr>
        <w:t>基金买入或者持有红筹公司境内发行的存托凭证，即被视为自动加入存托协议，成为存托协议</w:t>
      </w:r>
      <w:r w:rsidR="005C7FDE" w:rsidRPr="00C04E3C">
        <w:rPr>
          <w:rFonts w:ascii="仿宋" w:eastAsia="仿宋" w:hAnsi="仿宋" w:hint="eastAsia"/>
          <w:color w:val="000000" w:themeColor="text1"/>
          <w:sz w:val="24"/>
          <w:szCs w:val="24"/>
        </w:rPr>
        <w:t>的当事人。存托协议可能通过红筹公司和存托人商议等方式进行修改，</w:t>
      </w:r>
      <w:r w:rsidRPr="00C04E3C">
        <w:rPr>
          <w:rFonts w:ascii="仿宋" w:eastAsia="仿宋" w:hAnsi="仿宋" w:hint="eastAsia"/>
          <w:color w:val="000000" w:themeColor="text1"/>
          <w:sz w:val="24"/>
          <w:szCs w:val="24"/>
        </w:rPr>
        <w:t>基金无法单独要求红筹公司或者存托人对存托协议作出额外修改。</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3</w:t>
      </w:r>
      <w:r w:rsidR="005C7FDE" w:rsidRPr="00C04E3C">
        <w:rPr>
          <w:rFonts w:ascii="仿宋" w:eastAsia="仿宋" w:hAnsi="仿宋" w:hint="eastAsia"/>
          <w:color w:val="000000" w:themeColor="text1"/>
          <w:sz w:val="24"/>
          <w:szCs w:val="24"/>
        </w:rPr>
        <w:t>）</w:t>
      </w:r>
      <w:r w:rsidRPr="00C04E3C">
        <w:rPr>
          <w:rFonts w:ascii="仿宋" w:eastAsia="仿宋" w:hAnsi="仿宋" w:hint="eastAsia"/>
          <w:color w:val="000000" w:themeColor="text1"/>
          <w:sz w:val="24"/>
          <w:szCs w:val="24"/>
        </w:rPr>
        <w:t>基金持有红筹公司存托凭证</w:t>
      </w:r>
      <w:r w:rsidR="005C7FDE" w:rsidRPr="00C04E3C">
        <w:rPr>
          <w:rFonts w:ascii="仿宋" w:eastAsia="仿宋" w:hAnsi="仿宋" w:hint="eastAsia"/>
          <w:color w:val="000000" w:themeColor="text1"/>
          <w:sz w:val="24"/>
          <w:szCs w:val="24"/>
        </w:rPr>
        <w:t>，不是红筹公司登记在册的股东，不能以股东身份直接行使股东权利；</w:t>
      </w:r>
      <w:r w:rsidRPr="00C04E3C">
        <w:rPr>
          <w:rFonts w:ascii="仿宋" w:eastAsia="仿宋" w:hAnsi="仿宋" w:hint="eastAsia"/>
          <w:color w:val="000000" w:themeColor="text1"/>
          <w:sz w:val="24"/>
          <w:szCs w:val="24"/>
        </w:rPr>
        <w:t>基金仅能根据存托协议的约定，通过存托人享有并行使分红、投票等权利。</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4）存托凭证存续期间，存托凭证项目内容可能发生重大、实质变化，包括但不限于存托凭证与基础证券转换比例发生调整、红筹公司和存托人可能对存托协议作出修改，更换存托人、更换托</w:t>
      </w:r>
      <w:r w:rsidR="005C7FDE" w:rsidRPr="00C04E3C">
        <w:rPr>
          <w:rFonts w:ascii="仿宋" w:eastAsia="仿宋" w:hAnsi="仿宋" w:hint="eastAsia"/>
          <w:color w:val="000000" w:themeColor="text1"/>
          <w:sz w:val="24"/>
          <w:szCs w:val="24"/>
        </w:rPr>
        <w:t>管人、存托凭证主动退市等。部分变化可能仅以事先通知的方式，即对基金生效。</w:t>
      </w:r>
      <w:r w:rsidRPr="00C04E3C">
        <w:rPr>
          <w:rFonts w:ascii="仿宋" w:eastAsia="仿宋" w:hAnsi="仿宋" w:hint="eastAsia"/>
          <w:color w:val="000000" w:themeColor="text1"/>
          <w:sz w:val="24"/>
          <w:szCs w:val="24"/>
        </w:rPr>
        <w:t>基金可能无法对此行使表决权。</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5）存托凭证存续期间，对应的</w:t>
      </w:r>
      <w:r w:rsidR="005C7FDE" w:rsidRPr="00C04E3C">
        <w:rPr>
          <w:rFonts w:ascii="仿宋" w:eastAsia="仿宋" w:hAnsi="仿宋" w:hint="eastAsia"/>
          <w:color w:val="000000" w:themeColor="text1"/>
          <w:sz w:val="24"/>
          <w:szCs w:val="24"/>
        </w:rPr>
        <w:t>基础证券等财产可能出现被质押、挪用、司法冻结、强制执行等情形，</w:t>
      </w:r>
      <w:r w:rsidRPr="00C04E3C">
        <w:rPr>
          <w:rFonts w:ascii="仿宋" w:eastAsia="仿宋" w:hAnsi="仿宋" w:hint="eastAsia"/>
          <w:color w:val="000000" w:themeColor="text1"/>
          <w:sz w:val="24"/>
          <w:szCs w:val="24"/>
        </w:rPr>
        <w:t>基金可能存在失去应有权利的风险。</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6）存托人可能向存托凭证持有人收取存托凭证相关费用。</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7</w:t>
      </w:r>
      <w:r w:rsidR="005C7FDE" w:rsidRPr="00C04E3C">
        <w:rPr>
          <w:rFonts w:ascii="仿宋" w:eastAsia="仿宋" w:hAnsi="仿宋" w:hint="eastAsia"/>
          <w:color w:val="000000" w:themeColor="text1"/>
          <w:sz w:val="24"/>
          <w:szCs w:val="24"/>
        </w:rPr>
        <w:t>）存托凭证退市的，基金可能面临存托人无法根据存托协议的约定卖出基础证券，</w:t>
      </w:r>
      <w:r w:rsidRPr="00C04E3C">
        <w:rPr>
          <w:rFonts w:ascii="仿宋" w:eastAsia="仿宋" w:hAnsi="仿宋" w:hint="eastAsia"/>
          <w:color w:val="000000" w:themeColor="text1"/>
          <w:sz w:val="24"/>
          <w:szCs w:val="24"/>
        </w:rPr>
        <w:t>基金持有的存托凭证无法转到境内其</w:t>
      </w:r>
      <w:r w:rsidR="005C7FDE" w:rsidRPr="00C04E3C">
        <w:rPr>
          <w:rFonts w:ascii="仿宋" w:eastAsia="仿宋" w:hAnsi="仿宋" w:hint="eastAsia"/>
          <w:color w:val="000000" w:themeColor="text1"/>
          <w:sz w:val="24"/>
          <w:szCs w:val="24"/>
        </w:rPr>
        <w:t>他市场进行公开交易或者转让，存托人无法继续按照存托协议的约定为</w:t>
      </w:r>
      <w:r w:rsidRPr="00C04E3C">
        <w:rPr>
          <w:rFonts w:ascii="仿宋" w:eastAsia="仿宋" w:hAnsi="仿宋" w:hint="eastAsia"/>
          <w:color w:val="000000" w:themeColor="text1"/>
          <w:sz w:val="24"/>
          <w:szCs w:val="24"/>
        </w:rPr>
        <w:t>基金提供相应服务等风险。</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（2）与创新企业发行相关的风险</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创新企业证券首次公开发行的价格可能高于公司每股净资产账面值，或者高于公司在境外其他市场公开发行的股票或者存托凭证的发行价格或者二级市场交易价格。</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（3）与境外发行人相关的风险</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1）红筹公司在境外注册设立，其股权结构、公司治理、运行规范等事项适用境外注册地公司法等法律法规的规定；已经在境外上市的，还需要遵守境外上市地相关规则。投资者权利及其行使可能与境内市场存在一定差异。此外，境内股东和境内存托凭证持有人享有的权益还可能受境外法律变化影响。</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2）红筹公司可能仅在境内市场发行并上市较小规模的股票或者存托凭证，公司大部分或者绝大部分的表决权由境外股东等持有，境内投资者可能无法实际参与公司重大事务的决策。</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3）红筹公司存托凭证的境内投资者可以依据境内《证券法》提起证券诉讼，但境内投资者无法直接作为红筹公司境外注册地或者境外上市地的投资者，依据当地法律制度提起证券诉讼。</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（4）与交易机制相关的风险</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1）境内外市场证券停复牌制度存在差异，红筹公司境内外上市的股票或者存托凭证可能出现在一个市场正常交易而在另一个市场实施停牌等现象。</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2）红筹公司在境外上市股票或存托凭证的价格可能因基本面变化、第三方研究报告观点、境内外交易机制差异、异常交易情形、做空机制等出现较大波动，可能对境内证券价格产生影响。</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3）在境内法律及监管政策允许的情况下，红筹公司现在及将来境外发行的股票可能转移至境内市场上市交易，或者公司实施配股、非公开发行、回购等行为，从而增加或者减少境内市场的股票或者存托凭证流通数量，可能引起交易价格波动。</w:t>
      </w:r>
    </w:p>
    <w:p w:rsidR="004317E4" w:rsidRPr="00C04E3C" w:rsidRDefault="004317E4" w:rsidP="004317E4">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4</w:t>
      </w:r>
      <w:r w:rsidR="005C7FDE" w:rsidRPr="00C04E3C">
        <w:rPr>
          <w:rFonts w:ascii="仿宋" w:eastAsia="仿宋" w:hAnsi="仿宋" w:hint="eastAsia"/>
          <w:color w:val="000000" w:themeColor="text1"/>
          <w:sz w:val="24"/>
          <w:szCs w:val="24"/>
        </w:rPr>
        <w:t>）</w:t>
      </w:r>
      <w:r w:rsidRPr="00C04E3C">
        <w:rPr>
          <w:rFonts w:ascii="仿宋" w:eastAsia="仿宋" w:hAnsi="仿宋" w:hint="eastAsia"/>
          <w:color w:val="000000" w:themeColor="text1"/>
          <w:sz w:val="24"/>
          <w:szCs w:val="24"/>
        </w:rPr>
        <w:t>基金持有的红筹公司境内发行的证</w:t>
      </w:r>
      <w:r w:rsidR="005C7FDE" w:rsidRPr="00C04E3C">
        <w:rPr>
          <w:rFonts w:ascii="仿宋" w:eastAsia="仿宋" w:hAnsi="仿宋" w:hint="eastAsia"/>
          <w:color w:val="000000" w:themeColor="text1"/>
          <w:sz w:val="24"/>
          <w:szCs w:val="24"/>
        </w:rPr>
        <w:t>券，暂不允许转换为公司在境外发行的相同类别的股票或者存托凭证；</w:t>
      </w:r>
      <w:r w:rsidRPr="00C04E3C">
        <w:rPr>
          <w:rFonts w:ascii="仿宋" w:eastAsia="仿宋" w:hAnsi="仿宋" w:hint="eastAsia"/>
          <w:color w:val="000000" w:themeColor="text1"/>
          <w:sz w:val="24"/>
          <w:szCs w:val="24"/>
        </w:rPr>
        <w:t>基金持有境内发行的存托凭证，暂不允许转换为境外基础证券。</w:t>
      </w:r>
    </w:p>
    <w:p w:rsidR="004317E4" w:rsidRPr="00C04E3C" w:rsidRDefault="004317E4" w:rsidP="00A362CD">
      <w:pPr>
        <w:spacing w:line="540" w:lineRule="exact"/>
        <w:ind w:firstLineChars="200" w:firstLine="480"/>
        <w:rPr>
          <w:rFonts w:ascii="仿宋" w:eastAsia="仿宋" w:hAnsi="仿宋"/>
          <w:color w:val="000000" w:themeColor="text1"/>
          <w:sz w:val="24"/>
          <w:szCs w:val="24"/>
        </w:rPr>
      </w:pPr>
    </w:p>
    <w:p w:rsidR="00BC7A50" w:rsidRPr="00EA12DB" w:rsidRDefault="00BC7A50" w:rsidP="003313D0">
      <w:pPr>
        <w:spacing w:line="540" w:lineRule="exact"/>
        <w:ind w:firstLineChars="200" w:firstLine="480"/>
        <w:rPr>
          <w:rFonts w:ascii="仿宋" w:eastAsia="仿宋" w:hAnsi="仿宋"/>
          <w:b/>
          <w:color w:val="000000" w:themeColor="text1"/>
          <w:sz w:val="24"/>
          <w:szCs w:val="24"/>
        </w:rPr>
      </w:pPr>
      <w:r w:rsidRPr="00EA12DB">
        <w:rPr>
          <w:rFonts w:ascii="仿宋" w:eastAsia="仿宋" w:hAnsi="仿宋" w:hint="eastAsia"/>
          <w:b/>
          <w:color w:val="000000" w:themeColor="text1"/>
          <w:sz w:val="24"/>
          <w:szCs w:val="24"/>
        </w:rPr>
        <w:t>二、增加</w:t>
      </w:r>
      <w:r w:rsidRPr="00EA12DB">
        <w:rPr>
          <w:rFonts w:ascii="仿宋" w:eastAsia="仿宋" w:hAnsi="仿宋"/>
          <w:b/>
          <w:color w:val="000000" w:themeColor="text1"/>
          <w:sz w:val="24"/>
          <w:szCs w:val="24"/>
        </w:rPr>
        <w:t>侧袋机制</w:t>
      </w:r>
    </w:p>
    <w:p w:rsidR="00BC7A50" w:rsidRPr="00C04E3C" w:rsidRDefault="00BC7A50" w:rsidP="00BC7A50">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1、为保护投资者的合法权益，本基金管理人根据《公开募集证券投资基金侧袋机制指引（试行）》的有关规定，对旗下</w:t>
      </w:r>
      <w:r w:rsidR="00EA12DB">
        <w:rPr>
          <w:rFonts w:ascii="仿宋" w:eastAsia="仿宋" w:hAnsi="仿宋"/>
          <w:color w:val="000000" w:themeColor="text1"/>
          <w:sz w:val="24"/>
          <w:szCs w:val="24"/>
        </w:rPr>
        <w:t>74</w:t>
      </w:r>
      <w:r w:rsidRPr="00C04E3C">
        <w:rPr>
          <w:rFonts w:ascii="仿宋" w:eastAsia="仿宋" w:hAnsi="仿宋" w:hint="eastAsia"/>
          <w:color w:val="000000" w:themeColor="text1"/>
          <w:sz w:val="24"/>
          <w:szCs w:val="24"/>
        </w:rPr>
        <w:t>只公开募集证券投资基金增加侧袋机制修订基金合同和托管协议，并将在更新的招募说明书、产品资料概要中，对涉及上述修改的内容进行相应调整。</w:t>
      </w:r>
    </w:p>
    <w:p w:rsidR="00BC7A50" w:rsidRPr="00C04E3C" w:rsidRDefault="00BC7A50" w:rsidP="00BC7A50">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2、修改涉及的基金</w:t>
      </w:r>
    </w:p>
    <w:tbl>
      <w:tblPr>
        <w:tblW w:w="5000" w:type="pct"/>
        <w:jc w:val="center"/>
        <w:tblCellMar>
          <w:left w:w="0" w:type="dxa"/>
          <w:right w:w="0" w:type="dxa"/>
        </w:tblCellMar>
        <w:tblLook w:val="04A0"/>
      </w:tblPr>
      <w:tblGrid>
        <w:gridCol w:w="676"/>
        <w:gridCol w:w="8084"/>
      </w:tblGrid>
      <w:tr w:rsidR="00C04E3C" w:rsidRPr="00C04E3C" w:rsidTr="00C04E3C">
        <w:trPr>
          <w:trHeight w:val="282"/>
          <w:jc w:val="center"/>
        </w:trPr>
        <w:tc>
          <w:tcPr>
            <w:tcW w:w="38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widowControl/>
              <w:jc w:val="center"/>
              <w:rPr>
                <w:rFonts w:ascii="仿宋" w:eastAsia="仿宋" w:hAnsi="仿宋"/>
                <w:color w:val="000000"/>
                <w:sz w:val="24"/>
                <w:szCs w:val="24"/>
              </w:rPr>
            </w:pPr>
            <w:r w:rsidRPr="00C04E3C">
              <w:rPr>
                <w:rFonts w:ascii="仿宋" w:eastAsia="仿宋" w:hAnsi="仿宋" w:hint="eastAsia"/>
                <w:color w:val="000000"/>
                <w:sz w:val="24"/>
                <w:szCs w:val="24"/>
              </w:rPr>
              <w:t>序号</w:t>
            </w:r>
          </w:p>
        </w:tc>
        <w:tc>
          <w:tcPr>
            <w:tcW w:w="46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基金名称</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万家瑞益灵活配置混合型证券投资基金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万家瑞隆混合型证券投资基金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万家强化收益定期开放债券型证券投资基金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万家行业优选混合型证券投资基金(LOF)</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万家1-3年政策性金融债纯债债券型证券投资基金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万家鑫享纯债债券型证券投资基金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7</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万家鑫丰纯债债券型证券投资基金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8</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万家鑫盛纯债债券型证券投资基金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9</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万家鑫悦纯债债券型证券投资基金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10</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万家成长优选灵活配置混合型证券投资基金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万家和谐增长混合型证券投资基金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万家双引擎灵活配置混合型证券投资基金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万家颐达灵活配置混合型证券投资基金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万家鑫瑞纯债债券型证券投资基金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15</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万家年年恒荣定期开放债券型证券投资基金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16</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万家家瑞债券型证券投资基金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17</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万家臻选混合型证券投资基金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18</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万家汽车新趋势混合型证券投资基金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19</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万家中证500指数增强型发起式证券投资基金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20</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万家自主创新混合型证券投资基金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万家价值优势一年持有期混合型证券投资基金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万家新机遇价值驱动灵活配置混合型证券投资基金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万家科创板2年定期开放混合型证券投资基金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万家双利债券型证券投资基金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25</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万家民丰回报一年持有期混合型证券投资基金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26</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万家民安增利12个月定期开放债券型证券投资基金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27</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万家民瑞祥和6个月持有期债券型证券投资基金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28</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万家颐和灵活配置混合型证券投资基金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29</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万家添利债券型证券投资基金(LOF)</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30</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万家瑞丰灵活配置混合型证券投资基金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万家瑞兴灵活配置混合型证券投资基金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万家瑞富灵活配置混合型证券投资基金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万家瑞尧灵活配置混合型证券投资基金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万家瑞舜灵活配置混合型证券投资基金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35</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万家精选混合型证券投资基金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36</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万家科创主题3年封闭运作灵活配置混合型证券投资基金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37</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万家量化睿选灵活配置混合型证券投资基金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38</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万家人工智能混合型证券投资基金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39</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万家稳健养老目标三年持有期混合型基金中基金(FOF)</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40</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万家消费成长股票型证券投资基金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万家新机遇龙头企业灵活配置混合型证券投资基金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万家新利灵活配置混合型证券投资基金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万家新兴蓝筹灵活配置混合型证券投资基金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万家信用恒利债券型证券投资基金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45</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万家中证红利指数证券投资基金(LOF)</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46</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万家安弘纯债一年定期开放债券型证券投资基金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47</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万家惠享39个月定期开放债券型证券投资基金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48</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万家潜力价值灵活配置混合型证券投资基金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49</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万家量化同顺多策略灵活配置混合型证券投资基金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50</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万家智造优势混合型证券投资基金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万家平衡养老目标三年持有期混合型发起式基金中基金(FOF)</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万家养老目标日期2035三年持有期混合型发起式基金中基金(FOF)</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万家科技创新混合型证券投资基金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万家增强收益债券型证券投资基金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55</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万家社会责任18个月定期开放混合型证券投资基金(LOF)</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56</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万家创业板2年定期开放混合型证券投资基金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57</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万家品质生活灵活配置混合型证券投资基金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58</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万家可转债债券型证券投资基金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59</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万家家享中短债债券型证券投资基金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60</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万家180指数证券投资基金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万家稳健增利债券型证券投资基金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万家鑫璟纯债债券型证券投资基金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万家鑫安纯债债券型证券投资基金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万家玖盛纯债9个月定期开放债券型证券投资基金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65</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万家瑞和灵活配置混合型证券投资基金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66</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万家沪深300指数增强型证券投资基金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67</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万家瑞盈灵活配置混合型证券投资基金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68</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万家瑞祥灵活配置混合型证券投资基金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69</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万家宏观择时多策略灵活配置混合型证券投资基金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70</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万家中证1000指数增强型发起式证券投资基金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71</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万家经济新动能混合型证券投资基金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72</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万家鑫动力月月购一年滚动持有混合型证券投资基金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73</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万家恒瑞18个月定期开放债券型证券投资基金</w:t>
            </w:r>
          </w:p>
        </w:tc>
      </w:tr>
      <w:tr w:rsidR="00C04E3C" w:rsidRPr="00C04E3C" w:rsidTr="00C04E3C">
        <w:trPr>
          <w:trHeight w:val="282"/>
          <w:jc w:val="center"/>
        </w:trPr>
        <w:tc>
          <w:tcPr>
            <w:tcW w:w="38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74</w:t>
            </w:r>
          </w:p>
        </w:tc>
        <w:tc>
          <w:tcPr>
            <w:tcW w:w="46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4E3C" w:rsidRPr="00C04E3C" w:rsidRDefault="00C04E3C" w:rsidP="00C04E3C">
            <w:pPr>
              <w:jc w:val="center"/>
              <w:rPr>
                <w:rFonts w:ascii="仿宋" w:eastAsia="仿宋" w:hAnsi="仿宋"/>
                <w:color w:val="000000"/>
                <w:sz w:val="24"/>
                <w:szCs w:val="24"/>
              </w:rPr>
            </w:pPr>
            <w:r w:rsidRPr="00C04E3C">
              <w:rPr>
                <w:rFonts w:ascii="仿宋" w:eastAsia="仿宋" w:hAnsi="仿宋" w:hint="eastAsia"/>
                <w:color w:val="000000"/>
                <w:sz w:val="24"/>
                <w:szCs w:val="24"/>
              </w:rPr>
              <w:t>万家3-5年政策性金融债纯债债券型证券投资基金</w:t>
            </w:r>
          </w:p>
        </w:tc>
      </w:tr>
    </w:tbl>
    <w:p w:rsidR="009C3F39" w:rsidRPr="00C04E3C" w:rsidRDefault="009C3F39" w:rsidP="009C3F39">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3、实施侧袋机制风险</w:t>
      </w:r>
      <w:r w:rsidR="00EA12DB">
        <w:rPr>
          <w:rFonts w:ascii="仿宋" w:eastAsia="仿宋" w:hAnsi="仿宋" w:hint="eastAsia"/>
          <w:color w:val="000000" w:themeColor="text1"/>
          <w:sz w:val="24"/>
          <w:szCs w:val="24"/>
        </w:rPr>
        <w:t>提示</w:t>
      </w:r>
    </w:p>
    <w:p w:rsidR="009C3F39" w:rsidRPr="00C04E3C" w:rsidRDefault="009C3F39" w:rsidP="009C3F39">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份额净值，并不得办理申购、赎回和转换，仅主袋账户份额正常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9C3F39" w:rsidRPr="00C04E3C" w:rsidRDefault="009C3F39" w:rsidP="009C3F39">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实施侧袋机制期间，基金管理人计算各项投资运作指标和基金业绩指标时以主袋账户资产为基准，不反映侧袋账户特定资产的真实价值及变化情况。</w:t>
      </w:r>
    </w:p>
    <w:p w:rsidR="009C3F39" w:rsidRPr="00C04E3C" w:rsidRDefault="009C3F39" w:rsidP="009C3F39">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基金不披露侧袋账户份额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rsidR="009C3F39" w:rsidRPr="00C04E3C" w:rsidRDefault="009C3F39" w:rsidP="009C3F39">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基金管理人将根据主袋账户运作情况合理确定申购政策，因此实施侧袋机制后主袋账户份额存在暂停申购的可能。</w:t>
      </w:r>
    </w:p>
    <w:p w:rsidR="009C3F39" w:rsidRPr="00C04E3C" w:rsidRDefault="009C3F39" w:rsidP="009C3F39">
      <w:pPr>
        <w:spacing w:line="540" w:lineRule="exact"/>
        <w:ind w:firstLineChars="200" w:firstLine="480"/>
        <w:rPr>
          <w:rFonts w:ascii="仿宋" w:eastAsia="仿宋" w:hAnsi="仿宋"/>
          <w:color w:val="000000" w:themeColor="text1"/>
          <w:sz w:val="24"/>
          <w:szCs w:val="24"/>
        </w:rPr>
      </w:pPr>
    </w:p>
    <w:p w:rsidR="00BC7A50" w:rsidRPr="00EA12DB" w:rsidRDefault="00BC7A50" w:rsidP="003313D0">
      <w:pPr>
        <w:spacing w:line="540" w:lineRule="exact"/>
        <w:ind w:firstLineChars="200" w:firstLine="480"/>
        <w:rPr>
          <w:rFonts w:ascii="仿宋" w:eastAsia="仿宋" w:hAnsi="仿宋"/>
          <w:b/>
          <w:color w:val="000000" w:themeColor="text1"/>
          <w:sz w:val="24"/>
          <w:szCs w:val="24"/>
        </w:rPr>
      </w:pPr>
      <w:r w:rsidRPr="00EA12DB">
        <w:rPr>
          <w:rFonts w:ascii="仿宋" w:eastAsia="仿宋" w:hAnsi="仿宋" w:hint="eastAsia"/>
          <w:b/>
          <w:color w:val="000000" w:themeColor="text1"/>
          <w:sz w:val="24"/>
          <w:szCs w:val="24"/>
        </w:rPr>
        <w:t>重要提示：</w:t>
      </w:r>
    </w:p>
    <w:p w:rsidR="00BC7A50" w:rsidRPr="00C04E3C" w:rsidRDefault="00BC7A50" w:rsidP="00A362CD">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1、</w:t>
      </w:r>
      <w:r w:rsidR="00E92053" w:rsidRPr="00C04E3C">
        <w:rPr>
          <w:rFonts w:ascii="仿宋" w:eastAsia="仿宋" w:hAnsi="仿宋" w:hint="eastAsia"/>
          <w:color w:val="000000" w:themeColor="text1"/>
          <w:sz w:val="24"/>
          <w:szCs w:val="24"/>
        </w:rPr>
        <w:t>上述</w:t>
      </w:r>
      <w:r w:rsidRPr="00C04E3C">
        <w:rPr>
          <w:rFonts w:ascii="仿宋" w:eastAsia="仿宋" w:hAnsi="仿宋" w:hint="eastAsia"/>
          <w:color w:val="000000" w:themeColor="text1"/>
          <w:sz w:val="24"/>
          <w:szCs w:val="24"/>
        </w:rPr>
        <w:t>基金修订基金合同和托管协议的有关事项已经履行了规定的程序，符合相关法律法规规定及各基金基金合同约定，无需召开基金份额持有人大会。</w:t>
      </w:r>
    </w:p>
    <w:p w:rsidR="00E92053" w:rsidRPr="00C04E3C" w:rsidRDefault="00BC7A50" w:rsidP="00A362CD">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2、</w:t>
      </w:r>
      <w:r w:rsidR="00E92053" w:rsidRPr="00C04E3C">
        <w:rPr>
          <w:rFonts w:ascii="仿宋" w:eastAsia="仿宋" w:hAnsi="仿宋" w:hint="eastAsia"/>
          <w:color w:val="000000" w:themeColor="text1"/>
          <w:sz w:val="24"/>
          <w:szCs w:val="24"/>
        </w:rPr>
        <w:t>上述修改自</w:t>
      </w:r>
      <w:r w:rsidR="00BD769A" w:rsidRPr="00C04E3C">
        <w:rPr>
          <w:rFonts w:ascii="仿宋" w:eastAsia="仿宋" w:hAnsi="仿宋" w:hint="eastAsia"/>
          <w:color w:val="000000" w:themeColor="text1"/>
          <w:sz w:val="24"/>
          <w:szCs w:val="24"/>
        </w:rPr>
        <w:t>20</w:t>
      </w:r>
      <w:r w:rsidR="00BD769A" w:rsidRPr="00C04E3C">
        <w:rPr>
          <w:rFonts w:ascii="仿宋" w:eastAsia="仿宋" w:hAnsi="仿宋"/>
          <w:color w:val="000000" w:themeColor="text1"/>
          <w:sz w:val="24"/>
          <w:szCs w:val="24"/>
        </w:rPr>
        <w:t>20</w:t>
      </w:r>
      <w:r w:rsidR="00BD769A" w:rsidRPr="00C04E3C">
        <w:rPr>
          <w:rFonts w:ascii="仿宋" w:eastAsia="仿宋" w:hAnsi="仿宋" w:hint="eastAsia"/>
          <w:color w:val="000000" w:themeColor="text1"/>
          <w:sz w:val="24"/>
          <w:szCs w:val="24"/>
        </w:rPr>
        <w:t>年1</w:t>
      </w:r>
      <w:r w:rsidR="00BD769A" w:rsidRPr="00C04E3C">
        <w:rPr>
          <w:rFonts w:ascii="仿宋" w:eastAsia="仿宋" w:hAnsi="仿宋"/>
          <w:color w:val="000000" w:themeColor="text1"/>
          <w:sz w:val="24"/>
          <w:szCs w:val="24"/>
        </w:rPr>
        <w:t>2</w:t>
      </w:r>
      <w:r w:rsidR="00BD769A" w:rsidRPr="00C04E3C">
        <w:rPr>
          <w:rFonts w:ascii="仿宋" w:eastAsia="仿宋" w:hAnsi="仿宋" w:hint="eastAsia"/>
          <w:color w:val="000000" w:themeColor="text1"/>
          <w:sz w:val="24"/>
          <w:szCs w:val="24"/>
        </w:rPr>
        <w:t>月</w:t>
      </w:r>
      <w:r w:rsidR="00BD769A">
        <w:rPr>
          <w:rFonts w:ascii="仿宋" w:eastAsia="仿宋" w:hAnsi="仿宋"/>
          <w:color w:val="000000" w:themeColor="text1"/>
          <w:sz w:val="24"/>
          <w:szCs w:val="24"/>
        </w:rPr>
        <w:t>21</w:t>
      </w:r>
      <w:r w:rsidR="00BD769A" w:rsidRPr="00C04E3C">
        <w:rPr>
          <w:rFonts w:ascii="仿宋" w:eastAsia="仿宋" w:hAnsi="仿宋" w:hint="eastAsia"/>
          <w:color w:val="000000" w:themeColor="text1"/>
          <w:sz w:val="24"/>
          <w:szCs w:val="24"/>
        </w:rPr>
        <w:t>日</w:t>
      </w:r>
      <w:r w:rsidR="00E92053" w:rsidRPr="00C04E3C">
        <w:rPr>
          <w:rFonts w:ascii="仿宋" w:eastAsia="仿宋" w:hAnsi="仿宋" w:hint="eastAsia"/>
          <w:color w:val="000000" w:themeColor="text1"/>
          <w:sz w:val="24"/>
          <w:szCs w:val="24"/>
        </w:rPr>
        <w:t>起生效</w:t>
      </w:r>
      <w:r w:rsidR="00C0341C" w:rsidRPr="00C04E3C">
        <w:rPr>
          <w:rFonts w:ascii="仿宋" w:eastAsia="仿宋" w:hAnsi="仿宋" w:hint="eastAsia"/>
          <w:color w:val="000000" w:themeColor="text1"/>
          <w:sz w:val="24"/>
          <w:szCs w:val="24"/>
        </w:rPr>
        <w:t>。本次修订后的基金合同和托管协议全文</w:t>
      </w:r>
      <w:r w:rsidR="00E92053" w:rsidRPr="00C04E3C">
        <w:rPr>
          <w:rFonts w:ascii="仿宋" w:eastAsia="仿宋" w:hAnsi="仿宋" w:hint="eastAsia"/>
          <w:color w:val="000000" w:themeColor="text1"/>
          <w:sz w:val="24"/>
          <w:szCs w:val="24"/>
        </w:rPr>
        <w:t>于</w:t>
      </w:r>
      <w:r w:rsidR="00C0341C" w:rsidRPr="00C04E3C">
        <w:rPr>
          <w:rFonts w:ascii="仿宋" w:eastAsia="仿宋" w:hAnsi="仿宋" w:hint="eastAsia"/>
          <w:color w:val="000000" w:themeColor="text1"/>
          <w:sz w:val="24"/>
          <w:szCs w:val="24"/>
        </w:rPr>
        <w:t>20</w:t>
      </w:r>
      <w:r w:rsidR="00C0341C" w:rsidRPr="00C04E3C">
        <w:rPr>
          <w:rFonts w:ascii="仿宋" w:eastAsia="仿宋" w:hAnsi="仿宋"/>
          <w:color w:val="000000" w:themeColor="text1"/>
          <w:sz w:val="24"/>
          <w:szCs w:val="24"/>
        </w:rPr>
        <w:t>20</w:t>
      </w:r>
      <w:r w:rsidR="00E92053" w:rsidRPr="00C04E3C">
        <w:rPr>
          <w:rFonts w:ascii="仿宋" w:eastAsia="仿宋" w:hAnsi="仿宋" w:hint="eastAsia"/>
          <w:color w:val="000000" w:themeColor="text1"/>
          <w:sz w:val="24"/>
          <w:szCs w:val="24"/>
        </w:rPr>
        <w:t>年</w:t>
      </w:r>
      <w:r w:rsidR="00C0341C" w:rsidRPr="00C04E3C">
        <w:rPr>
          <w:rFonts w:ascii="仿宋" w:eastAsia="仿宋" w:hAnsi="仿宋" w:hint="eastAsia"/>
          <w:color w:val="000000" w:themeColor="text1"/>
          <w:sz w:val="24"/>
          <w:szCs w:val="24"/>
        </w:rPr>
        <w:t>1</w:t>
      </w:r>
      <w:r w:rsidR="00C0341C" w:rsidRPr="00C04E3C">
        <w:rPr>
          <w:rFonts w:ascii="仿宋" w:eastAsia="仿宋" w:hAnsi="仿宋"/>
          <w:color w:val="000000" w:themeColor="text1"/>
          <w:sz w:val="24"/>
          <w:szCs w:val="24"/>
        </w:rPr>
        <w:t>2</w:t>
      </w:r>
      <w:r w:rsidR="00E92053" w:rsidRPr="00C04E3C">
        <w:rPr>
          <w:rFonts w:ascii="仿宋" w:eastAsia="仿宋" w:hAnsi="仿宋" w:hint="eastAsia"/>
          <w:color w:val="000000" w:themeColor="text1"/>
          <w:sz w:val="24"/>
          <w:szCs w:val="24"/>
        </w:rPr>
        <w:t>月</w:t>
      </w:r>
      <w:r w:rsidR="00990361">
        <w:rPr>
          <w:rFonts w:ascii="仿宋" w:eastAsia="仿宋" w:hAnsi="仿宋"/>
          <w:color w:val="000000" w:themeColor="text1"/>
          <w:sz w:val="24"/>
          <w:szCs w:val="24"/>
        </w:rPr>
        <w:t>1</w:t>
      </w:r>
      <w:r w:rsidR="00BD769A">
        <w:rPr>
          <w:rFonts w:ascii="仿宋" w:eastAsia="仿宋" w:hAnsi="仿宋"/>
          <w:color w:val="000000" w:themeColor="text1"/>
          <w:sz w:val="24"/>
          <w:szCs w:val="24"/>
        </w:rPr>
        <w:t>9</w:t>
      </w:r>
      <w:r w:rsidR="00024F9B" w:rsidRPr="00C04E3C">
        <w:rPr>
          <w:rFonts w:ascii="仿宋" w:eastAsia="仿宋" w:hAnsi="仿宋" w:hint="eastAsia"/>
          <w:color w:val="000000" w:themeColor="text1"/>
          <w:sz w:val="24"/>
          <w:szCs w:val="24"/>
        </w:rPr>
        <w:t>日在本</w:t>
      </w:r>
      <w:r w:rsidR="00C0341C" w:rsidRPr="00C04E3C">
        <w:rPr>
          <w:rFonts w:ascii="仿宋" w:eastAsia="仿宋" w:hAnsi="仿宋" w:hint="eastAsia"/>
          <w:color w:val="000000" w:themeColor="text1"/>
          <w:sz w:val="24"/>
          <w:szCs w:val="24"/>
        </w:rPr>
        <w:t>基金管理人</w:t>
      </w:r>
      <w:r w:rsidR="00024F9B" w:rsidRPr="00C04E3C">
        <w:rPr>
          <w:rFonts w:ascii="仿宋" w:eastAsia="仿宋" w:hAnsi="仿宋" w:hint="eastAsia"/>
          <w:color w:val="000000" w:themeColor="text1"/>
          <w:sz w:val="24"/>
          <w:szCs w:val="24"/>
        </w:rPr>
        <w:t>网站（www.wjasset.com）和中国证监会基金电子披露网站（http://eid.csrc.gov.cn/fund）披露，供投资者查阅。如有疑问可拨打本公司客服电话（400-888-0800）咨询。</w:t>
      </w:r>
    </w:p>
    <w:p w:rsidR="00BB3501" w:rsidRPr="00C04E3C" w:rsidRDefault="00C0341C" w:rsidP="00A362CD">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3、</w:t>
      </w:r>
      <w:r w:rsidR="00BB3501" w:rsidRPr="00C04E3C">
        <w:rPr>
          <w:rFonts w:ascii="仿宋" w:eastAsia="仿宋" w:hAnsi="仿宋" w:hint="eastAsia"/>
          <w:color w:val="000000" w:themeColor="text1"/>
          <w:sz w:val="24"/>
          <w:szCs w:val="24"/>
        </w:rPr>
        <w:t>本基金管理人承诺以诚实信</w:t>
      </w:r>
      <w:r w:rsidR="00BB3501" w:rsidRPr="00C04E3C">
        <w:rPr>
          <w:rFonts w:ascii="仿宋" w:eastAsia="仿宋" w:hAnsi="仿宋"/>
          <w:color w:val="000000" w:themeColor="text1"/>
          <w:sz w:val="24"/>
          <w:szCs w:val="24"/>
        </w:rPr>
        <w:t>用、勤勉尽责的原则管理和运</w:t>
      </w:r>
      <w:r w:rsidR="00BB3501" w:rsidRPr="00C04E3C">
        <w:rPr>
          <w:rFonts w:ascii="仿宋" w:eastAsia="仿宋" w:hAnsi="仿宋" w:hint="eastAsia"/>
          <w:color w:val="000000" w:themeColor="text1"/>
          <w:sz w:val="24"/>
          <w:szCs w:val="24"/>
        </w:rPr>
        <w:t>用</w:t>
      </w:r>
      <w:r w:rsidR="00BB3501" w:rsidRPr="00C04E3C">
        <w:rPr>
          <w:rFonts w:ascii="仿宋" w:eastAsia="仿宋" w:hAnsi="仿宋"/>
          <w:color w:val="000000" w:themeColor="text1"/>
          <w:sz w:val="24"/>
          <w:szCs w:val="24"/>
        </w:rPr>
        <w:t>基金资产，但不保证</w:t>
      </w:r>
      <w:r w:rsidR="00BB3501" w:rsidRPr="00C04E3C">
        <w:rPr>
          <w:rFonts w:ascii="仿宋" w:eastAsia="仿宋" w:hAnsi="仿宋" w:hint="eastAsia"/>
          <w:color w:val="000000" w:themeColor="text1"/>
          <w:sz w:val="24"/>
          <w:szCs w:val="24"/>
        </w:rPr>
        <w:t>基金</w:t>
      </w:r>
      <w:r w:rsidR="00BB3501" w:rsidRPr="00C04E3C">
        <w:rPr>
          <w:rFonts w:ascii="仿宋" w:eastAsia="仿宋" w:hAnsi="仿宋"/>
          <w:color w:val="000000" w:themeColor="text1"/>
          <w:sz w:val="24"/>
          <w:szCs w:val="24"/>
        </w:rPr>
        <w:t>一定盈利，也不保证最低收益。</w:t>
      </w:r>
      <w:r w:rsidR="00BB3501" w:rsidRPr="00C04E3C">
        <w:rPr>
          <w:rFonts w:ascii="仿宋" w:eastAsia="仿宋" w:hAnsi="仿宋" w:hint="eastAsia"/>
          <w:color w:val="000000" w:themeColor="text1"/>
          <w:sz w:val="24"/>
          <w:szCs w:val="24"/>
        </w:rPr>
        <w:t>请充分了解基金的风险收益</w:t>
      </w:r>
      <w:r w:rsidR="00BB3501" w:rsidRPr="00C04E3C">
        <w:rPr>
          <w:rFonts w:ascii="仿宋" w:eastAsia="仿宋" w:hAnsi="仿宋"/>
          <w:color w:val="000000" w:themeColor="text1"/>
          <w:sz w:val="24"/>
          <w:szCs w:val="24"/>
        </w:rPr>
        <w:t>特征</w:t>
      </w:r>
      <w:r w:rsidR="00BB3501" w:rsidRPr="00C04E3C">
        <w:rPr>
          <w:rFonts w:ascii="仿宋" w:eastAsia="仿宋" w:hAnsi="仿宋" w:hint="eastAsia"/>
          <w:color w:val="000000" w:themeColor="text1"/>
          <w:sz w:val="24"/>
          <w:szCs w:val="24"/>
        </w:rPr>
        <w:t>，审慎做出投资决定。</w:t>
      </w:r>
    </w:p>
    <w:p w:rsidR="00BB3501" w:rsidRDefault="00BB3501" w:rsidP="00A362CD">
      <w:pPr>
        <w:spacing w:line="540" w:lineRule="exact"/>
        <w:ind w:firstLineChars="200" w:firstLine="480"/>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特此公告。</w:t>
      </w:r>
    </w:p>
    <w:p w:rsidR="00EA12DB" w:rsidRPr="00C04E3C" w:rsidRDefault="00EA12DB" w:rsidP="00A362CD">
      <w:pPr>
        <w:spacing w:line="540" w:lineRule="exact"/>
        <w:ind w:firstLineChars="200" w:firstLine="480"/>
        <w:rPr>
          <w:rFonts w:ascii="仿宋" w:eastAsia="仿宋" w:hAnsi="仿宋"/>
          <w:color w:val="000000" w:themeColor="text1"/>
          <w:sz w:val="24"/>
          <w:szCs w:val="24"/>
        </w:rPr>
      </w:pPr>
    </w:p>
    <w:p w:rsidR="00BB3501" w:rsidRPr="00C04E3C" w:rsidRDefault="00FE0B06" w:rsidP="00FE0B06">
      <w:pPr>
        <w:spacing w:line="540" w:lineRule="exact"/>
        <w:ind w:firstLineChars="250" w:firstLine="600"/>
        <w:jc w:val="right"/>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 xml:space="preserve">                            </w:t>
      </w:r>
      <w:r w:rsidR="00BB3501" w:rsidRPr="00C04E3C">
        <w:rPr>
          <w:rFonts w:ascii="仿宋" w:eastAsia="仿宋" w:hAnsi="仿宋" w:hint="eastAsia"/>
          <w:color w:val="000000" w:themeColor="text1"/>
          <w:sz w:val="24"/>
          <w:szCs w:val="24"/>
        </w:rPr>
        <w:t xml:space="preserve"> </w:t>
      </w:r>
      <w:r w:rsidRPr="00C04E3C">
        <w:rPr>
          <w:rFonts w:ascii="仿宋" w:eastAsia="仿宋" w:hAnsi="仿宋" w:hint="eastAsia"/>
          <w:color w:val="000000" w:themeColor="text1"/>
          <w:sz w:val="24"/>
          <w:szCs w:val="24"/>
        </w:rPr>
        <w:t>万家基金管理有限</w:t>
      </w:r>
      <w:r w:rsidR="00BB3501" w:rsidRPr="00C04E3C">
        <w:rPr>
          <w:rFonts w:ascii="仿宋" w:eastAsia="仿宋" w:hAnsi="仿宋"/>
          <w:color w:val="000000" w:themeColor="text1"/>
          <w:sz w:val="24"/>
          <w:szCs w:val="24"/>
        </w:rPr>
        <w:t>公司</w:t>
      </w:r>
    </w:p>
    <w:p w:rsidR="00480FBC" w:rsidRPr="00C04E3C" w:rsidRDefault="00BB3501" w:rsidP="00A362CD">
      <w:pPr>
        <w:spacing w:line="540" w:lineRule="exact"/>
        <w:ind w:firstLineChars="250" w:firstLine="600"/>
        <w:jc w:val="right"/>
        <w:rPr>
          <w:rFonts w:ascii="仿宋" w:eastAsia="仿宋" w:hAnsi="仿宋"/>
          <w:color w:val="000000" w:themeColor="text1"/>
          <w:sz w:val="24"/>
          <w:szCs w:val="24"/>
        </w:rPr>
      </w:pPr>
      <w:r w:rsidRPr="00C04E3C">
        <w:rPr>
          <w:rFonts w:ascii="仿宋" w:eastAsia="仿宋" w:hAnsi="仿宋" w:hint="eastAsia"/>
          <w:color w:val="000000" w:themeColor="text1"/>
          <w:sz w:val="24"/>
          <w:szCs w:val="24"/>
        </w:rPr>
        <w:t xml:space="preserve">                            </w:t>
      </w:r>
      <w:r w:rsidR="00C0341C" w:rsidRPr="00C04E3C">
        <w:rPr>
          <w:rFonts w:ascii="仿宋" w:eastAsia="仿宋" w:hAnsi="仿宋" w:hint="eastAsia"/>
          <w:color w:val="000000" w:themeColor="text1"/>
          <w:sz w:val="24"/>
          <w:szCs w:val="24"/>
        </w:rPr>
        <w:t>20</w:t>
      </w:r>
      <w:r w:rsidR="00C0341C" w:rsidRPr="00C04E3C">
        <w:rPr>
          <w:rFonts w:ascii="仿宋" w:eastAsia="仿宋" w:hAnsi="仿宋"/>
          <w:color w:val="000000" w:themeColor="text1"/>
          <w:sz w:val="24"/>
          <w:szCs w:val="24"/>
        </w:rPr>
        <w:t>20</w:t>
      </w:r>
      <w:r w:rsidRPr="00C04E3C">
        <w:rPr>
          <w:rFonts w:ascii="仿宋" w:eastAsia="仿宋" w:hAnsi="仿宋"/>
          <w:color w:val="000000" w:themeColor="text1"/>
          <w:sz w:val="24"/>
          <w:szCs w:val="24"/>
        </w:rPr>
        <w:t>年</w:t>
      </w:r>
      <w:r w:rsidR="00C0341C" w:rsidRPr="00C04E3C">
        <w:rPr>
          <w:rFonts w:ascii="仿宋" w:eastAsia="仿宋" w:hAnsi="仿宋" w:hint="eastAsia"/>
          <w:color w:val="000000" w:themeColor="text1"/>
          <w:sz w:val="24"/>
          <w:szCs w:val="24"/>
        </w:rPr>
        <w:t>1</w:t>
      </w:r>
      <w:r w:rsidR="00C0341C" w:rsidRPr="00C04E3C">
        <w:rPr>
          <w:rFonts w:ascii="仿宋" w:eastAsia="仿宋" w:hAnsi="仿宋"/>
          <w:color w:val="000000" w:themeColor="text1"/>
          <w:sz w:val="24"/>
          <w:szCs w:val="24"/>
        </w:rPr>
        <w:t>2</w:t>
      </w:r>
      <w:r w:rsidRPr="00C04E3C">
        <w:rPr>
          <w:rFonts w:ascii="仿宋" w:eastAsia="仿宋" w:hAnsi="仿宋"/>
          <w:color w:val="000000" w:themeColor="text1"/>
          <w:sz w:val="24"/>
          <w:szCs w:val="24"/>
        </w:rPr>
        <w:t>月</w:t>
      </w:r>
      <w:r w:rsidR="00990361">
        <w:rPr>
          <w:rFonts w:ascii="仿宋" w:eastAsia="仿宋" w:hAnsi="仿宋"/>
          <w:color w:val="000000" w:themeColor="text1"/>
          <w:sz w:val="24"/>
          <w:szCs w:val="24"/>
        </w:rPr>
        <w:t>1</w:t>
      </w:r>
      <w:r w:rsidR="00BD769A">
        <w:rPr>
          <w:rFonts w:ascii="仿宋" w:eastAsia="仿宋" w:hAnsi="仿宋"/>
          <w:color w:val="000000" w:themeColor="text1"/>
          <w:sz w:val="24"/>
          <w:szCs w:val="24"/>
        </w:rPr>
        <w:t>9</w:t>
      </w:r>
      <w:r w:rsidRPr="00C04E3C">
        <w:rPr>
          <w:rFonts w:ascii="仿宋" w:eastAsia="仿宋" w:hAnsi="仿宋"/>
          <w:color w:val="000000" w:themeColor="text1"/>
          <w:sz w:val="24"/>
          <w:szCs w:val="24"/>
        </w:rPr>
        <w:t>日</w:t>
      </w:r>
    </w:p>
    <w:sectPr w:rsidR="00480FBC" w:rsidRPr="00C04E3C"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81E" w:rsidRDefault="00B6381E" w:rsidP="009A149B">
      <w:r>
        <w:separator/>
      </w:r>
    </w:p>
  </w:endnote>
  <w:endnote w:type="continuationSeparator" w:id="0">
    <w:p w:rsidR="00B6381E" w:rsidRDefault="00B6381E"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A56DE">
        <w:pPr>
          <w:pStyle w:val="a4"/>
          <w:jc w:val="center"/>
        </w:pPr>
        <w:r>
          <w:fldChar w:fldCharType="begin"/>
        </w:r>
        <w:r w:rsidR="00084E7D">
          <w:instrText>PAGE   \* MERGEFORMAT</w:instrText>
        </w:r>
        <w:r>
          <w:fldChar w:fldCharType="separate"/>
        </w:r>
        <w:r w:rsidR="003313D0" w:rsidRPr="003313D0">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A56DE">
        <w:pPr>
          <w:pStyle w:val="a4"/>
          <w:jc w:val="center"/>
        </w:pPr>
        <w:r>
          <w:fldChar w:fldCharType="begin"/>
        </w:r>
        <w:r w:rsidR="00084E7D">
          <w:instrText>PAGE   \* MERGEFORMAT</w:instrText>
        </w:r>
        <w:r>
          <w:fldChar w:fldCharType="separate"/>
        </w:r>
        <w:r w:rsidR="003313D0" w:rsidRPr="003313D0">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81E" w:rsidRDefault="00B6381E" w:rsidP="009A149B">
      <w:r>
        <w:separator/>
      </w:r>
    </w:p>
  </w:footnote>
  <w:footnote w:type="continuationSeparator" w:id="0">
    <w:p w:rsidR="00B6381E" w:rsidRDefault="00B6381E"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4F9B"/>
    <w:rsid w:val="00025D40"/>
    <w:rsid w:val="000300E5"/>
    <w:rsid w:val="0003246C"/>
    <w:rsid w:val="00033010"/>
    <w:rsid w:val="00033204"/>
    <w:rsid w:val="000475F0"/>
    <w:rsid w:val="000539F6"/>
    <w:rsid w:val="00056EE0"/>
    <w:rsid w:val="00057323"/>
    <w:rsid w:val="00074F78"/>
    <w:rsid w:val="0008010F"/>
    <w:rsid w:val="00081ADE"/>
    <w:rsid w:val="00084E7D"/>
    <w:rsid w:val="00087988"/>
    <w:rsid w:val="0009227A"/>
    <w:rsid w:val="00093E55"/>
    <w:rsid w:val="00094F20"/>
    <w:rsid w:val="000A0272"/>
    <w:rsid w:val="000A0ECE"/>
    <w:rsid w:val="000A588E"/>
    <w:rsid w:val="000B53A5"/>
    <w:rsid w:val="000C06E1"/>
    <w:rsid w:val="000C1032"/>
    <w:rsid w:val="000C14CC"/>
    <w:rsid w:val="000D18EF"/>
    <w:rsid w:val="000E13E9"/>
    <w:rsid w:val="000E7D66"/>
    <w:rsid w:val="000F07E6"/>
    <w:rsid w:val="000F407E"/>
    <w:rsid w:val="000F6458"/>
    <w:rsid w:val="001039BC"/>
    <w:rsid w:val="00123307"/>
    <w:rsid w:val="001279BE"/>
    <w:rsid w:val="0013251E"/>
    <w:rsid w:val="0013275D"/>
    <w:rsid w:val="00143C53"/>
    <w:rsid w:val="001445A9"/>
    <w:rsid w:val="00146307"/>
    <w:rsid w:val="001533B2"/>
    <w:rsid w:val="001623CF"/>
    <w:rsid w:val="00165D5C"/>
    <w:rsid w:val="00166B15"/>
    <w:rsid w:val="00174C8C"/>
    <w:rsid w:val="0017571E"/>
    <w:rsid w:val="00175AED"/>
    <w:rsid w:val="00191702"/>
    <w:rsid w:val="00192262"/>
    <w:rsid w:val="001A593B"/>
    <w:rsid w:val="001B05E6"/>
    <w:rsid w:val="001D04AB"/>
    <w:rsid w:val="001D2521"/>
    <w:rsid w:val="001D74AE"/>
    <w:rsid w:val="001E7CAD"/>
    <w:rsid w:val="001F125D"/>
    <w:rsid w:val="001F15CB"/>
    <w:rsid w:val="001F533E"/>
    <w:rsid w:val="0021172E"/>
    <w:rsid w:val="00221DE2"/>
    <w:rsid w:val="00234298"/>
    <w:rsid w:val="002471D4"/>
    <w:rsid w:val="00253326"/>
    <w:rsid w:val="00261CDE"/>
    <w:rsid w:val="0026276F"/>
    <w:rsid w:val="00276CA4"/>
    <w:rsid w:val="002823E9"/>
    <w:rsid w:val="00282A7F"/>
    <w:rsid w:val="00284E14"/>
    <w:rsid w:val="00293DE4"/>
    <w:rsid w:val="002941EC"/>
    <w:rsid w:val="00295193"/>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13D0"/>
    <w:rsid w:val="00332619"/>
    <w:rsid w:val="00333802"/>
    <w:rsid w:val="003467B5"/>
    <w:rsid w:val="00355B7C"/>
    <w:rsid w:val="00361065"/>
    <w:rsid w:val="0036248F"/>
    <w:rsid w:val="00382BCB"/>
    <w:rsid w:val="00391944"/>
    <w:rsid w:val="00393949"/>
    <w:rsid w:val="003948AF"/>
    <w:rsid w:val="00394BBC"/>
    <w:rsid w:val="003A4AC6"/>
    <w:rsid w:val="003A56DE"/>
    <w:rsid w:val="003C2820"/>
    <w:rsid w:val="003C2CD2"/>
    <w:rsid w:val="003C3CB5"/>
    <w:rsid w:val="003C5A1A"/>
    <w:rsid w:val="003C6C6B"/>
    <w:rsid w:val="003D0424"/>
    <w:rsid w:val="003D32D7"/>
    <w:rsid w:val="003E3263"/>
    <w:rsid w:val="003F4E13"/>
    <w:rsid w:val="003F6960"/>
    <w:rsid w:val="0040020D"/>
    <w:rsid w:val="00405ADB"/>
    <w:rsid w:val="004254EE"/>
    <w:rsid w:val="00430D19"/>
    <w:rsid w:val="004317E4"/>
    <w:rsid w:val="00433480"/>
    <w:rsid w:val="0043655D"/>
    <w:rsid w:val="00437D86"/>
    <w:rsid w:val="00441246"/>
    <w:rsid w:val="00441E0B"/>
    <w:rsid w:val="00451C14"/>
    <w:rsid w:val="00452A46"/>
    <w:rsid w:val="00454581"/>
    <w:rsid w:val="00454978"/>
    <w:rsid w:val="00467E81"/>
    <w:rsid w:val="004744B6"/>
    <w:rsid w:val="004748B9"/>
    <w:rsid w:val="00477BA8"/>
    <w:rsid w:val="00477EB2"/>
    <w:rsid w:val="00480FBC"/>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32E"/>
    <w:rsid w:val="005837B0"/>
    <w:rsid w:val="00596AC1"/>
    <w:rsid w:val="005A408B"/>
    <w:rsid w:val="005A46AE"/>
    <w:rsid w:val="005A77EA"/>
    <w:rsid w:val="005B5746"/>
    <w:rsid w:val="005C00AF"/>
    <w:rsid w:val="005C7C95"/>
    <w:rsid w:val="005C7FDE"/>
    <w:rsid w:val="005D02CD"/>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49C0"/>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1FC5"/>
    <w:rsid w:val="007629BB"/>
    <w:rsid w:val="00762A82"/>
    <w:rsid w:val="007703B8"/>
    <w:rsid w:val="00771227"/>
    <w:rsid w:val="00772D42"/>
    <w:rsid w:val="00775751"/>
    <w:rsid w:val="00780214"/>
    <w:rsid w:val="00781015"/>
    <w:rsid w:val="00787132"/>
    <w:rsid w:val="007900FC"/>
    <w:rsid w:val="00794869"/>
    <w:rsid w:val="00797876"/>
    <w:rsid w:val="007A2012"/>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231A"/>
    <w:rsid w:val="00847A69"/>
    <w:rsid w:val="008619E1"/>
    <w:rsid w:val="00866E5A"/>
    <w:rsid w:val="008704E6"/>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1F4"/>
    <w:rsid w:val="008D4634"/>
    <w:rsid w:val="008E4CD7"/>
    <w:rsid w:val="008E58F7"/>
    <w:rsid w:val="008E6EC1"/>
    <w:rsid w:val="00903815"/>
    <w:rsid w:val="00903C0A"/>
    <w:rsid w:val="009062C4"/>
    <w:rsid w:val="0090723B"/>
    <w:rsid w:val="00910193"/>
    <w:rsid w:val="0092312D"/>
    <w:rsid w:val="00933628"/>
    <w:rsid w:val="009432DB"/>
    <w:rsid w:val="009465EA"/>
    <w:rsid w:val="009506DC"/>
    <w:rsid w:val="00952A6B"/>
    <w:rsid w:val="009566C4"/>
    <w:rsid w:val="00956DD9"/>
    <w:rsid w:val="009628AE"/>
    <w:rsid w:val="00967A04"/>
    <w:rsid w:val="00973509"/>
    <w:rsid w:val="00977BBE"/>
    <w:rsid w:val="00977E7B"/>
    <w:rsid w:val="00986792"/>
    <w:rsid w:val="009871EF"/>
    <w:rsid w:val="00990361"/>
    <w:rsid w:val="00991292"/>
    <w:rsid w:val="00991AEE"/>
    <w:rsid w:val="0099252E"/>
    <w:rsid w:val="00993CBF"/>
    <w:rsid w:val="00997D63"/>
    <w:rsid w:val="009A149B"/>
    <w:rsid w:val="009B33C8"/>
    <w:rsid w:val="009B5D57"/>
    <w:rsid w:val="009C15E2"/>
    <w:rsid w:val="009C33BF"/>
    <w:rsid w:val="009C3820"/>
    <w:rsid w:val="009C3F39"/>
    <w:rsid w:val="009E35EB"/>
    <w:rsid w:val="009E64F2"/>
    <w:rsid w:val="009E7875"/>
    <w:rsid w:val="009F72D1"/>
    <w:rsid w:val="00A144A6"/>
    <w:rsid w:val="00A21627"/>
    <w:rsid w:val="00A362CD"/>
    <w:rsid w:val="00A37A94"/>
    <w:rsid w:val="00A41611"/>
    <w:rsid w:val="00A441B7"/>
    <w:rsid w:val="00A447AF"/>
    <w:rsid w:val="00A46364"/>
    <w:rsid w:val="00A46430"/>
    <w:rsid w:val="00A5780A"/>
    <w:rsid w:val="00A60588"/>
    <w:rsid w:val="00A62B15"/>
    <w:rsid w:val="00A63901"/>
    <w:rsid w:val="00A63F21"/>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381E"/>
    <w:rsid w:val="00B64EDD"/>
    <w:rsid w:val="00B65E43"/>
    <w:rsid w:val="00B667CB"/>
    <w:rsid w:val="00B725A0"/>
    <w:rsid w:val="00B7491E"/>
    <w:rsid w:val="00B763C4"/>
    <w:rsid w:val="00B810E4"/>
    <w:rsid w:val="00B91560"/>
    <w:rsid w:val="00B9364B"/>
    <w:rsid w:val="00B95F9A"/>
    <w:rsid w:val="00BA0E21"/>
    <w:rsid w:val="00BA1434"/>
    <w:rsid w:val="00BA3915"/>
    <w:rsid w:val="00BA3AE4"/>
    <w:rsid w:val="00BA68EF"/>
    <w:rsid w:val="00BB3501"/>
    <w:rsid w:val="00BB3A06"/>
    <w:rsid w:val="00BB7A7F"/>
    <w:rsid w:val="00BC3F72"/>
    <w:rsid w:val="00BC64B2"/>
    <w:rsid w:val="00BC662F"/>
    <w:rsid w:val="00BC6A93"/>
    <w:rsid w:val="00BC6FFD"/>
    <w:rsid w:val="00BC778B"/>
    <w:rsid w:val="00BC7A50"/>
    <w:rsid w:val="00BC7AFE"/>
    <w:rsid w:val="00BD1958"/>
    <w:rsid w:val="00BD3CFA"/>
    <w:rsid w:val="00BD769A"/>
    <w:rsid w:val="00BD7C42"/>
    <w:rsid w:val="00BE2CDD"/>
    <w:rsid w:val="00BE6EA1"/>
    <w:rsid w:val="00BF22CF"/>
    <w:rsid w:val="00BF234E"/>
    <w:rsid w:val="00BF2747"/>
    <w:rsid w:val="00BF2F67"/>
    <w:rsid w:val="00BF5588"/>
    <w:rsid w:val="00BF5F4D"/>
    <w:rsid w:val="00C0244D"/>
    <w:rsid w:val="00C0341C"/>
    <w:rsid w:val="00C04E3C"/>
    <w:rsid w:val="00C04FAE"/>
    <w:rsid w:val="00C057CB"/>
    <w:rsid w:val="00C10D62"/>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11"/>
    <w:rsid w:val="00C71F74"/>
    <w:rsid w:val="00C73CFC"/>
    <w:rsid w:val="00C7490E"/>
    <w:rsid w:val="00C75104"/>
    <w:rsid w:val="00C81BB2"/>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4722B"/>
    <w:rsid w:val="00D5035D"/>
    <w:rsid w:val="00D5213E"/>
    <w:rsid w:val="00D52A3F"/>
    <w:rsid w:val="00D535B2"/>
    <w:rsid w:val="00D56E0D"/>
    <w:rsid w:val="00D62A71"/>
    <w:rsid w:val="00D70A3B"/>
    <w:rsid w:val="00D72110"/>
    <w:rsid w:val="00D919AF"/>
    <w:rsid w:val="00D937BD"/>
    <w:rsid w:val="00DA2D7C"/>
    <w:rsid w:val="00DA7861"/>
    <w:rsid w:val="00DB6F0A"/>
    <w:rsid w:val="00DD7BAA"/>
    <w:rsid w:val="00DE0FFA"/>
    <w:rsid w:val="00DE24FA"/>
    <w:rsid w:val="00DE6A70"/>
    <w:rsid w:val="00DF3DF3"/>
    <w:rsid w:val="00DF5AA8"/>
    <w:rsid w:val="00E11D7D"/>
    <w:rsid w:val="00E1254C"/>
    <w:rsid w:val="00E16895"/>
    <w:rsid w:val="00E20BF3"/>
    <w:rsid w:val="00E32614"/>
    <w:rsid w:val="00E33250"/>
    <w:rsid w:val="00E3526B"/>
    <w:rsid w:val="00E5059C"/>
    <w:rsid w:val="00E54C06"/>
    <w:rsid w:val="00E5664A"/>
    <w:rsid w:val="00E7407A"/>
    <w:rsid w:val="00E81A0A"/>
    <w:rsid w:val="00E92053"/>
    <w:rsid w:val="00E964F7"/>
    <w:rsid w:val="00EA12DB"/>
    <w:rsid w:val="00EA6F84"/>
    <w:rsid w:val="00EB7931"/>
    <w:rsid w:val="00ED4F18"/>
    <w:rsid w:val="00ED548C"/>
    <w:rsid w:val="00ED7F3F"/>
    <w:rsid w:val="00EE2808"/>
    <w:rsid w:val="00EF043C"/>
    <w:rsid w:val="00EF49B3"/>
    <w:rsid w:val="00EF56E1"/>
    <w:rsid w:val="00EF73FD"/>
    <w:rsid w:val="00F00561"/>
    <w:rsid w:val="00F01150"/>
    <w:rsid w:val="00F01E3D"/>
    <w:rsid w:val="00F04DC2"/>
    <w:rsid w:val="00F066D9"/>
    <w:rsid w:val="00F17538"/>
    <w:rsid w:val="00F25F52"/>
    <w:rsid w:val="00F469D5"/>
    <w:rsid w:val="00F47FEE"/>
    <w:rsid w:val="00F527B3"/>
    <w:rsid w:val="00F632AF"/>
    <w:rsid w:val="00F6382D"/>
    <w:rsid w:val="00F63F55"/>
    <w:rsid w:val="00F66378"/>
    <w:rsid w:val="00F71C51"/>
    <w:rsid w:val="00F77F4B"/>
    <w:rsid w:val="00F9100C"/>
    <w:rsid w:val="00FA0934"/>
    <w:rsid w:val="00FA3F29"/>
    <w:rsid w:val="00FA653D"/>
    <w:rsid w:val="00FB23EE"/>
    <w:rsid w:val="00FC34DF"/>
    <w:rsid w:val="00FD658E"/>
    <w:rsid w:val="00FE0B06"/>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A36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A362CD"/>
  </w:style>
</w:styles>
</file>

<file path=word/webSettings.xml><?xml version="1.0" encoding="utf-8"?>
<w:webSettings xmlns:r="http://schemas.openxmlformats.org/officeDocument/2006/relationships" xmlns:w="http://schemas.openxmlformats.org/wordprocessingml/2006/main">
  <w:divs>
    <w:div w:id="295064544">
      <w:bodyDiv w:val="1"/>
      <w:marLeft w:val="0"/>
      <w:marRight w:val="0"/>
      <w:marTop w:val="0"/>
      <w:marBottom w:val="0"/>
      <w:divBdr>
        <w:top w:val="none" w:sz="0" w:space="0" w:color="auto"/>
        <w:left w:val="none" w:sz="0" w:space="0" w:color="auto"/>
        <w:bottom w:val="none" w:sz="0" w:space="0" w:color="auto"/>
        <w:right w:val="none" w:sz="0" w:space="0" w:color="auto"/>
      </w:divBdr>
    </w:div>
    <w:div w:id="416169855">
      <w:bodyDiv w:val="1"/>
      <w:marLeft w:val="0"/>
      <w:marRight w:val="0"/>
      <w:marTop w:val="0"/>
      <w:marBottom w:val="0"/>
      <w:divBdr>
        <w:top w:val="none" w:sz="0" w:space="0" w:color="auto"/>
        <w:left w:val="none" w:sz="0" w:space="0" w:color="auto"/>
        <w:bottom w:val="none" w:sz="0" w:space="0" w:color="auto"/>
        <w:right w:val="none" w:sz="0" w:space="0" w:color="auto"/>
      </w:divBdr>
    </w:div>
    <w:div w:id="16803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B35A-810F-43D4-A6A5-F056297A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5073</Characters>
  <Application>Microsoft Office Word</Application>
  <DocSecurity>4</DocSecurity>
  <Lines>42</Lines>
  <Paragraphs>11</Paragraphs>
  <ScaleCrop>false</ScaleCrop>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2020-12-18T09:22:00Z</cp:lastPrinted>
  <dcterms:created xsi:type="dcterms:W3CDTF">2020-12-18T16:19:00Z</dcterms:created>
  <dcterms:modified xsi:type="dcterms:W3CDTF">2020-12-18T16:19:00Z</dcterms:modified>
</cp:coreProperties>
</file>