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80" w:rsidRDefault="00342373">
      <w:pPr>
        <w:spacing w:line="360" w:lineRule="auto"/>
        <w:jc w:val="center"/>
        <w:rPr>
          <w:rFonts w:asciiTheme="minorEastAsia" w:hAnsiTheme="minorEastAsia"/>
          <w:b/>
          <w:sz w:val="28"/>
          <w:szCs w:val="28"/>
        </w:rPr>
      </w:pPr>
      <w:r>
        <w:rPr>
          <w:rFonts w:asciiTheme="minorEastAsia" w:hAnsiTheme="minorEastAsia" w:hint="eastAsia"/>
          <w:b/>
          <w:sz w:val="28"/>
          <w:szCs w:val="28"/>
        </w:rPr>
        <w:t>太平基金管理有限公司</w:t>
      </w:r>
    </w:p>
    <w:p w:rsidR="006E3780" w:rsidRDefault="00342373">
      <w:pPr>
        <w:spacing w:line="360" w:lineRule="auto"/>
        <w:jc w:val="center"/>
        <w:rPr>
          <w:rFonts w:asciiTheme="minorEastAsia" w:hAnsiTheme="minorEastAsia"/>
          <w:b/>
          <w:sz w:val="28"/>
          <w:szCs w:val="28"/>
        </w:rPr>
      </w:pPr>
      <w:r>
        <w:rPr>
          <w:rFonts w:asciiTheme="minorEastAsia" w:hAnsiTheme="minorEastAsia" w:hint="eastAsia"/>
          <w:b/>
          <w:sz w:val="28"/>
          <w:szCs w:val="28"/>
        </w:rPr>
        <w:t>关于旗下部分基金增加宁波银行股份有限公司</w:t>
      </w:r>
    </w:p>
    <w:p w:rsidR="006E3780" w:rsidRDefault="00342373">
      <w:pPr>
        <w:spacing w:line="360" w:lineRule="auto"/>
        <w:jc w:val="center"/>
        <w:rPr>
          <w:rFonts w:asciiTheme="minorEastAsia" w:hAnsiTheme="minorEastAsia"/>
          <w:b/>
          <w:sz w:val="28"/>
          <w:szCs w:val="28"/>
        </w:rPr>
      </w:pPr>
      <w:r>
        <w:rPr>
          <w:rFonts w:asciiTheme="minorEastAsia" w:hAnsiTheme="minorEastAsia" w:hint="eastAsia"/>
          <w:b/>
          <w:sz w:val="28"/>
          <w:szCs w:val="28"/>
        </w:rPr>
        <w:t>为销售机构并参加其费率优惠的公告</w:t>
      </w:r>
    </w:p>
    <w:p w:rsidR="006E3780" w:rsidRDefault="006E3780">
      <w:pPr>
        <w:spacing w:line="360" w:lineRule="auto"/>
        <w:jc w:val="center"/>
        <w:rPr>
          <w:rFonts w:asciiTheme="minorEastAsia" w:hAnsiTheme="minorEastAsia"/>
          <w:b/>
          <w:sz w:val="24"/>
          <w:szCs w:val="24"/>
        </w:rPr>
      </w:pPr>
    </w:p>
    <w:p w:rsidR="006E3780" w:rsidRDefault="00342373">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为了更好地满足广大投资者的理财需</w:t>
      </w:r>
      <w:bookmarkStart w:id="0" w:name="_GoBack"/>
      <w:bookmarkEnd w:id="0"/>
      <w:r>
        <w:rPr>
          <w:rFonts w:asciiTheme="minorEastAsia" w:hAnsiTheme="minorEastAsia" w:hint="eastAsia"/>
          <w:sz w:val="24"/>
          <w:szCs w:val="24"/>
        </w:rPr>
        <w:t>求，根据太平基金管理有限公司（以下简称“本公司”）与宁波银行股份有限公司（以下简称“宁波银行”）签署的相关销售协议，自</w:t>
      </w:r>
      <w:r>
        <w:rPr>
          <w:rFonts w:asciiTheme="minorEastAsia" w:hAnsiTheme="minorEastAsia"/>
          <w:sz w:val="24"/>
          <w:szCs w:val="24"/>
        </w:rPr>
        <w:t>20</w:t>
      </w:r>
      <w:r>
        <w:rPr>
          <w:rFonts w:asciiTheme="minorEastAsia" w:hAnsiTheme="minorEastAsia" w:hint="eastAsia"/>
          <w:sz w:val="24"/>
          <w:szCs w:val="24"/>
        </w:rPr>
        <w:t>20</w:t>
      </w:r>
      <w:r>
        <w:rPr>
          <w:rFonts w:asciiTheme="minorEastAsia" w:hAnsiTheme="minorEastAsia"/>
          <w:sz w:val="24"/>
          <w:szCs w:val="24"/>
        </w:rPr>
        <w:t>年</w:t>
      </w:r>
      <w:r>
        <w:rPr>
          <w:rFonts w:asciiTheme="minorEastAsia" w:hAnsiTheme="minorEastAsia" w:hint="eastAsia"/>
          <w:sz w:val="24"/>
          <w:szCs w:val="24"/>
        </w:rPr>
        <w:t>12月18日起，本公司旗下的太平日日金货币市场基金（基金简称：太平日日金；A类份额基金代码：003398，B类份额基金代码：003399）、太平日日鑫货币市场基金（基金简称：太平日日鑫；A类份额基金代码：004330，B类份额基金代码：004331）、太平恒睿纯债债券型证券投资基金（基金简称：太平恒睿纯债；基金代码：009118）、太平恒安三个月定期开放债券型证券投资基金（基金简称：太平恒安三个月定开债；基金代码：007545）、太平MSCI香港价值增强指数证券投资基金（基金简称：太平MSCI香港价值增强；A类份额基金代码：007107，C类份额基金代码：007108）、太平中债1-3年政策性金融债指数证券投资基金（基金简称：太平中债1-3年政策性金融债；A类份额基金代码：009087，C类份额基金代码：009088）、太平改革红利精选灵活配置混合型证券投资基金（基金简称：太平改革红利精选；基金代码：005270）增加宁波银行为销售机构</w:t>
      </w:r>
      <w:r>
        <w:t>并参加其费率优惠</w:t>
      </w:r>
      <w:r>
        <w:rPr>
          <w:rFonts w:asciiTheme="minorEastAsia" w:hAnsiTheme="minorEastAsia" w:hint="eastAsia"/>
          <w:sz w:val="24"/>
          <w:szCs w:val="24"/>
        </w:rPr>
        <w:t xml:space="preserve">。现就有关事项公告如下： </w:t>
      </w:r>
    </w:p>
    <w:p w:rsidR="006E3780" w:rsidRDefault="006E3780">
      <w:pPr>
        <w:spacing w:line="360" w:lineRule="auto"/>
        <w:ind w:firstLine="601"/>
        <w:outlineLvl w:val="0"/>
        <w:rPr>
          <w:rFonts w:asciiTheme="minorEastAsia" w:hAnsiTheme="minorEastAsia"/>
          <w:sz w:val="24"/>
          <w:szCs w:val="24"/>
        </w:rPr>
      </w:pPr>
    </w:p>
    <w:p w:rsidR="006E3780" w:rsidRDefault="00342373">
      <w:pPr>
        <w:spacing w:line="360" w:lineRule="auto"/>
        <w:rPr>
          <w:rFonts w:asciiTheme="minorEastAsia" w:hAnsiTheme="minorEastAsia"/>
          <w:sz w:val="24"/>
          <w:szCs w:val="24"/>
        </w:rPr>
      </w:pPr>
      <w:r>
        <w:rPr>
          <w:rFonts w:asciiTheme="minorEastAsia" w:hAnsiTheme="minorEastAsia" w:hint="eastAsia"/>
          <w:sz w:val="24"/>
          <w:szCs w:val="24"/>
        </w:rPr>
        <w:t>一、适用业务范围</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2020年12月18日起，投资者可通过宁波银行股份有限公司相关渠道办理太平日日金、太平日日鑫、太平恒睿纯债、太平恒安三个月定开债、太平MSCI香港价值增强基金、太平中债1-3年政策性金融债、太平改革红利精选基金的开户、申购、赎回、转换等相关销售业务。</w:t>
      </w:r>
    </w:p>
    <w:p w:rsidR="006E3780" w:rsidRDefault="006E3780">
      <w:pPr>
        <w:spacing w:line="360" w:lineRule="auto"/>
        <w:ind w:firstLineChars="200" w:firstLine="480"/>
        <w:rPr>
          <w:rFonts w:asciiTheme="minorEastAsia" w:hAnsiTheme="minorEastAsia"/>
          <w:sz w:val="24"/>
          <w:szCs w:val="24"/>
        </w:rPr>
      </w:pPr>
    </w:p>
    <w:p w:rsidR="006E3780" w:rsidRDefault="00342373">
      <w:pPr>
        <w:spacing w:line="360" w:lineRule="auto"/>
        <w:rPr>
          <w:rFonts w:asciiTheme="minorEastAsia" w:hAnsiTheme="minorEastAsia"/>
          <w:sz w:val="24"/>
          <w:szCs w:val="24"/>
        </w:rPr>
      </w:pPr>
      <w:r>
        <w:rPr>
          <w:rFonts w:asciiTheme="minorEastAsia" w:hAnsiTheme="minorEastAsia" w:hint="eastAsia"/>
          <w:sz w:val="24"/>
          <w:szCs w:val="24"/>
        </w:rPr>
        <w:t>二、基金转换业务</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w:t>
      </w:r>
      <w:r>
        <w:rPr>
          <w:rFonts w:asciiTheme="minorEastAsia" w:hAnsiTheme="minorEastAsia"/>
          <w:sz w:val="24"/>
          <w:szCs w:val="24"/>
        </w:rPr>
        <w:lastRenderedPageBreak/>
        <w:t>机构进行。转换的两只基金必须都是该销售机构代理的同一基金管理人管理的、在同一注册登记机构处注册登记的、同一收费模式的开放式基金。</w:t>
      </w:r>
    </w:p>
    <w:p w:rsidR="006E3780" w:rsidRDefault="00342373">
      <w:pPr>
        <w:spacing w:line="360" w:lineRule="auto"/>
        <w:ind w:firstLineChars="196" w:firstLine="470"/>
        <w:rPr>
          <w:sz w:val="24"/>
        </w:rPr>
      </w:pPr>
      <w:r>
        <w:rPr>
          <w:rFonts w:ascii="宋体" w:hAnsi="宋体"/>
          <w:bCs/>
          <w:sz w:val="24"/>
        </w:rPr>
        <w:t>1</w:t>
      </w:r>
      <w:r>
        <w:rPr>
          <w:rFonts w:ascii="宋体" w:hAnsi="宋体" w:hint="eastAsia"/>
          <w:bCs/>
          <w:sz w:val="24"/>
        </w:rPr>
        <w:t>、</w:t>
      </w:r>
      <w:r>
        <w:rPr>
          <w:rFonts w:ascii="宋体" w:hAnsi="宋体"/>
          <w:bCs/>
          <w:sz w:val="24"/>
        </w:rPr>
        <w:t>转换费率</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）转换费用=转出费</w:t>
      </w:r>
      <w:r>
        <w:rPr>
          <w:rFonts w:asciiTheme="minorEastAsia" w:hAnsiTheme="minorEastAsia"/>
          <w:sz w:val="24"/>
          <w:szCs w:val="24"/>
        </w:rPr>
        <w:t>+</w:t>
      </w:r>
      <w:r>
        <w:rPr>
          <w:rFonts w:asciiTheme="minorEastAsia" w:hAnsiTheme="minorEastAsia" w:hint="eastAsia"/>
          <w:sz w:val="24"/>
          <w:szCs w:val="24"/>
        </w:rPr>
        <w:t>补差费</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－转出基金赎回费率）</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2、适用基金范围</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基金转换业务适用于本公司募集管理并且在本公司注册登记的下列基金，投资者可以在下列基金的开放期内，申请办理下列基金的转换业务： </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太平改革红利精选灵活配置混合型证券投资基金（基金代码：005270）；</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）太平日日鑫货币市场基金（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004330</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004331</w:t>
      </w:r>
      <w:r>
        <w:rPr>
          <w:rFonts w:asciiTheme="minorEastAsia" w:hAnsiTheme="minorEastAsia" w:hint="eastAsia"/>
          <w:sz w:val="24"/>
          <w:szCs w:val="24"/>
        </w:rPr>
        <w:t>）；</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）太平日日金货币市场基金（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003398</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003399</w:t>
      </w:r>
      <w:r>
        <w:rPr>
          <w:rFonts w:asciiTheme="minorEastAsia" w:hAnsiTheme="minorEastAsia" w:hint="eastAsia"/>
          <w:sz w:val="24"/>
          <w:szCs w:val="24"/>
        </w:rPr>
        <w:t>）；</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（4）太平恒睿纯债债券型证券投资基金（基金代码：</w:t>
      </w:r>
      <w:r>
        <w:rPr>
          <w:rFonts w:asciiTheme="minorEastAsia" w:hAnsiTheme="minorEastAsia"/>
          <w:sz w:val="24"/>
          <w:szCs w:val="24"/>
        </w:rPr>
        <w:t>0</w:t>
      </w:r>
      <w:r>
        <w:rPr>
          <w:rFonts w:asciiTheme="minorEastAsia" w:hAnsiTheme="minorEastAsia" w:hint="eastAsia"/>
          <w:sz w:val="24"/>
          <w:szCs w:val="24"/>
        </w:rPr>
        <w:t>09118）；</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（5）太平中债1-3年政策性金融债指数证券投资基金（基金简称：太平中债1-3年政策性金融债；A类份额基金代码：009087，C类份额基金代码：009088）；</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（6）太平恒安三个月定期开放债券型证券投资基金（基金简称：太平恒安三个月定开债；基金代码：007545）。</w:t>
      </w:r>
    </w:p>
    <w:p w:rsidR="006E3780" w:rsidRDefault="00342373" w:rsidP="000627FA">
      <w:pPr>
        <w:spacing w:line="360" w:lineRule="auto"/>
        <w:ind w:firstLineChars="200" w:firstLine="482"/>
        <w:rPr>
          <w:rFonts w:asciiTheme="minorEastAsia" w:hAnsiTheme="minorEastAsia"/>
          <w:b/>
          <w:sz w:val="24"/>
          <w:szCs w:val="24"/>
        </w:rPr>
      </w:pPr>
      <w:r>
        <w:rPr>
          <w:rFonts w:asciiTheme="minorEastAsia" w:hAnsiTheme="minorEastAsia"/>
          <w:b/>
          <w:sz w:val="24"/>
          <w:szCs w:val="24"/>
        </w:rPr>
        <w:t>3、转换限额</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w:t>
      </w:r>
      <w:r>
        <w:rPr>
          <w:rFonts w:asciiTheme="minorEastAsia" w:hAnsiTheme="minorEastAsia" w:hint="eastAsia"/>
          <w:sz w:val="24"/>
          <w:szCs w:val="24"/>
        </w:rPr>
        <w:lastRenderedPageBreak/>
        <w:t>单一投资者转换转入后持有的基金份额不得达到或超过基金总份额的50%。基金管理人可以依照相关法律法规以及基金合同的约定，在特定市场条件下暂停或者拒绝接受一定金额以上的转换转入申请。</w:t>
      </w:r>
    </w:p>
    <w:p w:rsidR="006E3780" w:rsidRDefault="00342373">
      <w:pPr>
        <w:spacing w:line="360" w:lineRule="auto"/>
        <w:ind w:firstLineChars="200" w:firstLine="482"/>
        <w:rPr>
          <w:rFonts w:asciiTheme="minorEastAsia" w:hAnsiTheme="minorEastAsia"/>
          <w:b/>
          <w:sz w:val="24"/>
          <w:szCs w:val="24"/>
        </w:rPr>
      </w:pPr>
      <w:r>
        <w:rPr>
          <w:rFonts w:asciiTheme="minorEastAsia" w:hAnsiTheme="minorEastAsia"/>
          <w:b/>
          <w:sz w:val="24"/>
          <w:szCs w:val="24"/>
        </w:rPr>
        <w:t>4、转换业务规则</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6E3780" w:rsidRDefault="00342373">
      <w:pPr>
        <w:spacing w:line="360" w:lineRule="auto"/>
        <w:ind w:firstLineChars="200" w:firstLine="482"/>
        <w:rPr>
          <w:rFonts w:asciiTheme="minorEastAsia" w:hAnsiTheme="minorEastAsia"/>
          <w:b/>
          <w:sz w:val="24"/>
          <w:szCs w:val="24"/>
        </w:rPr>
      </w:pPr>
      <w:r>
        <w:rPr>
          <w:rFonts w:asciiTheme="minorEastAsia" w:hAnsiTheme="minorEastAsia"/>
          <w:b/>
          <w:sz w:val="24"/>
          <w:szCs w:val="24"/>
        </w:rPr>
        <w:t>5、交易确认</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6E3780" w:rsidRDefault="006E3780">
      <w:pPr>
        <w:spacing w:line="360" w:lineRule="auto"/>
        <w:ind w:firstLineChars="200" w:firstLine="480"/>
        <w:rPr>
          <w:rFonts w:asciiTheme="minorEastAsia" w:hAnsiTheme="minorEastAsia"/>
          <w:sz w:val="24"/>
          <w:szCs w:val="24"/>
        </w:rPr>
      </w:pPr>
    </w:p>
    <w:p w:rsidR="006E3780" w:rsidRDefault="00342373">
      <w:pPr>
        <w:spacing w:line="360" w:lineRule="auto"/>
        <w:ind w:firstLine="482"/>
        <w:rPr>
          <w:rFonts w:asciiTheme="minorEastAsia" w:hAnsiTheme="minorEastAsia"/>
          <w:b/>
          <w:sz w:val="24"/>
          <w:szCs w:val="24"/>
        </w:rPr>
      </w:pPr>
      <w:r>
        <w:rPr>
          <w:rFonts w:asciiTheme="minorEastAsia" w:hAnsiTheme="minorEastAsia" w:hint="eastAsia"/>
          <w:b/>
          <w:sz w:val="24"/>
          <w:szCs w:val="24"/>
        </w:rPr>
        <w:t xml:space="preserve">三、费率优惠 </w:t>
      </w:r>
    </w:p>
    <w:p w:rsidR="006E3780" w:rsidRDefault="00342373">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 xml:space="preserve">1、费率优惠内容 </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自 2020 年 12月 18 日起，本公司将不对本公告所列基金参加宁波银行股份有限公司申（认）购费率优惠活动设折扣限制，具体优惠费率以宁波银行官方公告为准。基金原费率详见基金合同、招募说明书（更新）、基金产品资料概要及其更新等法律文件，以及本公司发布的最新业务公告。费率优惠期间，若本公司新增通过宁波银行销售的基金产品（具体详见本公司网站），则自该基金产品开放申（认）购当日起，将同时开通该基金上述费率优惠活动。 </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2、费率优惠期限 </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以宁波银行官方网站所示公告为准。</w:t>
      </w:r>
    </w:p>
    <w:p w:rsidR="006E3780" w:rsidRDefault="006E3780">
      <w:pPr>
        <w:spacing w:line="360" w:lineRule="auto"/>
        <w:ind w:firstLineChars="200" w:firstLine="480"/>
        <w:rPr>
          <w:rFonts w:asciiTheme="minorEastAsia" w:hAnsiTheme="minorEastAsia"/>
          <w:sz w:val="24"/>
          <w:szCs w:val="24"/>
        </w:rPr>
      </w:pPr>
    </w:p>
    <w:p w:rsidR="006E3780" w:rsidRDefault="00342373">
      <w:pPr>
        <w:spacing w:line="360" w:lineRule="auto"/>
        <w:rPr>
          <w:rFonts w:asciiTheme="minorEastAsia" w:hAnsiTheme="minorEastAsia"/>
          <w:b/>
          <w:sz w:val="24"/>
          <w:szCs w:val="24"/>
        </w:rPr>
      </w:pPr>
      <w:r>
        <w:rPr>
          <w:rFonts w:asciiTheme="minorEastAsia" w:hAnsiTheme="minorEastAsia" w:hint="eastAsia"/>
          <w:b/>
          <w:sz w:val="24"/>
          <w:szCs w:val="24"/>
        </w:rPr>
        <w:t>四、投资者可通过以下途径了解或咨询有关详情：</w:t>
      </w:r>
    </w:p>
    <w:p w:rsidR="006E3780" w:rsidRDefault="00342373">
      <w:pPr>
        <w:spacing w:line="360" w:lineRule="auto"/>
        <w:rPr>
          <w:rFonts w:asciiTheme="minorEastAsia" w:hAnsiTheme="minorEastAsia"/>
          <w:sz w:val="24"/>
          <w:szCs w:val="24"/>
        </w:rPr>
      </w:pPr>
      <w:r>
        <w:rPr>
          <w:rFonts w:asciiTheme="minorEastAsia" w:hAnsiTheme="minorEastAsia" w:hint="eastAsia"/>
          <w:sz w:val="24"/>
          <w:szCs w:val="24"/>
        </w:rPr>
        <w:t>1、宁波银行股份有限公司</w:t>
      </w:r>
    </w:p>
    <w:p w:rsidR="006E3780" w:rsidRDefault="00342373">
      <w:pPr>
        <w:spacing w:line="360" w:lineRule="auto"/>
        <w:rPr>
          <w:rFonts w:asciiTheme="minorEastAsia" w:hAnsiTheme="minorEastAsia"/>
          <w:sz w:val="24"/>
          <w:szCs w:val="24"/>
        </w:rPr>
      </w:pPr>
      <w:r>
        <w:rPr>
          <w:rFonts w:asciiTheme="minorEastAsia" w:hAnsiTheme="minorEastAsia" w:hint="eastAsia"/>
          <w:sz w:val="24"/>
          <w:szCs w:val="24"/>
        </w:rPr>
        <w:t xml:space="preserve">　 客户服务电话：95547</w:t>
      </w:r>
    </w:p>
    <w:p w:rsidR="006E3780" w:rsidRDefault="00342373">
      <w:pPr>
        <w:spacing w:line="360" w:lineRule="auto"/>
        <w:rPr>
          <w:rFonts w:asciiTheme="minorEastAsia" w:hAnsiTheme="minorEastAsia"/>
          <w:sz w:val="24"/>
          <w:szCs w:val="24"/>
        </w:rPr>
      </w:pPr>
      <w:r>
        <w:rPr>
          <w:rFonts w:asciiTheme="minorEastAsia" w:hAnsiTheme="minorEastAsia" w:hint="eastAsia"/>
          <w:sz w:val="24"/>
          <w:szCs w:val="24"/>
        </w:rPr>
        <w:t xml:space="preserve">　 公司网址：www.cncb.com.cn</w:t>
      </w:r>
    </w:p>
    <w:p w:rsidR="006E3780" w:rsidRDefault="00342373">
      <w:pPr>
        <w:spacing w:line="360" w:lineRule="auto"/>
        <w:rPr>
          <w:rFonts w:asciiTheme="minorEastAsia" w:hAnsiTheme="minorEastAsia"/>
          <w:sz w:val="24"/>
          <w:szCs w:val="24"/>
        </w:rPr>
      </w:pPr>
      <w:r>
        <w:rPr>
          <w:rFonts w:asciiTheme="minorEastAsia" w:hAnsiTheme="minorEastAsia" w:hint="eastAsia"/>
          <w:sz w:val="24"/>
          <w:szCs w:val="24"/>
        </w:rPr>
        <w:t>2、太平基金管理有限公司</w:t>
      </w:r>
    </w:p>
    <w:p w:rsidR="006E3780" w:rsidRDefault="00342373">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客户服务电话：400-028-8699</w:t>
      </w:r>
      <w:r>
        <w:rPr>
          <w:rFonts w:asciiTheme="minorEastAsia" w:hAnsiTheme="minorEastAsia"/>
          <w:sz w:val="24"/>
          <w:szCs w:val="24"/>
        </w:rPr>
        <w:t>/021-61560999</w:t>
      </w:r>
    </w:p>
    <w:p w:rsidR="006E3780" w:rsidRDefault="00342373">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8" w:history="1">
        <w:r>
          <w:rPr>
            <w:rFonts w:asciiTheme="minorEastAsia" w:hAnsiTheme="minorEastAsia" w:hint="eastAsia"/>
            <w:sz w:val="24"/>
            <w:szCs w:val="24"/>
          </w:rPr>
          <w:t>www.taipingfund.com.cn</w:t>
        </w:r>
      </w:hyperlink>
    </w:p>
    <w:p w:rsidR="006E3780" w:rsidRDefault="006E3780">
      <w:pPr>
        <w:spacing w:line="360" w:lineRule="auto"/>
        <w:ind w:firstLineChars="150" w:firstLine="360"/>
        <w:rPr>
          <w:rFonts w:asciiTheme="minorEastAsia" w:hAnsiTheme="minorEastAsia"/>
          <w:sz w:val="24"/>
          <w:szCs w:val="24"/>
        </w:rPr>
      </w:pPr>
    </w:p>
    <w:p w:rsidR="006E3780" w:rsidRDefault="00342373">
      <w:pPr>
        <w:spacing w:line="360" w:lineRule="auto"/>
        <w:rPr>
          <w:rFonts w:asciiTheme="minorEastAsia" w:hAnsiTheme="minorEastAsia"/>
          <w:b/>
          <w:sz w:val="24"/>
          <w:szCs w:val="24"/>
        </w:rPr>
      </w:pPr>
      <w:r>
        <w:rPr>
          <w:rFonts w:asciiTheme="minorEastAsia" w:hAnsiTheme="minorEastAsia" w:hint="eastAsia"/>
          <w:b/>
          <w:sz w:val="24"/>
          <w:szCs w:val="24"/>
        </w:rPr>
        <w:t>五、重要提示</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1、投资者办理基金交易等相关业务前，敬请仔细阅读相关基金的基金合同、基金招募说明书及其更新、基金产品资料概要及其更新、提示及相关业务规则和操作指南等文件。</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上述申购、赎回以及转换业务仅适用于处于正常申购期及处于特定开放日和开放时间的基金。对于处于基金封闭期、募集期等特殊期间或有其他特殊安排等的有关规定敬请详见对应基金的基金合同和招募说明书等相关法律文件及本公司发布的最新业务公告。 </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3、凡涉及在上述机构办理申购、转换等业务的其他未明事项，敬请遵循上述机构的具体安排和规定。</w:t>
      </w:r>
    </w:p>
    <w:p w:rsidR="006E3780" w:rsidRDefault="003423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4、本公告的最终解释权归本公司所有。</w:t>
      </w:r>
    </w:p>
    <w:p w:rsidR="006E3780" w:rsidRDefault="006E3780">
      <w:pPr>
        <w:spacing w:line="360" w:lineRule="auto"/>
        <w:ind w:firstLineChars="200" w:firstLine="480"/>
        <w:rPr>
          <w:rFonts w:asciiTheme="minorEastAsia" w:hAnsiTheme="minorEastAsia"/>
          <w:sz w:val="24"/>
          <w:szCs w:val="24"/>
        </w:rPr>
      </w:pPr>
    </w:p>
    <w:p w:rsidR="006E3780" w:rsidRDefault="00342373">
      <w:pPr>
        <w:spacing w:line="360" w:lineRule="auto"/>
        <w:rPr>
          <w:rFonts w:asciiTheme="minorEastAsia" w:hAnsiTheme="minorEastAsia"/>
          <w:sz w:val="24"/>
          <w:szCs w:val="24"/>
        </w:rPr>
      </w:pPr>
      <w:r>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rFonts w:asciiTheme="minorEastAsia" w:hAnsiTheme="minorEastAsia" w:hint="eastAsia"/>
          <w:sz w:val="24"/>
          <w:szCs w:val="24"/>
        </w:rPr>
        <w:cr/>
      </w:r>
      <w:r>
        <w:rPr>
          <w:rFonts w:asciiTheme="minorEastAsia" w:hAnsiTheme="minorEastAsia" w:hint="eastAsia"/>
          <w:sz w:val="24"/>
          <w:szCs w:val="24"/>
        </w:rPr>
        <w:tab/>
        <w:t>特此公告。</w:t>
      </w:r>
    </w:p>
    <w:p w:rsidR="006E3780" w:rsidRDefault="006E3780">
      <w:pPr>
        <w:spacing w:line="360" w:lineRule="auto"/>
        <w:ind w:firstLineChars="200" w:firstLine="480"/>
        <w:rPr>
          <w:rFonts w:asciiTheme="minorEastAsia" w:hAnsiTheme="minorEastAsia"/>
          <w:sz w:val="24"/>
          <w:szCs w:val="24"/>
        </w:rPr>
      </w:pPr>
    </w:p>
    <w:p w:rsidR="006E3780" w:rsidRDefault="006E3780">
      <w:pPr>
        <w:spacing w:line="360" w:lineRule="auto"/>
        <w:ind w:firstLineChars="200" w:firstLine="480"/>
        <w:rPr>
          <w:rFonts w:asciiTheme="minorEastAsia" w:hAnsiTheme="minorEastAsia"/>
          <w:sz w:val="24"/>
          <w:szCs w:val="24"/>
        </w:rPr>
      </w:pPr>
    </w:p>
    <w:p w:rsidR="006E3780" w:rsidRDefault="00342373">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6E3780" w:rsidRDefault="00342373">
      <w:pPr>
        <w:wordWrap w:val="0"/>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w:t>
      </w:r>
      <w:r>
        <w:rPr>
          <w:rFonts w:asciiTheme="minorEastAsia" w:hAnsiTheme="minorEastAsia" w:hint="eastAsia"/>
          <w:kern w:val="0"/>
          <w:sz w:val="24"/>
          <w:szCs w:val="24"/>
        </w:rPr>
        <w:t>〇</w:t>
      </w:r>
      <w:r>
        <w:rPr>
          <w:rFonts w:asciiTheme="minorEastAsia" w:hAnsiTheme="minorEastAsia" w:hint="eastAsia"/>
          <w:sz w:val="24"/>
          <w:szCs w:val="24"/>
        </w:rPr>
        <w:t>年十二月十七日</w:t>
      </w:r>
    </w:p>
    <w:p w:rsidR="006E3780" w:rsidRDefault="006E3780">
      <w:pPr>
        <w:spacing w:line="360" w:lineRule="auto"/>
        <w:ind w:right="220" w:firstLineChars="1950" w:firstLine="4680"/>
        <w:jc w:val="right"/>
        <w:rPr>
          <w:rFonts w:asciiTheme="minorEastAsia" w:hAnsiTheme="minorEastAsia"/>
          <w:sz w:val="24"/>
          <w:szCs w:val="24"/>
        </w:rPr>
      </w:pPr>
    </w:p>
    <w:sectPr w:rsidR="006E3780" w:rsidSect="0079211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FB47F0" w15:done="0"/>
  <w15:commentEx w15:paraId="1DD22386" w15:done="0"/>
  <w15:commentEx w15:paraId="16F16859" w15:done="0"/>
  <w15:commentEx w15:paraId="71435C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73" w:rsidRDefault="00342373"/>
  </w:endnote>
  <w:endnote w:type="continuationSeparator" w:id="0">
    <w:p w:rsidR="00342373" w:rsidRDefault="00342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73" w:rsidRDefault="00342373"/>
  </w:footnote>
  <w:footnote w:type="continuationSeparator" w:id="0">
    <w:p w:rsidR="00342373" w:rsidRDefault="0034237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宇翔">
    <w15:presenceInfo w15:providerId="AD" w15:userId="S-1-5-21-648475732-2829517624-2523546034-1846"/>
  </w15:person>
  <w15:person w15:author="未定义">
    <w15:presenceInfo w15:providerId="None" w15:userId="未定义"/>
  </w15:person>
  <w15:person w15:author="明苗">
    <w15:presenceInfo w15:providerId="None" w15:userId="明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205AD"/>
    <w:rsid w:val="0002331A"/>
    <w:rsid w:val="000268F7"/>
    <w:rsid w:val="000310C1"/>
    <w:rsid w:val="0004028B"/>
    <w:rsid w:val="00042DB6"/>
    <w:rsid w:val="000627FA"/>
    <w:rsid w:val="00077BDF"/>
    <w:rsid w:val="00085BF7"/>
    <w:rsid w:val="000A6F1F"/>
    <w:rsid w:val="000B0E35"/>
    <w:rsid w:val="000C785C"/>
    <w:rsid w:val="000D198E"/>
    <w:rsid w:val="000E4994"/>
    <w:rsid w:val="000E571A"/>
    <w:rsid w:val="000E73B9"/>
    <w:rsid w:val="00102F3D"/>
    <w:rsid w:val="00105A16"/>
    <w:rsid w:val="00113860"/>
    <w:rsid w:val="00116EBF"/>
    <w:rsid w:val="001205BB"/>
    <w:rsid w:val="00132104"/>
    <w:rsid w:val="00140CE7"/>
    <w:rsid w:val="0014367A"/>
    <w:rsid w:val="001472CD"/>
    <w:rsid w:val="001478B5"/>
    <w:rsid w:val="00157C10"/>
    <w:rsid w:val="00160FA9"/>
    <w:rsid w:val="001635D6"/>
    <w:rsid w:val="00172C1B"/>
    <w:rsid w:val="00176A8D"/>
    <w:rsid w:val="00187639"/>
    <w:rsid w:val="00187849"/>
    <w:rsid w:val="001A293F"/>
    <w:rsid w:val="001A2FF5"/>
    <w:rsid w:val="001C6881"/>
    <w:rsid w:val="001D6EB4"/>
    <w:rsid w:val="001D7313"/>
    <w:rsid w:val="001E6C9D"/>
    <w:rsid w:val="001F372A"/>
    <w:rsid w:val="001F718F"/>
    <w:rsid w:val="002004A6"/>
    <w:rsid w:val="00202840"/>
    <w:rsid w:val="00202C49"/>
    <w:rsid w:val="002033AF"/>
    <w:rsid w:val="00212D3A"/>
    <w:rsid w:val="0021411D"/>
    <w:rsid w:val="00214817"/>
    <w:rsid w:val="00216EAB"/>
    <w:rsid w:val="002200D9"/>
    <w:rsid w:val="002345FF"/>
    <w:rsid w:val="00241DD3"/>
    <w:rsid w:val="00242193"/>
    <w:rsid w:val="002512B2"/>
    <w:rsid w:val="002600DE"/>
    <w:rsid w:val="00267478"/>
    <w:rsid w:val="00272EF3"/>
    <w:rsid w:val="00273FBA"/>
    <w:rsid w:val="00275346"/>
    <w:rsid w:val="002864CC"/>
    <w:rsid w:val="00286EB6"/>
    <w:rsid w:val="00291F75"/>
    <w:rsid w:val="00292246"/>
    <w:rsid w:val="002A15A5"/>
    <w:rsid w:val="002B0665"/>
    <w:rsid w:val="002B58DC"/>
    <w:rsid w:val="002C0E0F"/>
    <w:rsid w:val="002C756E"/>
    <w:rsid w:val="002C75BA"/>
    <w:rsid w:val="002C7F61"/>
    <w:rsid w:val="002E1DFF"/>
    <w:rsid w:val="002E7EE7"/>
    <w:rsid w:val="002F5387"/>
    <w:rsid w:val="00300D65"/>
    <w:rsid w:val="00301225"/>
    <w:rsid w:val="0030298B"/>
    <w:rsid w:val="003114B1"/>
    <w:rsid w:val="00311976"/>
    <w:rsid w:val="00322E95"/>
    <w:rsid w:val="00323374"/>
    <w:rsid w:val="003246BA"/>
    <w:rsid w:val="00333341"/>
    <w:rsid w:val="00334F28"/>
    <w:rsid w:val="00337727"/>
    <w:rsid w:val="00342373"/>
    <w:rsid w:val="003440B3"/>
    <w:rsid w:val="003446D7"/>
    <w:rsid w:val="00360D90"/>
    <w:rsid w:val="00364F94"/>
    <w:rsid w:val="0036684C"/>
    <w:rsid w:val="003704CB"/>
    <w:rsid w:val="00370B62"/>
    <w:rsid w:val="00375EF5"/>
    <w:rsid w:val="003914CC"/>
    <w:rsid w:val="003A0069"/>
    <w:rsid w:val="003A13D0"/>
    <w:rsid w:val="003B5F21"/>
    <w:rsid w:val="003C2E74"/>
    <w:rsid w:val="003C55FF"/>
    <w:rsid w:val="003C5A5E"/>
    <w:rsid w:val="003D44AA"/>
    <w:rsid w:val="003E1EF8"/>
    <w:rsid w:val="003E3812"/>
    <w:rsid w:val="003E5BFF"/>
    <w:rsid w:val="003F00B2"/>
    <w:rsid w:val="003F71E0"/>
    <w:rsid w:val="00401C3E"/>
    <w:rsid w:val="00426876"/>
    <w:rsid w:val="00442D1F"/>
    <w:rsid w:val="0045357F"/>
    <w:rsid w:val="00454899"/>
    <w:rsid w:val="004614E4"/>
    <w:rsid w:val="00464B19"/>
    <w:rsid w:val="00471365"/>
    <w:rsid w:val="00472D9F"/>
    <w:rsid w:val="00472E91"/>
    <w:rsid w:val="00481AFD"/>
    <w:rsid w:val="004A51D0"/>
    <w:rsid w:val="004B2252"/>
    <w:rsid w:val="004C2DB9"/>
    <w:rsid w:val="004C4760"/>
    <w:rsid w:val="004C5930"/>
    <w:rsid w:val="004D1CA3"/>
    <w:rsid w:val="004E3855"/>
    <w:rsid w:val="004E7CE5"/>
    <w:rsid w:val="00504E96"/>
    <w:rsid w:val="005067A1"/>
    <w:rsid w:val="00516E34"/>
    <w:rsid w:val="00517D51"/>
    <w:rsid w:val="005226A8"/>
    <w:rsid w:val="00531F8F"/>
    <w:rsid w:val="0053305A"/>
    <w:rsid w:val="00537333"/>
    <w:rsid w:val="0054526E"/>
    <w:rsid w:val="00552EF6"/>
    <w:rsid w:val="005567D6"/>
    <w:rsid w:val="00571405"/>
    <w:rsid w:val="00576BFD"/>
    <w:rsid w:val="00577F47"/>
    <w:rsid w:val="005852D3"/>
    <w:rsid w:val="0058669B"/>
    <w:rsid w:val="005879FF"/>
    <w:rsid w:val="005A50D9"/>
    <w:rsid w:val="005A7F99"/>
    <w:rsid w:val="005C5921"/>
    <w:rsid w:val="005C7CD2"/>
    <w:rsid w:val="005D0299"/>
    <w:rsid w:val="005D2B7F"/>
    <w:rsid w:val="005D62FE"/>
    <w:rsid w:val="00614280"/>
    <w:rsid w:val="00620D59"/>
    <w:rsid w:val="00622415"/>
    <w:rsid w:val="00640492"/>
    <w:rsid w:val="00641574"/>
    <w:rsid w:val="00643D49"/>
    <w:rsid w:val="006447BA"/>
    <w:rsid w:val="0065321A"/>
    <w:rsid w:val="00654157"/>
    <w:rsid w:val="00660AE0"/>
    <w:rsid w:val="00661D88"/>
    <w:rsid w:val="00663982"/>
    <w:rsid w:val="006657C8"/>
    <w:rsid w:val="00667CEF"/>
    <w:rsid w:val="0067146A"/>
    <w:rsid w:val="00676350"/>
    <w:rsid w:val="00693951"/>
    <w:rsid w:val="006B5373"/>
    <w:rsid w:val="006C6F5A"/>
    <w:rsid w:val="006C7A9D"/>
    <w:rsid w:val="006D4062"/>
    <w:rsid w:val="006E26F1"/>
    <w:rsid w:val="006E3780"/>
    <w:rsid w:val="006E6B47"/>
    <w:rsid w:val="006F5FD6"/>
    <w:rsid w:val="007000D3"/>
    <w:rsid w:val="00702FC2"/>
    <w:rsid w:val="007034A4"/>
    <w:rsid w:val="007055F8"/>
    <w:rsid w:val="00706267"/>
    <w:rsid w:val="007075C5"/>
    <w:rsid w:val="00712807"/>
    <w:rsid w:val="00715AD3"/>
    <w:rsid w:val="0072486F"/>
    <w:rsid w:val="0073234A"/>
    <w:rsid w:val="00736A7C"/>
    <w:rsid w:val="00741567"/>
    <w:rsid w:val="00741AE4"/>
    <w:rsid w:val="007458B1"/>
    <w:rsid w:val="00754131"/>
    <w:rsid w:val="007547A6"/>
    <w:rsid w:val="00774805"/>
    <w:rsid w:val="00774D66"/>
    <w:rsid w:val="00780B17"/>
    <w:rsid w:val="00780B86"/>
    <w:rsid w:val="00781796"/>
    <w:rsid w:val="007820A6"/>
    <w:rsid w:val="00786FDD"/>
    <w:rsid w:val="0079211D"/>
    <w:rsid w:val="007A13A8"/>
    <w:rsid w:val="007A2CBD"/>
    <w:rsid w:val="007A6295"/>
    <w:rsid w:val="007A767E"/>
    <w:rsid w:val="007E2149"/>
    <w:rsid w:val="007E59F6"/>
    <w:rsid w:val="007F2F47"/>
    <w:rsid w:val="007F4099"/>
    <w:rsid w:val="00800149"/>
    <w:rsid w:val="00811759"/>
    <w:rsid w:val="00812DC7"/>
    <w:rsid w:val="00821B94"/>
    <w:rsid w:val="00821E4B"/>
    <w:rsid w:val="00830B46"/>
    <w:rsid w:val="00836FC1"/>
    <w:rsid w:val="00845F83"/>
    <w:rsid w:val="0085155C"/>
    <w:rsid w:val="0085500F"/>
    <w:rsid w:val="00872BF3"/>
    <w:rsid w:val="008A59B8"/>
    <w:rsid w:val="008A710A"/>
    <w:rsid w:val="008D2970"/>
    <w:rsid w:val="008D415A"/>
    <w:rsid w:val="008E0CD0"/>
    <w:rsid w:val="008F0CA9"/>
    <w:rsid w:val="008F32D9"/>
    <w:rsid w:val="008F682C"/>
    <w:rsid w:val="00905A25"/>
    <w:rsid w:val="009101C5"/>
    <w:rsid w:val="00925975"/>
    <w:rsid w:val="00947329"/>
    <w:rsid w:val="0095084F"/>
    <w:rsid w:val="00951AB0"/>
    <w:rsid w:val="00951B46"/>
    <w:rsid w:val="009717C3"/>
    <w:rsid w:val="00972DDD"/>
    <w:rsid w:val="00983A9B"/>
    <w:rsid w:val="009858CA"/>
    <w:rsid w:val="00990AE8"/>
    <w:rsid w:val="009C082A"/>
    <w:rsid w:val="009C37E3"/>
    <w:rsid w:val="009D2F36"/>
    <w:rsid w:val="009D4C9F"/>
    <w:rsid w:val="009D5317"/>
    <w:rsid w:val="009F210B"/>
    <w:rsid w:val="00A00721"/>
    <w:rsid w:val="00A00BE1"/>
    <w:rsid w:val="00A02FF7"/>
    <w:rsid w:val="00A34222"/>
    <w:rsid w:val="00A3727B"/>
    <w:rsid w:val="00A40B51"/>
    <w:rsid w:val="00A41D6C"/>
    <w:rsid w:val="00A41F18"/>
    <w:rsid w:val="00A46F5C"/>
    <w:rsid w:val="00A70707"/>
    <w:rsid w:val="00A8504C"/>
    <w:rsid w:val="00A86D75"/>
    <w:rsid w:val="00A876F5"/>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3E78"/>
    <w:rsid w:val="00B16341"/>
    <w:rsid w:val="00B17B2E"/>
    <w:rsid w:val="00B2234C"/>
    <w:rsid w:val="00B24605"/>
    <w:rsid w:val="00B32570"/>
    <w:rsid w:val="00B6008B"/>
    <w:rsid w:val="00B70499"/>
    <w:rsid w:val="00B71395"/>
    <w:rsid w:val="00B7492E"/>
    <w:rsid w:val="00B77138"/>
    <w:rsid w:val="00B86DF5"/>
    <w:rsid w:val="00B87904"/>
    <w:rsid w:val="00BA7977"/>
    <w:rsid w:val="00BB18F1"/>
    <w:rsid w:val="00BB4B19"/>
    <w:rsid w:val="00BD52CF"/>
    <w:rsid w:val="00BD6A79"/>
    <w:rsid w:val="00BE0239"/>
    <w:rsid w:val="00BE0941"/>
    <w:rsid w:val="00BE5D4D"/>
    <w:rsid w:val="00BE6BCB"/>
    <w:rsid w:val="00C0465B"/>
    <w:rsid w:val="00C124AA"/>
    <w:rsid w:val="00C16034"/>
    <w:rsid w:val="00C2151A"/>
    <w:rsid w:val="00C32464"/>
    <w:rsid w:val="00C35D19"/>
    <w:rsid w:val="00C4480C"/>
    <w:rsid w:val="00C53597"/>
    <w:rsid w:val="00C5545D"/>
    <w:rsid w:val="00C5608F"/>
    <w:rsid w:val="00C564E7"/>
    <w:rsid w:val="00C56F56"/>
    <w:rsid w:val="00C725E2"/>
    <w:rsid w:val="00C916D5"/>
    <w:rsid w:val="00C930FC"/>
    <w:rsid w:val="00C95F72"/>
    <w:rsid w:val="00CA268D"/>
    <w:rsid w:val="00CA5BB8"/>
    <w:rsid w:val="00CA6E67"/>
    <w:rsid w:val="00CB104D"/>
    <w:rsid w:val="00CB65D2"/>
    <w:rsid w:val="00CC1682"/>
    <w:rsid w:val="00CC273B"/>
    <w:rsid w:val="00CD654C"/>
    <w:rsid w:val="00CF4CAC"/>
    <w:rsid w:val="00D02BC1"/>
    <w:rsid w:val="00D046A6"/>
    <w:rsid w:val="00D250E9"/>
    <w:rsid w:val="00D2769B"/>
    <w:rsid w:val="00D37416"/>
    <w:rsid w:val="00D418F5"/>
    <w:rsid w:val="00D433CC"/>
    <w:rsid w:val="00D60345"/>
    <w:rsid w:val="00D6252A"/>
    <w:rsid w:val="00D63DA0"/>
    <w:rsid w:val="00D74206"/>
    <w:rsid w:val="00D74493"/>
    <w:rsid w:val="00D75AF7"/>
    <w:rsid w:val="00D80396"/>
    <w:rsid w:val="00D915D4"/>
    <w:rsid w:val="00D9788C"/>
    <w:rsid w:val="00DA3A09"/>
    <w:rsid w:val="00DA6326"/>
    <w:rsid w:val="00DB6762"/>
    <w:rsid w:val="00DB6DBF"/>
    <w:rsid w:val="00DB7A65"/>
    <w:rsid w:val="00DD50BA"/>
    <w:rsid w:val="00DD5D8E"/>
    <w:rsid w:val="00DE5B4A"/>
    <w:rsid w:val="00DF7FC6"/>
    <w:rsid w:val="00E00157"/>
    <w:rsid w:val="00E022A6"/>
    <w:rsid w:val="00E02374"/>
    <w:rsid w:val="00E0668F"/>
    <w:rsid w:val="00E25BB7"/>
    <w:rsid w:val="00E35A32"/>
    <w:rsid w:val="00E37BF1"/>
    <w:rsid w:val="00E44038"/>
    <w:rsid w:val="00E479C8"/>
    <w:rsid w:val="00E51B00"/>
    <w:rsid w:val="00E5274E"/>
    <w:rsid w:val="00E52C68"/>
    <w:rsid w:val="00E54A6D"/>
    <w:rsid w:val="00E55797"/>
    <w:rsid w:val="00E64553"/>
    <w:rsid w:val="00E66B51"/>
    <w:rsid w:val="00E675CC"/>
    <w:rsid w:val="00E706C6"/>
    <w:rsid w:val="00E71AAC"/>
    <w:rsid w:val="00E8176B"/>
    <w:rsid w:val="00E94D9B"/>
    <w:rsid w:val="00EA489F"/>
    <w:rsid w:val="00EB3168"/>
    <w:rsid w:val="00EB369A"/>
    <w:rsid w:val="00EC271E"/>
    <w:rsid w:val="00EC2A92"/>
    <w:rsid w:val="00ED0F92"/>
    <w:rsid w:val="00ED15A1"/>
    <w:rsid w:val="00EE3B95"/>
    <w:rsid w:val="00EE7D58"/>
    <w:rsid w:val="00F04C5B"/>
    <w:rsid w:val="00F06FBF"/>
    <w:rsid w:val="00F20536"/>
    <w:rsid w:val="00F26D79"/>
    <w:rsid w:val="00F35529"/>
    <w:rsid w:val="00F4166E"/>
    <w:rsid w:val="00F42CC9"/>
    <w:rsid w:val="00F43976"/>
    <w:rsid w:val="00F44265"/>
    <w:rsid w:val="00F44537"/>
    <w:rsid w:val="00F6344C"/>
    <w:rsid w:val="00F651DD"/>
    <w:rsid w:val="00F67E37"/>
    <w:rsid w:val="00F83388"/>
    <w:rsid w:val="00F847C2"/>
    <w:rsid w:val="00F97290"/>
    <w:rsid w:val="00FB20FC"/>
    <w:rsid w:val="00FB2B13"/>
    <w:rsid w:val="00FB33B8"/>
    <w:rsid w:val="00FB3EB6"/>
    <w:rsid w:val="00FB60D0"/>
    <w:rsid w:val="00FD5B79"/>
    <w:rsid w:val="00FE78C4"/>
    <w:rsid w:val="00FF0F0C"/>
    <w:rsid w:val="00FF2077"/>
    <w:rsid w:val="0A8C0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9211D"/>
    <w:pPr>
      <w:jc w:val="left"/>
    </w:pPr>
  </w:style>
  <w:style w:type="paragraph" w:styleId="a4">
    <w:name w:val="Balloon Text"/>
    <w:basedOn w:val="a"/>
    <w:link w:val="Char0"/>
    <w:uiPriority w:val="99"/>
    <w:semiHidden/>
    <w:unhideWhenUsed/>
    <w:rsid w:val="0079211D"/>
    <w:rPr>
      <w:sz w:val="18"/>
      <w:szCs w:val="18"/>
    </w:rPr>
  </w:style>
  <w:style w:type="paragraph" w:styleId="a5">
    <w:name w:val="footer"/>
    <w:basedOn w:val="a"/>
    <w:link w:val="Char1"/>
    <w:uiPriority w:val="99"/>
    <w:unhideWhenUsed/>
    <w:rsid w:val="0079211D"/>
    <w:pPr>
      <w:tabs>
        <w:tab w:val="center" w:pos="4153"/>
        <w:tab w:val="right" w:pos="8306"/>
      </w:tabs>
      <w:snapToGrid w:val="0"/>
      <w:jc w:val="left"/>
    </w:pPr>
    <w:rPr>
      <w:sz w:val="18"/>
      <w:szCs w:val="18"/>
    </w:rPr>
  </w:style>
  <w:style w:type="paragraph" w:styleId="a6">
    <w:name w:val="header"/>
    <w:basedOn w:val="a"/>
    <w:link w:val="Char2"/>
    <w:uiPriority w:val="99"/>
    <w:unhideWhenUsed/>
    <w:rsid w:val="0079211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79211D"/>
    <w:rPr>
      <w:b/>
      <w:bCs/>
    </w:rPr>
  </w:style>
  <w:style w:type="table" w:styleId="a8">
    <w:name w:val="Table Grid"/>
    <w:basedOn w:val="a1"/>
    <w:uiPriority w:val="59"/>
    <w:rsid w:val="00792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9211D"/>
    <w:rPr>
      <w:color w:val="0000FF" w:themeColor="hyperlink"/>
      <w:u w:val="single"/>
    </w:rPr>
  </w:style>
  <w:style w:type="character" w:styleId="aa">
    <w:name w:val="annotation reference"/>
    <w:basedOn w:val="a0"/>
    <w:uiPriority w:val="99"/>
    <w:semiHidden/>
    <w:unhideWhenUsed/>
    <w:rsid w:val="0079211D"/>
    <w:rPr>
      <w:sz w:val="21"/>
      <w:szCs w:val="21"/>
    </w:rPr>
  </w:style>
  <w:style w:type="character" w:customStyle="1" w:styleId="Char0">
    <w:name w:val="批注框文本 Char"/>
    <w:basedOn w:val="a0"/>
    <w:link w:val="a4"/>
    <w:uiPriority w:val="99"/>
    <w:semiHidden/>
    <w:rsid w:val="0079211D"/>
    <w:rPr>
      <w:sz w:val="18"/>
      <w:szCs w:val="18"/>
    </w:rPr>
  </w:style>
  <w:style w:type="paragraph" w:styleId="ab">
    <w:name w:val="List Paragraph"/>
    <w:basedOn w:val="a"/>
    <w:uiPriority w:val="34"/>
    <w:qFormat/>
    <w:rsid w:val="0079211D"/>
    <w:pPr>
      <w:ind w:firstLineChars="200" w:firstLine="420"/>
    </w:pPr>
  </w:style>
  <w:style w:type="character" w:customStyle="1" w:styleId="Char">
    <w:name w:val="批注文字 Char"/>
    <w:basedOn w:val="a0"/>
    <w:link w:val="a3"/>
    <w:uiPriority w:val="99"/>
    <w:semiHidden/>
    <w:rsid w:val="0079211D"/>
  </w:style>
  <w:style w:type="character" w:customStyle="1" w:styleId="Char3">
    <w:name w:val="批注主题 Char"/>
    <w:basedOn w:val="Char"/>
    <w:link w:val="a7"/>
    <w:uiPriority w:val="99"/>
    <w:semiHidden/>
    <w:rsid w:val="0079211D"/>
    <w:rPr>
      <w:b/>
      <w:bCs/>
    </w:rPr>
  </w:style>
  <w:style w:type="character" w:customStyle="1" w:styleId="Char2">
    <w:name w:val="页眉 Char"/>
    <w:basedOn w:val="a0"/>
    <w:link w:val="a6"/>
    <w:uiPriority w:val="99"/>
    <w:rsid w:val="0079211D"/>
    <w:rPr>
      <w:sz w:val="18"/>
      <w:szCs w:val="18"/>
    </w:rPr>
  </w:style>
  <w:style w:type="character" w:customStyle="1" w:styleId="Char1">
    <w:name w:val="页脚 Char"/>
    <w:basedOn w:val="a0"/>
    <w:link w:val="a5"/>
    <w:uiPriority w:val="99"/>
    <w:rsid w:val="007921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aipingfund.com.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CD765-D821-42AC-A09D-027F9750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2439</Characters>
  <Application>Microsoft Office Word</Application>
  <DocSecurity>4</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2016-11-21T09:33:00Z</cp:lastPrinted>
  <dcterms:created xsi:type="dcterms:W3CDTF">2020-12-16T16:16:00Z</dcterms:created>
  <dcterms:modified xsi:type="dcterms:W3CDTF">2020-12-16T16:16:00Z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