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A7" w:rsidRDefault="00624760"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p>
    <w:p w:rsidR="006B5C1A" w:rsidRDefault="004C6E47"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w:t>
      </w:r>
      <w:r w:rsidR="00F562CA">
        <w:rPr>
          <w:rFonts w:asciiTheme="minorEastAsia" w:eastAsiaTheme="minorEastAsia" w:hAnsiTheme="minorEastAsia" w:cs="宋体" w:hint="eastAsia"/>
          <w:b/>
          <w:color w:val="000000"/>
        </w:rPr>
        <w:t>鼎信汇金（北京</w:t>
      </w:r>
      <w:r w:rsidRPr="008E175B">
        <w:rPr>
          <w:rFonts w:asciiTheme="minorEastAsia" w:eastAsiaTheme="minorEastAsia" w:hAnsiTheme="minorEastAsia" w:cs="宋体" w:hint="eastAsia"/>
          <w:b/>
          <w:color w:val="000000"/>
        </w:rPr>
        <w:t>）</w:t>
      </w:r>
      <w:r w:rsidR="00092039">
        <w:rPr>
          <w:rFonts w:asciiTheme="minorEastAsia" w:eastAsiaTheme="minorEastAsia" w:hAnsiTheme="minorEastAsia" w:cs="宋体" w:hint="eastAsia"/>
          <w:b/>
          <w:color w:val="000000"/>
        </w:rPr>
        <w:t>投资管理</w:t>
      </w:r>
      <w:r w:rsidRPr="008E175B">
        <w:rPr>
          <w:rFonts w:asciiTheme="minorEastAsia" w:eastAsiaTheme="minorEastAsia" w:hAnsiTheme="minorEastAsia" w:cs="宋体" w:hint="eastAsia"/>
          <w:b/>
          <w:color w:val="000000"/>
        </w:rPr>
        <w:t>有限公司为旗下部分基金销售机构</w:t>
      </w:r>
    </w:p>
    <w:p w:rsidR="00624760" w:rsidRPr="008E175B" w:rsidRDefault="006B5C1A" w:rsidP="00FE0CA7">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及参加其费率优惠活动</w:t>
      </w:r>
      <w:r w:rsidR="00624760" w:rsidRPr="008E175B">
        <w:rPr>
          <w:rFonts w:asciiTheme="minorEastAsia" w:eastAsiaTheme="minorEastAsia" w:hAnsiTheme="minorEastAsia" w:cs="宋体" w:hint="eastAsia"/>
          <w:b/>
          <w:color w:val="000000"/>
        </w:rPr>
        <w:t>的公告</w:t>
      </w:r>
    </w:p>
    <w:p w:rsidR="006716B2" w:rsidRPr="00F80EAD" w:rsidRDefault="006716B2" w:rsidP="001C3F92">
      <w:pPr>
        <w:pStyle w:val="CM1"/>
        <w:spacing w:line="360" w:lineRule="auto"/>
        <w:ind w:firstLineChars="200" w:firstLine="480"/>
        <w:rPr>
          <w:rFonts w:asciiTheme="minorEastAsia" w:hAnsiTheme="minorEastAsia"/>
          <w:szCs w:val="21"/>
        </w:rPr>
      </w:pPr>
    </w:p>
    <w:p w:rsidR="003E0528" w:rsidRPr="001C3F92" w:rsidRDefault="004C6E47" w:rsidP="001C3F92">
      <w:pPr>
        <w:pStyle w:val="CM1"/>
        <w:spacing w:line="360" w:lineRule="auto"/>
        <w:ind w:firstLineChars="200" w:firstLine="420"/>
        <w:jc w:val="both"/>
        <w:rPr>
          <w:rFonts w:asciiTheme="minorEastAsia" w:hAnsiTheme="minorEastAsia"/>
          <w:szCs w:val="21"/>
        </w:rPr>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w:t>
      </w:r>
      <w:r w:rsidR="00092039" w:rsidRPr="001C3F92">
        <w:rPr>
          <w:rFonts w:asciiTheme="minorEastAsia" w:eastAsiaTheme="minorEastAsia" w:hAnsiTheme="minorEastAsia" w:hint="eastAsia"/>
          <w:sz w:val="21"/>
          <w:szCs w:val="21"/>
        </w:rPr>
        <w:t>鼎信汇金（北京）投资管理有限公司</w:t>
      </w:r>
      <w:r w:rsidR="00092039" w:rsidRPr="001C3F92">
        <w:rPr>
          <w:rFonts w:asciiTheme="minorEastAsia" w:eastAsiaTheme="minorEastAsia" w:hAnsiTheme="minorEastAsia"/>
          <w:sz w:val="21"/>
          <w:szCs w:val="21"/>
        </w:rPr>
        <w:t xml:space="preserve"> </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00092039" w:rsidRPr="001C3F92">
        <w:rPr>
          <w:rFonts w:asciiTheme="minorEastAsia" w:eastAsiaTheme="minorEastAsia" w:hAnsiTheme="minorEastAsia" w:hint="eastAsia"/>
          <w:sz w:val="21"/>
          <w:szCs w:val="21"/>
        </w:rPr>
        <w:t>鼎信汇金</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w:t>
      </w:r>
      <w:r w:rsidR="00092039" w:rsidRPr="001C3F92">
        <w:rPr>
          <w:rFonts w:asciiTheme="minorEastAsia" w:eastAsiaTheme="minorEastAsia" w:hAnsiTheme="minorEastAsia" w:hint="eastAsia"/>
          <w:sz w:val="21"/>
          <w:szCs w:val="21"/>
        </w:rPr>
        <w:t>鼎信汇金</w:t>
      </w:r>
      <w:r w:rsidRPr="001C3F92">
        <w:rPr>
          <w:rFonts w:asciiTheme="minorEastAsia" w:eastAsiaTheme="minorEastAsia" w:hAnsiTheme="minorEastAsia" w:hint="eastAsia"/>
          <w:sz w:val="21"/>
          <w:szCs w:val="21"/>
        </w:rPr>
        <w:t>自</w:t>
      </w:r>
      <w:r w:rsidRPr="001C3F92">
        <w:rPr>
          <w:rFonts w:asciiTheme="minorEastAsia" w:eastAsiaTheme="minorEastAsia" w:hAnsiTheme="minorEastAsia"/>
          <w:sz w:val="21"/>
          <w:szCs w:val="21"/>
        </w:rPr>
        <w:t>2020</w:t>
      </w:r>
      <w:r w:rsidRPr="001C3F92">
        <w:rPr>
          <w:rFonts w:asciiTheme="minorEastAsia" w:eastAsiaTheme="minorEastAsia" w:hAnsiTheme="minorEastAsia" w:hint="eastAsia"/>
          <w:sz w:val="21"/>
          <w:szCs w:val="21"/>
        </w:rPr>
        <w:t>年</w:t>
      </w:r>
      <w:r w:rsidRPr="001C3F92">
        <w:rPr>
          <w:rFonts w:asciiTheme="minorEastAsia" w:eastAsiaTheme="minorEastAsia" w:hAnsiTheme="minorEastAsia"/>
          <w:sz w:val="21"/>
          <w:szCs w:val="21"/>
        </w:rPr>
        <w:t>1</w:t>
      </w:r>
      <w:r w:rsidR="00092039" w:rsidRPr="001C3F92">
        <w:rPr>
          <w:rFonts w:asciiTheme="minorEastAsia" w:eastAsiaTheme="minorEastAsia" w:hAnsiTheme="minorEastAsia"/>
          <w:sz w:val="21"/>
          <w:szCs w:val="21"/>
        </w:rPr>
        <w:t>2</w:t>
      </w:r>
      <w:r w:rsidRPr="001C3F92">
        <w:rPr>
          <w:rFonts w:asciiTheme="minorEastAsia" w:eastAsiaTheme="minorEastAsia" w:hAnsiTheme="minorEastAsia" w:hint="eastAsia"/>
          <w:sz w:val="21"/>
          <w:szCs w:val="21"/>
        </w:rPr>
        <w:t>月</w:t>
      </w:r>
      <w:r w:rsidR="00092039" w:rsidRPr="001C3F92">
        <w:rPr>
          <w:rFonts w:asciiTheme="minorEastAsia" w:eastAsiaTheme="minorEastAsia" w:hAnsiTheme="minorEastAsia"/>
          <w:sz w:val="21"/>
          <w:szCs w:val="21"/>
        </w:rPr>
        <w:t>17</w:t>
      </w:r>
      <w:r w:rsidRPr="001C3F92">
        <w:rPr>
          <w:rFonts w:asciiTheme="minorEastAsia" w:eastAsiaTheme="minorEastAsia" w:hAnsiTheme="minorEastAsia" w:hint="eastAsia"/>
          <w:sz w:val="21"/>
          <w:szCs w:val="21"/>
        </w:rPr>
        <w:t>日起正式办理本公司旗下部分基金的销售及</w:t>
      </w:r>
      <w:r w:rsidR="00CC35FA" w:rsidRPr="001C3F92">
        <w:rPr>
          <w:rFonts w:asciiTheme="minorEastAsia" w:eastAsiaTheme="minorEastAsia" w:hAnsiTheme="minorEastAsia" w:hint="eastAsia"/>
          <w:sz w:val="21"/>
          <w:szCs w:val="21"/>
        </w:rPr>
        <w:t>相关业务。</w:t>
      </w:r>
      <w:r w:rsidRPr="001C3F92">
        <w:rPr>
          <w:rFonts w:asciiTheme="minorEastAsia" w:eastAsiaTheme="minorEastAsia" w:hAnsiTheme="minorEastAsia" w:hint="eastAsia"/>
          <w:sz w:val="21"/>
          <w:szCs w:val="21"/>
        </w:rPr>
        <w:t>同时</w:t>
      </w:r>
      <w:r w:rsidR="00624760" w:rsidRPr="001C3F92">
        <w:rPr>
          <w:rFonts w:asciiTheme="minorEastAsia" w:eastAsiaTheme="minorEastAsia" w:hAnsiTheme="minorEastAsia" w:hint="eastAsia"/>
          <w:sz w:val="21"/>
          <w:szCs w:val="21"/>
        </w:rPr>
        <w:t>为更好地为投资者提供服务，经与</w:t>
      </w:r>
      <w:r w:rsidR="00092039" w:rsidRPr="001C3F92">
        <w:rPr>
          <w:rFonts w:asciiTheme="minorEastAsia" w:eastAsiaTheme="minorEastAsia" w:hAnsiTheme="minorEastAsia" w:hint="eastAsia"/>
          <w:sz w:val="21"/>
          <w:szCs w:val="21"/>
        </w:rPr>
        <w:t>鼎信汇金</w:t>
      </w:r>
      <w:r w:rsidR="00624760" w:rsidRPr="001C3F92">
        <w:rPr>
          <w:rFonts w:asciiTheme="minorEastAsia" w:eastAsiaTheme="minorEastAsia" w:hAnsiTheme="minorEastAsia" w:hint="eastAsia"/>
          <w:sz w:val="21"/>
          <w:szCs w:val="21"/>
        </w:rPr>
        <w:t>协商，本公司决定自</w:t>
      </w:r>
      <w:r w:rsidR="001B3E65" w:rsidRPr="001C3F92">
        <w:rPr>
          <w:rFonts w:asciiTheme="minorEastAsia" w:eastAsiaTheme="minorEastAsia" w:hAnsiTheme="minorEastAsia"/>
          <w:sz w:val="21"/>
          <w:szCs w:val="21"/>
        </w:rPr>
        <w:t>2020</w:t>
      </w:r>
      <w:r w:rsidR="00624760" w:rsidRPr="001C3F92">
        <w:rPr>
          <w:rFonts w:asciiTheme="minorEastAsia" w:eastAsiaTheme="minorEastAsia" w:hAnsiTheme="minorEastAsia" w:hint="eastAsia"/>
          <w:sz w:val="21"/>
          <w:szCs w:val="21"/>
        </w:rPr>
        <w:t>年</w:t>
      </w:r>
      <w:r w:rsidR="001B3E65" w:rsidRPr="001C3F92">
        <w:rPr>
          <w:rFonts w:asciiTheme="minorEastAsia" w:eastAsiaTheme="minorEastAsia" w:hAnsiTheme="minorEastAsia"/>
          <w:sz w:val="21"/>
          <w:szCs w:val="21"/>
        </w:rPr>
        <w:t>1</w:t>
      </w:r>
      <w:r w:rsidR="00092039" w:rsidRPr="001C3F92">
        <w:rPr>
          <w:rFonts w:asciiTheme="minorEastAsia" w:eastAsiaTheme="minorEastAsia" w:hAnsiTheme="minorEastAsia"/>
          <w:sz w:val="21"/>
          <w:szCs w:val="21"/>
        </w:rPr>
        <w:t>2</w:t>
      </w:r>
      <w:r w:rsidR="00624760" w:rsidRPr="001C3F92">
        <w:rPr>
          <w:rFonts w:asciiTheme="minorEastAsia" w:eastAsiaTheme="minorEastAsia" w:hAnsiTheme="minorEastAsia" w:hint="eastAsia"/>
          <w:sz w:val="21"/>
          <w:szCs w:val="21"/>
        </w:rPr>
        <w:t>月</w:t>
      </w:r>
      <w:r w:rsidR="00092039" w:rsidRPr="001C3F92">
        <w:rPr>
          <w:rFonts w:asciiTheme="minorEastAsia" w:eastAsiaTheme="minorEastAsia" w:hAnsiTheme="minorEastAsia"/>
          <w:sz w:val="21"/>
          <w:szCs w:val="21"/>
        </w:rPr>
        <w:t>17</w:t>
      </w:r>
      <w:r w:rsidR="00624760" w:rsidRPr="001C3F92">
        <w:rPr>
          <w:rFonts w:asciiTheme="minorEastAsia" w:eastAsiaTheme="minorEastAsia" w:hAnsiTheme="minorEastAsia" w:hint="eastAsia"/>
          <w:sz w:val="21"/>
          <w:szCs w:val="21"/>
        </w:rPr>
        <w:t>日起，旗下部分基金</w:t>
      </w:r>
      <w:r w:rsidR="00F80EAD">
        <w:rPr>
          <w:rFonts w:asciiTheme="minorEastAsia" w:eastAsiaTheme="minorEastAsia" w:hAnsiTheme="minorEastAsia" w:hint="eastAsia"/>
          <w:sz w:val="21"/>
          <w:szCs w:val="21"/>
        </w:rPr>
        <w:t>（</w:t>
      </w:r>
      <w:r w:rsidR="00F80EAD" w:rsidRPr="00F80EAD">
        <w:rPr>
          <w:rFonts w:asciiTheme="minorEastAsia" w:eastAsiaTheme="minorEastAsia" w:hAnsiTheme="minorEastAsia" w:hint="eastAsia"/>
          <w:sz w:val="21"/>
          <w:szCs w:val="21"/>
        </w:rPr>
        <w:t>详细基金信息可参见</w:t>
      </w:r>
      <w:r w:rsidR="00F80EAD">
        <w:rPr>
          <w:rFonts w:asciiTheme="minorEastAsia" w:eastAsiaTheme="minorEastAsia" w:hAnsiTheme="minorEastAsia" w:hint="eastAsia"/>
          <w:sz w:val="21"/>
          <w:szCs w:val="21"/>
        </w:rPr>
        <w:t>适用基金表）</w:t>
      </w:r>
      <w:r w:rsidR="00F80EAD" w:rsidRPr="00233E32">
        <w:rPr>
          <w:rFonts w:asciiTheme="minorEastAsia" w:eastAsiaTheme="minorEastAsia" w:hAnsiTheme="minorEastAsia" w:hint="eastAsia"/>
          <w:sz w:val="21"/>
          <w:szCs w:val="21"/>
        </w:rPr>
        <w:t>参与</w:t>
      </w:r>
      <w:r w:rsidR="00624760" w:rsidRPr="001C3F92">
        <w:rPr>
          <w:rFonts w:asciiTheme="minorEastAsia" w:eastAsiaTheme="minorEastAsia" w:hAnsiTheme="minorEastAsia" w:hint="eastAsia"/>
          <w:sz w:val="21"/>
          <w:szCs w:val="21"/>
        </w:rPr>
        <w:t>在</w:t>
      </w:r>
      <w:r w:rsidR="00092039" w:rsidRPr="001C3F92">
        <w:rPr>
          <w:rFonts w:asciiTheme="minorEastAsia" w:eastAsiaTheme="minorEastAsia" w:hAnsiTheme="minorEastAsia" w:hint="eastAsia"/>
          <w:sz w:val="21"/>
          <w:szCs w:val="21"/>
        </w:rPr>
        <w:t>鼎信汇金</w:t>
      </w:r>
      <w:r w:rsidR="00624760" w:rsidRPr="001C3F92">
        <w:rPr>
          <w:rFonts w:asciiTheme="minorEastAsia" w:eastAsiaTheme="minorEastAsia" w:hAnsiTheme="minorEastAsia" w:hint="eastAsia"/>
          <w:sz w:val="21"/>
          <w:szCs w:val="21"/>
        </w:rPr>
        <w:t>的费率优惠活动，具体优惠规则以</w:t>
      </w:r>
      <w:r w:rsidR="00092039" w:rsidRPr="001C3F92">
        <w:rPr>
          <w:rFonts w:asciiTheme="minorEastAsia" w:eastAsiaTheme="minorEastAsia" w:hAnsiTheme="minorEastAsia" w:hint="eastAsia"/>
          <w:sz w:val="21"/>
          <w:szCs w:val="21"/>
        </w:rPr>
        <w:t>鼎信汇金</w:t>
      </w:r>
      <w:r w:rsidR="00624760" w:rsidRPr="001C3F92">
        <w:rPr>
          <w:rFonts w:asciiTheme="minorEastAsia" w:eastAsiaTheme="minorEastAsia" w:hAnsiTheme="minorEastAsia" w:hint="eastAsia"/>
          <w:sz w:val="21"/>
          <w:szCs w:val="21"/>
        </w:rPr>
        <w:t>安排为准。</w:t>
      </w:r>
    </w:p>
    <w:p w:rsidR="008546E9" w:rsidRDefault="003E0528" w:rsidP="001C3F92">
      <w:pPr>
        <w:pStyle w:val="CM1"/>
        <w:spacing w:line="360" w:lineRule="auto"/>
        <w:ind w:firstLineChars="200" w:firstLine="420"/>
        <w:jc w:val="both"/>
        <w:rPr>
          <w:rFonts w:asciiTheme="minorEastAsia" w:hAnsiTheme="minorEastAsia"/>
          <w:sz w:val="21"/>
          <w:szCs w:val="21"/>
        </w:rPr>
      </w:pPr>
      <w:r w:rsidRPr="001C3F92">
        <w:rPr>
          <w:rFonts w:asciiTheme="minorEastAsia" w:hAnsiTheme="minorEastAsia" w:hint="eastAsia"/>
          <w:sz w:val="21"/>
          <w:szCs w:val="21"/>
        </w:rPr>
        <w:t>基金转换业务适用于</w:t>
      </w:r>
      <w:r w:rsidR="00F80EAD" w:rsidRPr="001C3F92">
        <w:rPr>
          <w:rFonts w:asciiTheme="minorEastAsia" w:hAnsiTheme="minorEastAsia" w:hint="eastAsia"/>
          <w:sz w:val="21"/>
          <w:szCs w:val="21"/>
        </w:rPr>
        <w:t>鼎信汇金</w:t>
      </w:r>
      <w:r w:rsidRPr="001C3F92">
        <w:rPr>
          <w:rFonts w:asciiTheme="minorEastAsia" w:hAnsiTheme="minorEastAsia" w:hint="eastAsia"/>
          <w:sz w:val="21"/>
          <w:szCs w:val="21"/>
        </w:rPr>
        <w:t>代销基金且同属同一登记结算中心开通转换业务开放式基金，详细信息请查阅基金管理人相关公告。基金管理人今后发行的开放式基金将根据具体情况确定是否适用于基金转换业务并另行公告。</w:t>
      </w:r>
      <w:r w:rsidR="00624760" w:rsidRPr="001C3F92">
        <w:rPr>
          <w:rFonts w:asciiTheme="minorEastAsia" w:hAnsiTheme="minorEastAsia" w:hint="eastAsia"/>
          <w:sz w:val="21"/>
          <w:szCs w:val="21"/>
        </w:rPr>
        <w:t>现将具体有关事项公告如下：</w:t>
      </w:r>
    </w:p>
    <w:p w:rsidR="006A482B" w:rsidRPr="006A482B" w:rsidRDefault="006A482B" w:rsidP="006A482B"/>
    <w:p w:rsidR="001B3E65" w:rsidRPr="00540943" w:rsidRDefault="001B3E65" w:rsidP="001B3E65">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sidRPr="00540943">
        <w:rPr>
          <w:rFonts w:asciiTheme="minorEastAsia" w:eastAsiaTheme="minorEastAsia" w:hAnsiTheme="minorEastAsia" w:cs="宋体" w:hint="eastAsia"/>
          <w:b/>
          <w:color w:val="000000"/>
          <w:sz w:val="21"/>
          <w:szCs w:val="21"/>
        </w:rPr>
        <w:t>适用基金</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134"/>
        <w:gridCol w:w="6468"/>
      </w:tblGrid>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序号</w:t>
            </w:r>
          </w:p>
        </w:tc>
        <w:tc>
          <w:tcPr>
            <w:tcW w:w="1134"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基金代码</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基金全称</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000539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中银活期宝货币市场基金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000572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中银多策略灵活配置混合型证券投资基金</w:t>
            </w:r>
            <w:r w:rsidR="00C77D1E"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000591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中银健康生活混合型证券投资基金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000632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中银聚利半年定期开放债券型证券投资基金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000699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中银薪钱包货币市场基金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000805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中银新经济灵活配置混合型证券投资基金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000817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中银安心回报半年定期开放债券型证券投资基金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000939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中银研究精选灵活配置混合型证券投资基金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000996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中银新动力股票型证券投资基金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001035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中银恒利半年定期开放债券型证券投资基金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001127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中银宏观策略灵活配置混合型证券投资基金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001235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中银国有企业债债券型证券投资基金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001370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中银新趋势灵活配置混合型证券投资基金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001476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中银智能制造股票型证券投资基金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001663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中银互联网</w:t>
            </w:r>
            <w:r w:rsidRPr="001C3F92">
              <w:rPr>
                <w:rFonts w:asciiTheme="minorEastAsia" w:hAnsiTheme="minorEastAsia" w:cs="宋体"/>
                <w:color w:val="000000"/>
                <w:kern w:val="0"/>
                <w:szCs w:val="21"/>
              </w:rPr>
              <w:t>+股票型证券投资基金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001677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中银战略新兴产业股票型证券投资基金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002054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中银新财富灵活配置混合型证券投资基金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002056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中银新财富灵活配置混合型证券投资基金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002057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中银新机遇灵活配置混合型证券投资基金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002058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中银新机遇灵活配置混合型证券投资基金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002180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中银移动互联灵活配置混合型证券投资基金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002195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中银机构现金管理货币市场基金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lastRenderedPageBreak/>
              <w:t>23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002261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中银宝利灵活配置混合型证券投资基金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002262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中银宝利灵活配置混合型证券投资基金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002286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中银美元债债券型证券投资基金</w:t>
            </w:r>
            <w:r w:rsidRPr="001C3F92">
              <w:rPr>
                <w:rFonts w:asciiTheme="minorEastAsia" w:hAnsiTheme="minorEastAsia" w:cs="宋体"/>
                <w:color w:val="000000"/>
                <w:kern w:val="0"/>
                <w:szCs w:val="21"/>
              </w:rPr>
              <w:t>(QDII)</w:t>
            </w:r>
            <w:r w:rsidR="0018587D" w:rsidRPr="001C3F92">
              <w:rPr>
                <w:rFonts w:asciiTheme="minorEastAsia" w:hAnsiTheme="minorEastAsia" w:cs="宋体" w:hint="eastAsia"/>
                <w:color w:val="000000"/>
                <w:kern w:val="0"/>
                <w:szCs w:val="21"/>
              </w:rPr>
              <w:t>人民币份额</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002288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中银稳进策略灵活配置混合型证券投资基金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002413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中银瑞利灵活配置混合型证券投资基金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002414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中银瑞利灵活配置混合型证券投资基金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002430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中银丰利灵活配置混合型证券投资基金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002431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中银丰利灵活配置混合型证券投资基金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002434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中银宏利灵活配置混合型证券投资基金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002435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中银宏利灵活配置混合型证券投资基金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002461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中银珍利灵活配置混合型证券投资基金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002462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中银珍利灵活配置混合型证券投资基金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002502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中银腾利灵活配置混合型证券投资基金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002503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中银腾利灵活配置混合型证券投资基金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002535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中银鑫利灵活配置混合型证券投资基金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002536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中银鑫利灵活配置混合型证券投资基金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002614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中银颐利灵活配置混合型证券投资基金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002615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中银颐利灵活配置混合型证券投资基金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002616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中银益利灵活配置混合型证券投资基金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002617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中银益利灵活配置混合型证券投资基金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002618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中银裕利灵活配置混合型证券投资基金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002619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中银裕利灵活配置混合型证券投资基金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002694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中银新蓝筹灵活配置混合型证券投资基金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002826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中银永利半年定期开放债券型证券投资基金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002985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中银季季红定期开放债券型证券投资基金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003717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中银量化精选灵活配置混合型证券投资基金</w:t>
            </w:r>
            <w:r w:rsidR="00C77D1E"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003769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中银品质生活灵活配置混合型证券投资基金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003848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中银广利灵活配置混合型证券投资基金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003849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中银广利灵活配置混合型证券投资基金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003850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中银锦利灵活配置混合型证券投资基金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003851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中银锦利灵活配置混合型证券投资基金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003966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中银润利灵活配置混合型证券投资基金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003967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中银润利灵活配置混合型证券投资基金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004502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中银如意宝货币市场基金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004767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中银智享债券型证券投资基金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004844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中银利享定期开放债券型证券投资基金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004871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中银金融地产混合型证券投资基金</w:t>
            </w:r>
            <w:r w:rsidR="00C77D1E"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60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004881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中银量化价值混合型证券投资基金</w:t>
            </w:r>
            <w:r w:rsidR="00C77D1E"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61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005029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中银产业精选混合型证券投资基金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A0471">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6</w:t>
            </w:r>
            <w:r w:rsidR="000A0471">
              <w:rPr>
                <w:rFonts w:asciiTheme="minorEastAsia" w:hAnsiTheme="minorEastAsia" w:cs="宋体"/>
                <w:color w:val="000000"/>
                <w:kern w:val="0"/>
                <w:szCs w:val="21"/>
              </w:rPr>
              <w:t>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005274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中银景福回报混合型证券投资基金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63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005545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中银改革红利灵活配置混合型证券投资基金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64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005689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中银医疗保健灵活配置混合型证券投资基金</w:t>
            </w:r>
            <w:r w:rsidR="00C77D1E"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65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005690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中银安享债券型证券投资基金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lastRenderedPageBreak/>
              <w:t>66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006224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中银中债</w:t>
            </w:r>
            <w:r w:rsidRPr="001C3F92">
              <w:rPr>
                <w:rFonts w:asciiTheme="minorEastAsia" w:hAnsiTheme="minorEastAsia" w:cs="宋体"/>
                <w:color w:val="000000"/>
                <w:kern w:val="0"/>
                <w:szCs w:val="21"/>
              </w:rPr>
              <w:t>3-5年期农发行债券指数证券投资基金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67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006243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中银双息回报混合型证券投资基金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68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006303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中银安康稳健养老目标一年定期开放混合型基金中基金</w:t>
            </w:r>
            <w:r w:rsidRPr="001C3F92">
              <w:rPr>
                <w:rFonts w:asciiTheme="minorEastAsia" w:hAnsiTheme="minorEastAsia" w:cs="宋体"/>
                <w:color w:val="000000"/>
                <w:kern w:val="0"/>
                <w:szCs w:val="21"/>
              </w:rPr>
              <w:t>(FOF)</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69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006331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中银国有企业债债券型证券投资基金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006421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中银弘享债券型证券投资基金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006677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中银稳汇短债债券型证券投资基金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006678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中银稳汇短债债券型证券投资基金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006846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中银福建国有企业债</w:t>
            </w:r>
            <w:r w:rsidRPr="001C3F92">
              <w:rPr>
                <w:rFonts w:asciiTheme="minorEastAsia" w:hAnsiTheme="minorEastAsia" w:cs="宋体"/>
                <w:color w:val="000000"/>
                <w:kern w:val="0"/>
                <w:szCs w:val="21"/>
              </w:rPr>
              <w:t>6个月定期开放债券型证券投资基金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624930">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7</w:t>
            </w:r>
            <w:r w:rsidR="000A0471">
              <w:rPr>
                <w:rFonts w:asciiTheme="minorEastAsia" w:hAnsiTheme="minorEastAsia" w:cs="宋体"/>
                <w:color w:val="000000"/>
                <w:kern w:val="0"/>
                <w:szCs w:val="21"/>
              </w:rPr>
              <w:t>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006853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中银汇享债券型证券投资基金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006952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中银景元回报混合型证券投资基金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007035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中银中债</w:t>
            </w:r>
            <w:r w:rsidRPr="001C3F92">
              <w:rPr>
                <w:rFonts w:asciiTheme="minorEastAsia" w:hAnsiTheme="minorEastAsia" w:cs="宋体"/>
                <w:color w:val="000000"/>
                <w:kern w:val="0"/>
                <w:szCs w:val="21"/>
              </w:rPr>
              <w:t>1-3年期国开行债券指数证券投资基金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007318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中银民丰回报混合型证券投资基金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007335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中银中债</w:t>
            </w:r>
            <w:r w:rsidRPr="001C3F92">
              <w:rPr>
                <w:rFonts w:asciiTheme="minorEastAsia" w:hAnsiTheme="minorEastAsia" w:cs="宋体"/>
                <w:color w:val="000000"/>
                <w:kern w:val="0"/>
                <w:szCs w:val="21"/>
              </w:rPr>
              <w:t>1-3年期农发行债券指数证券投资基金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79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007476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中银惠兴多利债券型证券投资基金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007477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中银惠兴多利债券型证券投资基金</w:t>
            </w:r>
            <w:r w:rsidR="0018587D" w:rsidRPr="001C3F92">
              <w:rPr>
                <w:rFonts w:asciiTheme="minorEastAsia" w:hAnsiTheme="minorEastAsia" w:cs="宋体"/>
                <w:color w:val="000000"/>
                <w:kern w:val="0"/>
                <w:szCs w:val="21"/>
              </w:rPr>
              <w:t>C类</w:t>
            </w:r>
          </w:p>
        </w:tc>
      </w:tr>
      <w:tr w:rsidR="000B3693" w:rsidRPr="000B3693" w:rsidTr="000B3693">
        <w:trPr>
          <w:trHeight w:val="255"/>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007566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中银宁享债券型证券投资基金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007718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中银创新医疗混合型证券投资基金</w:t>
            </w:r>
            <w:r w:rsidR="00C77D1E"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007752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中银招利债券型证券投资基金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007753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中银招利债券型证券投资基金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008095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中银亚太精选债券型证券投资基金</w:t>
            </w:r>
            <w:r w:rsidRPr="001C3F92">
              <w:rPr>
                <w:rFonts w:asciiTheme="minorEastAsia" w:hAnsiTheme="minorEastAsia" w:cs="宋体"/>
                <w:color w:val="000000"/>
                <w:kern w:val="0"/>
                <w:szCs w:val="21"/>
              </w:rPr>
              <w:t>(QDII)</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008096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中银亚太精选债券型证券投资基金</w:t>
            </w:r>
            <w:r w:rsidRPr="001C3F92">
              <w:rPr>
                <w:rFonts w:asciiTheme="minorEastAsia" w:hAnsiTheme="minorEastAsia" w:cs="宋体"/>
                <w:color w:val="000000"/>
                <w:kern w:val="0"/>
                <w:szCs w:val="21"/>
              </w:rPr>
              <w:t>(QDII)</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008202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中银恒裕</w:t>
            </w:r>
            <w:r w:rsidRPr="001C3F92">
              <w:rPr>
                <w:rFonts w:asciiTheme="minorEastAsia" w:hAnsiTheme="minorEastAsia" w:cs="宋体"/>
                <w:color w:val="000000"/>
                <w:kern w:val="0"/>
                <w:szCs w:val="21"/>
              </w:rPr>
              <w:t>9个月持有期债券型证券投资基金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008203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中银恒裕</w:t>
            </w:r>
            <w:r w:rsidRPr="001C3F92">
              <w:rPr>
                <w:rFonts w:asciiTheme="minorEastAsia" w:hAnsiTheme="minorEastAsia" w:cs="宋体"/>
                <w:color w:val="000000"/>
                <w:kern w:val="0"/>
                <w:szCs w:val="21"/>
              </w:rPr>
              <w:t>9个月持有期债券型证券投资基金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89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008232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中银恒优</w:t>
            </w:r>
            <w:r w:rsidRPr="001C3F92">
              <w:rPr>
                <w:rFonts w:asciiTheme="minorEastAsia" w:hAnsiTheme="minorEastAsia" w:cs="宋体"/>
                <w:color w:val="000000"/>
                <w:kern w:val="0"/>
                <w:szCs w:val="21"/>
              </w:rPr>
              <w:t>12个月持有期债券型证券投资基金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008233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中银恒优</w:t>
            </w:r>
            <w:r w:rsidRPr="001C3F92">
              <w:rPr>
                <w:rFonts w:asciiTheme="minorEastAsia" w:hAnsiTheme="minorEastAsia" w:cs="宋体"/>
                <w:color w:val="000000"/>
                <w:kern w:val="0"/>
                <w:szCs w:val="21"/>
              </w:rPr>
              <w:t>12个月持有期债券型证券投资基金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008773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中银景泰回报混合型证券投资基金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009003</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中银安康平衡养老目标三年持有期混合型发起式基金中基金</w:t>
            </w:r>
            <w:r w:rsidRPr="001C3F92">
              <w:rPr>
                <w:rFonts w:asciiTheme="minorEastAsia" w:hAnsiTheme="minorEastAsia" w:cs="宋体"/>
                <w:color w:val="000000"/>
                <w:kern w:val="0"/>
                <w:szCs w:val="21"/>
              </w:rPr>
              <w:t>(FOF)</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009026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中银高质量发展机遇混合型证券投资基金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009345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中银顺兴回报一年持有期混合型证券投资基金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009346</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中银顺兴回报一年持有期混合型证券投资基金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009411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中银科技创新一年定期开放混合型证券投资基金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009414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中银大健康股票型证券投资基金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009477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中银上海金交易型开放式证券投资基金联接基金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99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009478</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中银上海金交易型开放式证券投资基金联接基金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009877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中银内核驱动股票型证券投资基金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009924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中银中债</w:t>
            </w:r>
            <w:r w:rsidRPr="001C3F92">
              <w:rPr>
                <w:rFonts w:asciiTheme="minorEastAsia" w:hAnsiTheme="minorEastAsia" w:cs="宋体"/>
                <w:color w:val="000000"/>
                <w:kern w:val="0"/>
                <w:szCs w:val="21"/>
              </w:rPr>
              <w:t>1-5年期国开行债券指数证券投资基金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010159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中银医疗保健灵活配置混合型证券投资基金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010167</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中银多策略灵活配置混合型证券投资基金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009255</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中银添盛</w:t>
            </w:r>
            <w:r w:rsidRPr="001C3F92">
              <w:rPr>
                <w:rFonts w:asciiTheme="minorEastAsia" w:hAnsiTheme="minorEastAsia" w:cs="宋体"/>
                <w:color w:val="000000"/>
                <w:kern w:val="0"/>
                <w:szCs w:val="21"/>
              </w:rPr>
              <w:t>39个月定期开放债券型证券投资基金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009442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中银养老目标日期</w:t>
            </w:r>
            <w:r w:rsidRPr="001C3F92">
              <w:rPr>
                <w:rFonts w:asciiTheme="minorEastAsia" w:hAnsiTheme="minorEastAsia" w:cs="宋体"/>
                <w:color w:val="000000"/>
                <w:kern w:val="0"/>
                <w:szCs w:val="21"/>
              </w:rPr>
              <w:t>2040三年持有期混合型发起式基金中基金(FOF)</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009479</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中银中证</w:t>
            </w:r>
            <w:r w:rsidRPr="001C3F92">
              <w:rPr>
                <w:rFonts w:asciiTheme="minorEastAsia" w:hAnsiTheme="minorEastAsia" w:cs="宋体"/>
                <w:color w:val="000000"/>
                <w:kern w:val="0"/>
                <w:szCs w:val="21"/>
              </w:rPr>
              <w:t>100交易型开放式指数证券投资基金联接基金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009480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中银中证</w:t>
            </w:r>
            <w:r w:rsidRPr="001C3F92">
              <w:rPr>
                <w:rFonts w:asciiTheme="minorEastAsia" w:hAnsiTheme="minorEastAsia" w:cs="宋体"/>
                <w:color w:val="000000"/>
                <w:kern w:val="0"/>
                <w:szCs w:val="21"/>
              </w:rPr>
              <w:t>100交易型开放式指数证券投资基金联接基金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010311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中银量化价值混合型证券投资基金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010312</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中银金融地产混合型证券投资基金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110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010321</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中银大健康股票型证券投资基金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111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010484</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中银量化精选灵活配置混合型证券投资基金</w:t>
            </w:r>
            <w:r w:rsidR="0018587D" w:rsidRPr="001C3F92">
              <w:rPr>
                <w:rFonts w:asciiTheme="minorEastAsia" w:hAnsiTheme="minorEastAsia" w:cs="宋体"/>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112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010500</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中银创新医疗混合型证券投资基金</w:t>
            </w:r>
            <w:r w:rsidR="0018587D" w:rsidRPr="001C3F92">
              <w:rPr>
                <w:rFonts w:asciiTheme="minorEastAsia" w:hAnsiTheme="minorEastAsia" w:cs="宋体"/>
                <w:color w:val="000000"/>
                <w:kern w:val="0"/>
                <w:szCs w:val="21"/>
              </w:rPr>
              <w:t>C类</w:t>
            </w:r>
          </w:p>
        </w:tc>
      </w:tr>
      <w:tr w:rsidR="00C817B9" w:rsidRPr="000B3693" w:rsidTr="00C817B9">
        <w:trPr>
          <w:trHeight w:val="280"/>
        </w:trPr>
        <w:tc>
          <w:tcPr>
            <w:tcW w:w="704" w:type="dxa"/>
            <w:shd w:val="clear" w:color="auto" w:fill="auto"/>
            <w:noWrap/>
            <w:vAlign w:val="center"/>
            <w:hideMark/>
          </w:tcPr>
          <w:p w:rsidR="000B3693" w:rsidRPr="001C3F92" w:rsidRDefault="000A0471" w:rsidP="000B3693">
            <w:pPr>
              <w:widowControl/>
              <w:jc w:val="center"/>
              <w:rPr>
                <w:rFonts w:asciiTheme="minorEastAsia" w:hAnsiTheme="minorEastAsia" w:cs="宋体"/>
                <w:kern w:val="0"/>
                <w:szCs w:val="21"/>
              </w:rPr>
            </w:pPr>
            <w:r>
              <w:rPr>
                <w:rFonts w:asciiTheme="minorEastAsia" w:hAnsiTheme="minorEastAsia" w:cs="宋体"/>
                <w:kern w:val="0"/>
                <w:szCs w:val="21"/>
              </w:rPr>
              <w:t>113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kern w:val="0"/>
                <w:szCs w:val="21"/>
              </w:rPr>
            </w:pPr>
            <w:r w:rsidRPr="001C3F92">
              <w:rPr>
                <w:rFonts w:asciiTheme="minorEastAsia" w:hAnsiTheme="minorEastAsia" w:cs="宋体"/>
                <w:kern w:val="0"/>
                <w:szCs w:val="21"/>
              </w:rPr>
              <w:t>010812</w:t>
            </w:r>
          </w:p>
        </w:tc>
        <w:tc>
          <w:tcPr>
            <w:tcW w:w="6468" w:type="dxa"/>
            <w:shd w:val="clear" w:color="auto" w:fill="auto"/>
            <w:noWrap/>
            <w:vAlign w:val="center"/>
            <w:hideMark/>
          </w:tcPr>
          <w:p w:rsidR="000B3693" w:rsidRPr="001C3F92" w:rsidRDefault="000B3693" w:rsidP="000B3693">
            <w:pPr>
              <w:widowControl/>
              <w:ind w:right="880"/>
              <w:rPr>
                <w:rFonts w:asciiTheme="minorEastAsia" w:hAnsiTheme="minorEastAsia" w:cs="宋体"/>
                <w:kern w:val="0"/>
                <w:szCs w:val="21"/>
              </w:rPr>
            </w:pPr>
            <w:r w:rsidRPr="001C3F92">
              <w:rPr>
                <w:rFonts w:asciiTheme="minorEastAsia" w:hAnsiTheme="minorEastAsia" w:cs="宋体"/>
                <w:kern w:val="0"/>
                <w:szCs w:val="21"/>
              </w:rPr>
              <w:t>中银战略新兴产业股票型证券投资基金</w:t>
            </w:r>
            <w:r w:rsidR="0018587D" w:rsidRPr="001C3F92">
              <w:rPr>
                <w:rFonts w:asciiTheme="minorEastAsia" w:hAnsiTheme="minorEastAsia" w:cs="宋体"/>
                <w:kern w:val="0"/>
                <w:szCs w:val="21"/>
              </w:rPr>
              <w:t>C类</w:t>
            </w:r>
          </w:p>
        </w:tc>
      </w:tr>
    </w:tbl>
    <w:p w:rsidR="001B3E65" w:rsidRPr="00B730ED" w:rsidRDefault="001B3E65" w:rsidP="001B3E65">
      <w:pPr>
        <w:rPr>
          <w:rFonts w:asciiTheme="minorEastAsia" w:hAnsiTheme="minorEastAsia"/>
          <w:szCs w:val="21"/>
        </w:rPr>
      </w:pPr>
      <w:bookmarkStart w:id="0" w:name="_GoBack"/>
      <w:bookmarkEnd w:id="0"/>
    </w:p>
    <w:p w:rsidR="001B3E65" w:rsidRPr="00540943" w:rsidRDefault="001B3E65" w:rsidP="001B3E65">
      <w:pPr>
        <w:pStyle w:val="a5"/>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费率优惠活动内容</w:t>
      </w:r>
    </w:p>
    <w:p w:rsidR="00B730ED" w:rsidRPr="00D02CC9" w:rsidRDefault="006268C1" w:rsidP="001C3F92">
      <w:pPr>
        <w:pStyle w:val="CM1"/>
        <w:spacing w:line="360" w:lineRule="auto"/>
        <w:ind w:firstLineChars="200" w:firstLine="420"/>
        <w:jc w:val="both"/>
        <w:rPr>
          <w:rFonts w:asciiTheme="minorEastAsia" w:eastAsiaTheme="minorEastAsia" w:hAnsiTheme="minorEastAsia"/>
          <w:sz w:val="21"/>
          <w:szCs w:val="21"/>
        </w:rPr>
      </w:pPr>
      <w:r w:rsidRPr="00D02CC9">
        <w:rPr>
          <w:rFonts w:asciiTheme="minorEastAsia" w:eastAsiaTheme="minorEastAsia" w:hAnsiTheme="minorEastAsia"/>
          <w:sz w:val="21"/>
          <w:szCs w:val="21"/>
        </w:rPr>
        <w:t>1</w:t>
      </w:r>
      <w:r w:rsidRPr="00D02CC9">
        <w:rPr>
          <w:rFonts w:asciiTheme="minorEastAsia" w:eastAsiaTheme="minorEastAsia" w:hAnsiTheme="minorEastAsia" w:hint="eastAsia"/>
          <w:sz w:val="21"/>
          <w:szCs w:val="21"/>
        </w:rPr>
        <w:t>、</w:t>
      </w:r>
      <w:r w:rsidRPr="00D02CC9">
        <w:rPr>
          <w:rFonts w:asciiTheme="minorEastAsia" w:eastAsiaTheme="minorEastAsia" w:hAnsiTheme="minorEastAsia"/>
          <w:sz w:val="21"/>
          <w:szCs w:val="21"/>
        </w:rPr>
        <w:t xml:space="preserve"> </w:t>
      </w:r>
      <w:r w:rsidR="00B730ED" w:rsidRPr="00D02CC9">
        <w:rPr>
          <w:rFonts w:asciiTheme="minorEastAsia" w:eastAsiaTheme="minorEastAsia" w:hAnsiTheme="minorEastAsia" w:hint="eastAsia"/>
          <w:sz w:val="21"/>
          <w:szCs w:val="21"/>
        </w:rPr>
        <w:t>自</w:t>
      </w:r>
      <w:r w:rsidR="00A32F3B" w:rsidRPr="00D02CC9">
        <w:rPr>
          <w:rFonts w:asciiTheme="minorEastAsia" w:eastAsiaTheme="minorEastAsia" w:hAnsiTheme="minorEastAsia" w:hint="eastAsia"/>
          <w:sz w:val="21"/>
          <w:szCs w:val="21"/>
        </w:rPr>
        <w:t>2020</w:t>
      </w:r>
      <w:r w:rsidR="00B730ED" w:rsidRPr="00D02CC9">
        <w:rPr>
          <w:rFonts w:asciiTheme="minorEastAsia" w:eastAsiaTheme="minorEastAsia" w:hAnsiTheme="minorEastAsia" w:hint="eastAsia"/>
          <w:sz w:val="21"/>
          <w:szCs w:val="21"/>
        </w:rPr>
        <w:t>年</w:t>
      </w:r>
      <w:r w:rsidR="00D2260B">
        <w:rPr>
          <w:rFonts w:asciiTheme="minorEastAsia" w:eastAsiaTheme="minorEastAsia" w:hAnsiTheme="minorEastAsia"/>
          <w:sz w:val="21"/>
          <w:szCs w:val="21"/>
        </w:rPr>
        <w:t>12</w:t>
      </w:r>
      <w:r w:rsidR="00B730ED" w:rsidRPr="00D02CC9">
        <w:rPr>
          <w:rFonts w:asciiTheme="minorEastAsia" w:eastAsiaTheme="minorEastAsia" w:hAnsiTheme="minorEastAsia" w:hint="eastAsia"/>
          <w:sz w:val="21"/>
          <w:szCs w:val="21"/>
        </w:rPr>
        <w:t>月</w:t>
      </w:r>
      <w:r w:rsidR="00D2260B">
        <w:rPr>
          <w:rFonts w:asciiTheme="minorEastAsia" w:eastAsiaTheme="minorEastAsia" w:hAnsiTheme="minorEastAsia"/>
          <w:sz w:val="21"/>
          <w:szCs w:val="21"/>
        </w:rPr>
        <w:t>17</w:t>
      </w:r>
      <w:r w:rsidR="00B730ED" w:rsidRPr="00D02CC9">
        <w:rPr>
          <w:rFonts w:asciiTheme="minorEastAsia" w:eastAsiaTheme="minorEastAsia" w:hAnsiTheme="minorEastAsia" w:hint="eastAsia"/>
          <w:sz w:val="21"/>
          <w:szCs w:val="21"/>
        </w:rPr>
        <w:t>日起，投资者通过</w:t>
      </w:r>
      <w:r w:rsidR="00092039" w:rsidRPr="00092039">
        <w:rPr>
          <w:rFonts w:asciiTheme="minorEastAsia" w:hAnsiTheme="minorEastAsia" w:cs="宋体" w:hint="eastAsia"/>
          <w:color w:val="000000"/>
          <w:sz w:val="21"/>
          <w:szCs w:val="21"/>
        </w:rPr>
        <w:t>鼎信汇金</w:t>
      </w:r>
      <w:r w:rsidR="0018587D">
        <w:rPr>
          <w:rFonts w:asciiTheme="minorEastAsia" w:eastAsiaTheme="minorEastAsia" w:hAnsiTheme="minorEastAsia" w:hint="eastAsia"/>
          <w:sz w:val="21"/>
          <w:szCs w:val="21"/>
        </w:rPr>
        <w:t>申购（含定期定额申购）</w:t>
      </w:r>
      <w:r w:rsidR="00F80EAD">
        <w:rPr>
          <w:rFonts w:asciiTheme="minorEastAsia" w:eastAsiaTheme="minorEastAsia" w:hAnsiTheme="minorEastAsia" w:hint="eastAsia"/>
          <w:sz w:val="21"/>
          <w:szCs w:val="21"/>
        </w:rPr>
        <w:t>、</w:t>
      </w:r>
      <w:r w:rsidR="00F80EAD" w:rsidRPr="00F80EAD">
        <w:rPr>
          <w:rFonts w:asciiTheme="minorEastAsia" w:eastAsiaTheme="minorEastAsia" w:hAnsiTheme="minorEastAsia" w:hint="eastAsia"/>
          <w:sz w:val="21"/>
          <w:szCs w:val="21"/>
        </w:rPr>
        <w:t>转换上述基金，申购（含定期定额申购）、转换申购补差费率优惠活动</w:t>
      </w:r>
      <w:r w:rsidR="00B730ED" w:rsidRPr="00D02CC9">
        <w:rPr>
          <w:rFonts w:asciiTheme="minorEastAsia" w:eastAsiaTheme="minorEastAsia" w:hAnsiTheme="minorEastAsia" w:hint="eastAsia"/>
          <w:sz w:val="21"/>
          <w:szCs w:val="21"/>
        </w:rPr>
        <w:t>以</w:t>
      </w:r>
      <w:r w:rsidR="00092039" w:rsidRPr="00092039">
        <w:rPr>
          <w:rFonts w:asciiTheme="minorEastAsia" w:hAnsiTheme="minorEastAsia" w:cs="宋体" w:hint="eastAsia"/>
          <w:color w:val="000000"/>
          <w:sz w:val="21"/>
          <w:szCs w:val="21"/>
        </w:rPr>
        <w:t>鼎信汇金</w:t>
      </w:r>
      <w:r w:rsidR="00B730ED" w:rsidRPr="00D02CC9">
        <w:rPr>
          <w:rFonts w:asciiTheme="minorEastAsia" w:eastAsiaTheme="minorEastAsia" w:hAnsiTheme="minorEastAsia" w:hint="eastAsia"/>
          <w:sz w:val="21"/>
          <w:szCs w:val="21"/>
        </w:rPr>
        <w:t>具体安排为准。其中，原申购费率为固定费用的，按原申购费率执行。</w:t>
      </w:r>
    </w:p>
    <w:p w:rsidR="006268C1" w:rsidRDefault="006268C1" w:rsidP="001C3F92">
      <w:pPr>
        <w:pStyle w:val="CM1"/>
        <w:spacing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1B3E65" w:rsidRPr="00540943">
        <w:rPr>
          <w:rFonts w:asciiTheme="minorEastAsia" w:eastAsiaTheme="minorEastAsia" w:hAnsiTheme="minorEastAsia"/>
          <w:sz w:val="21"/>
          <w:szCs w:val="21"/>
        </w:rPr>
        <w:t>优惠活动或业务规则如有变动 ,请以</w:t>
      </w:r>
      <w:r w:rsidR="00092039" w:rsidRPr="00092039">
        <w:rPr>
          <w:rFonts w:asciiTheme="minorEastAsia" w:hAnsiTheme="minorEastAsia" w:cs="宋体" w:hint="eastAsia"/>
          <w:color w:val="000000"/>
          <w:sz w:val="21"/>
          <w:szCs w:val="21"/>
        </w:rPr>
        <w:t>鼎信汇金</w:t>
      </w:r>
      <w:r w:rsidR="001B3E65" w:rsidRPr="00540943">
        <w:rPr>
          <w:rFonts w:asciiTheme="minorEastAsia" w:eastAsiaTheme="minorEastAsia" w:hAnsiTheme="minorEastAsia"/>
          <w:sz w:val="21"/>
          <w:szCs w:val="21"/>
        </w:rPr>
        <w:t xml:space="preserve">最新安排和规定为准。 </w:t>
      </w:r>
    </w:p>
    <w:p w:rsidR="006268C1" w:rsidRDefault="006268C1" w:rsidP="001C3F92">
      <w:pPr>
        <w:pStyle w:val="CM1"/>
        <w:spacing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1B3E65" w:rsidRPr="00540943">
        <w:rPr>
          <w:rFonts w:asciiTheme="minorEastAsia" w:eastAsiaTheme="minorEastAsia" w:hAnsiTheme="minorEastAsia"/>
          <w:sz w:val="21"/>
          <w:szCs w:val="21"/>
        </w:rPr>
        <w:t>费率优惠活动内容的解释权归</w:t>
      </w:r>
      <w:r w:rsidR="00092039" w:rsidRPr="00092039">
        <w:rPr>
          <w:rFonts w:asciiTheme="minorEastAsia" w:hAnsiTheme="minorEastAsia" w:cs="宋体" w:hint="eastAsia"/>
          <w:color w:val="000000"/>
          <w:sz w:val="21"/>
          <w:szCs w:val="21"/>
        </w:rPr>
        <w:t>鼎信汇金</w:t>
      </w:r>
      <w:r w:rsidR="001B3E65" w:rsidRPr="00540943">
        <w:rPr>
          <w:rFonts w:asciiTheme="minorEastAsia" w:eastAsiaTheme="minorEastAsia" w:hAnsiTheme="minorEastAsia"/>
          <w:sz w:val="21"/>
          <w:szCs w:val="21"/>
        </w:rPr>
        <w:t>所有，费率优惠活动内容执行期间，业务办理的相关规则及流程请以</w:t>
      </w:r>
      <w:r w:rsidR="00092039" w:rsidRPr="00092039">
        <w:rPr>
          <w:rFonts w:asciiTheme="minorEastAsia" w:hAnsiTheme="minorEastAsia" w:cs="宋体" w:hint="eastAsia"/>
          <w:color w:val="000000"/>
          <w:sz w:val="21"/>
          <w:szCs w:val="21"/>
        </w:rPr>
        <w:t>鼎信汇金</w:t>
      </w:r>
      <w:r w:rsidR="001B3E65" w:rsidRPr="00540943">
        <w:rPr>
          <w:rFonts w:asciiTheme="minorEastAsia" w:eastAsiaTheme="minorEastAsia" w:hAnsiTheme="minorEastAsia"/>
          <w:sz w:val="21"/>
          <w:szCs w:val="21"/>
        </w:rPr>
        <w:t xml:space="preserve">的安排和规定为准。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4、 </w:t>
      </w:r>
      <w:r w:rsidR="001B3E65" w:rsidRPr="00540943">
        <w:rPr>
          <w:rFonts w:asciiTheme="minorEastAsia" w:eastAsiaTheme="minorEastAsia" w:hAnsiTheme="minorEastAsia"/>
          <w:sz w:val="21"/>
          <w:szCs w:val="21"/>
        </w:rPr>
        <w:t>本公告解释权归本公司所有。</w:t>
      </w:r>
    </w:p>
    <w:p w:rsidR="001B3E65" w:rsidRPr="00540943" w:rsidRDefault="001B3E65" w:rsidP="001B3E65">
      <w:pPr>
        <w:rPr>
          <w:rFonts w:asciiTheme="minorEastAsia" w:hAnsiTheme="minorEastAsia"/>
          <w:szCs w:val="21"/>
        </w:rPr>
      </w:pPr>
    </w:p>
    <w:p w:rsidR="001B3E65" w:rsidRPr="0023085C" w:rsidRDefault="001B3E65" w:rsidP="0023085C">
      <w:pPr>
        <w:pStyle w:val="a5"/>
        <w:numPr>
          <w:ilvl w:val="0"/>
          <w:numId w:val="1"/>
        </w:numPr>
        <w:tabs>
          <w:tab w:val="left" w:pos="851"/>
        </w:tabs>
        <w:spacing w:line="360" w:lineRule="auto"/>
        <w:ind w:firstLineChars="0"/>
        <w:rPr>
          <w:rFonts w:asciiTheme="minorEastAsia" w:hAnsiTheme="minorEastAsia"/>
          <w:b/>
          <w:szCs w:val="21"/>
        </w:rPr>
      </w:pPr>
      <w:r w:rsidRPr="0023085C">
        <w:rPr>
          <w:rFonts w:asciiTheme="minorEastAsia" w:hAnsiTheme="minorEastAsia"/>
          <w:b/>
          <w:szCs w:val="21"/>
        </w:rPr>
        <w:t xml:space="preserve">投资者可以通过以下途径咨询有关详情：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1B3E65" w:rsidRPr="00540943">
        <w:rPr>
          <w:rFonts w:asciiTheme="minorEastAsia" w:eastAsiaTheme="minorEastAsia" w:hAnsiTheme="minorEastAsia"/>
          <w:sz w:val="21"/>
          <w:szCs w:val="21"/>
        </w:rPr>
        <w:t>中银基金管理有限公司</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sz w:val="21"/>
          <w:szCs w:val="21"/>
        </w:rPr>
        <w:t>注册地址：上海市浦东新区银城中路200</w:t>
      </w:r>
      <w:r w:rsidRPr="00540943">
        <w:rPr>
          <w:rFonts w:asciiTheme="minorEastAsia" w:eastAsiaTheme="minorEastAsia" w:hAnsiTheme="minorEastAsia" w:hint="eastAsia"/>
          <w:sz w:val="21"/>
          <w:szCs w:val="21"/>
        </w:rPr>
        <w:t>号中银大厦</w:t>
      </w:r>
      <w:r w:rsidR="00E65A73">
        <w:rPr>
          <w:rFonts w:asciiTheme="minorEastAsia" w:eastAsiaTheme="minorEastAsia" w:hAnsiTheme="minorEastAsia"/>
          <w:sz w:val="21"/>
          <w:szCs w:val="21"/>
        </w:rPr>
        <w:t>45</w:t>
      </w:r>
      <w:r w:rsidRPr="00540943">
        <w:rPr>
          <w:rFonts w:asciiTheme="minorEastAsia" w:eastAsiaTheme="minorEastAsia" w:hAnsiTheme="minorEastAsia" w:hint="eastAsia"/>
          <w:sz w:val="21"/>
          <w:szCs w:val="21"/>
        </w:rPr>
        <w:t>层</w:t>
      </w:r>
    </w:p>
    <w:p w:rsidR="001B3E65" w:rsidRPr="00540943" w:rsidRDefault="00E65A73" w:rsidP="001B3E65">
      <w:pPr>
        <w:pStyle w:val="CM1"/>
        <w:spacing w:line="360" w:lineRule="auto"/>
        <w:ind w:left="359"/>
        <w:rPr>
          <w:rFonts w:asciiTheme="minorEastAsia" w:eastAsiaTheme="minorEastAsia" w:hAnsiTheme="minorEastAsia"/>
          <w:sz w:val="21"/>
          <w:szCs w:val="21"/>
        </w:rPr>
      </w:pPr>
      <w:r>
        <w:rPr>
          <w:rFonts w:asciiTheme="minorEastAsia" w:eastAsiaTheme="minorEastAsia" w:hAnsiTheme="minorEastAsia" w:hint="eastAsia"/>
          <w:sz w:val="21"/>
          <w:szCs w:val="21"/>
        </w:rPr>
        <w:t>客户服务热线：</w:t>
      </w:r>
      <w:r>
        <w:rPr>
          <w:rFonts w:asciiTheme="minorEastAsia" w:eastAsiaTheme="minorEastAsia" w:hAnsiTheme="minorEastAsia"/>
          <w:sz w:val="21"/>
          <w:szCs w:val="21"/>
        </w:rPr>
        <w:t>4008885566</w:t>
      </w:r>
      <w:r w:rsidR="001B3E65" w:rsidRPr="00540943">
        <w:rPr>
          <w:rFonts w:asciiTheme="minorEastAsia" w:eastAsiaTheme="minorEastAsia" w:hAnsiTheme="minorEastAsia" w:hint="eastAsia"/>
          <w:sz w:val="21"/>
          <w:szCs w:val="21"/>
        </w:rPr>
        <w:t>或</w:t>
      </w:r>
      <w:r w:rsidR="001B3E65" w:rsidRPr="00540943">
        <w:rPr>
          <w:rFonts w:asciiTheme="minorEastAsia" w:eastAsiaTheme="minorEastAsia" w:hAnsiTheme="minorEastAsia"/>
          <w:sz w:val="21"/>
          <w:szCs w:val="21"/>
        </w:rPr>
        <w:t xml:space="preserve">021-38834788 </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公司网站：</w:t>
      </w:r>
      <w:r w:rsidRPr="00540943">
        <w:rPr>
          <w:rFonts w:asciiTheme="minorEastAsia" w:eastAsiaTheme="minorEastAsia" w:hAnsiTheme="minorEastAsia"/>
          <w:sz w:val="21"/>
          <w:szCs w:val="21"/>
        </w:rPr>
        <w:t xml:space="preserve"> www.bocim.com </w:t>
      </w:r>
    </w:p>
    <w:p w:rsidR="001B3E65" w:rsidRDefault="006268C1" w:rsidP="00092039">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092039">
        <w:rPr>
          <w:rFonts w:asciiTheme="minorEastAsia" w:eastAsiaTheme="minorEastAsia" w:hAnsiTheme="minorEastAsia" w:hint="eastAsia"/>
          <w:sz w:val="21"/>
          <w:szCs w:val="21"/>
        </w:rPr>
        <w:t>鼎信汇金（北京）投资管理有限公司</w:t>
      </w:r>
    </w:p>
    <w:p w:rsidR="00092039" w:rsidRDefault="00092039" w:rsidP="00092039">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注册地址</w:t>
      </w:r>
      <w:r>
        <w:rPr>
          <w:rFonts w:asciiTheme="minorEastAsia" w:eastAsiaTheme="minorEastAsia" w:hAnsiTheme="minorEastAsia" w:hint="eastAsia"/>
          <w:sz w:val="21"/>
          <w:szCs w:val="21"/>
        </w:rPr>
        <w:t>：</w:t>
      </w:r>
      <w:r>
        <w:rPr>
          <w:rFonts w:asciiTheme="minorEastAsia" w:eastAsiaTheme="minorEastAsia" w:hAnsiTheme="minorEastAsia"/>
          <w:sz w:val="21"/>
          <w:szCs w:val="21"/>
        </w:rPr>
        <w:t>北京市朝阳区霄云路</w:t>
      </w:r>
      <w:r>
        <w:rPr>
          <w:rFonts w:asciiTheme="minorEastAsia" w:eastAsiaTheme="minorEastAsia" w:hAnsiTheme="minorEastAsia" w:hint="eastAsia"/>
          <w:sz w:val="21"/>
          <w:szCs w:val="21"/>
        </w:rPr>
        <w:t>4</w:t>
      </w:r>
      <w:r>
        <w:rPr>
          <w:rFonts w:asciiTheme="minorEastAsia" w:eastAsiaTheme="minorEastAsia" w:hAnsiTheme="minorEastAsia"/>
          <w:sz w:val="21"/>
          <w:szCs w:val="21"/>
        </w:rPr>
        <w:t>0号院</w:t>
      </w:r>
      <w:r>
        <w:rPr>
          <w:rFonts w:asciiTheme="minorEastAsia" w:eastAsiaTheme="minorEastAsia" w:hAnsiTheme="minorEastAsia" w:hint="eastAsia"/>
          <w:sz w:val="21"/>
          <w:szCs w:val="21"/>
        </w:rPr>
        <w:t>1号楼3层3</w:t>
      </w:r>
      <w:r>
        <w:rPr>
          <w:rFonts w:asciiTheme="minorEastAsia" w:eastAsiaTheme="minorEastAsia" w:hAnsiTheme="minorEastAsia"/>
          <w:sz w:val="21"/>
          <w:szCs w:val="21"/>
        </w:rPr>
        <w:t>06室</w:t>
      </w:r>
    </w:p>
    <w:p w:rsidR="00092039" w:rsidRDefault="00092039" w:rsidP="00092039">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客户服务热线</w:t>
      </w:r>
      <w:r>
        <w:rPr>
          <w:rFonts w:asciiTheme="minorEastAsia" w:eastAsiaTheme="minorEastAsia" w:hAnsiTheme="minorEastAsia" w:hint="eastAsia"/>
          <w:sz w:val="21"/>
          <w:szCs w:val="21"/>
        </w:rPr>
        <w:t>：4</w:t>
      </w:r>
      <w:r>
        <w:rPr>
          <w:rFonts w:asciiTheme="minorEastAsia" w:eastAsiaTheme="minorEastAsia" w:hAnsiTheme="minorEastAsia"/>
          <w:sz w:val="21"/>
          <w:szCs w:val="21"/>
        </w:rPr>
        <w:t>00-158-5050</w:t>
      </w:r>
    </w:p>
    <w:p w:rsidR="00092039" w:rsidRPr="00540943" w:rsidRDefault="00092039" w:rsidP="00092039">
      <w:pPr>
        <w:pStyle w:val="Default"/>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sz w:val="21"/>
          <w:szCs w:val="21"/>
        </w:rPr>
        <w:t>公司网站</w:t>
      </w:r>
      <w:r>
        <w:rPr>
          <w:rFonts w:asciiTheme="minorEastAsia" w:eastAsiaTheme="minorEastAsia" w:hAnsiTheme="minorEastAsia" w:hint="eastAsia"/>
          <w:sz w:val="21"/>
          <w:szCs w:val="21"/>
        </w:rPr>
        <w:t>：w</w:t>
      </w:r>
      <w:r>
        <w:rPr>
          <w:rFonts w:asciiTheme="minorEastAsia" w:eastAsiaTheme="minorEastAsia" w:hAnsiTheme="minorEastAsia"/>
          <w:sz w:val="21"/>
          <w:szCs w:val="21"/>
        </w:rPr>
        <w:t>ww.TL50.com</w:t>
      </w:r>
    </w:p>
    <w:p w:rsidR="001B3E65" w:rsidRPr="00540943" w:rsidRDefault="001B3E65" w:rsidP="001B3E65">
      <w:pPr>
        <w:pStyle w:val="Default"/>
        <w:spacing w:line="360" w:lineRule="auto"/>
        <w:rPr>
          <w:rFonts w:asciiTheme="minorEastAsia" w:eastAsiaTheme="minorEastAsia" w:hAnsiTheme="minorEastAsia" w:cstheme="minorBidi"/>
          <w:color w:val="auto"/>
          <w:kern w:val="2"/>
          <w:sz w:val="21"/>
          <w:szCs w:val="21"/>
        </w:rPr>
      </w:pPr>
    </w:p>
    <w:p w:rsidR="001B3E65" w:rsidRPr="00540943" w:rsidRDefault="001B3E65" w:rsidP="001B3E65">
      <w:pPr>
        <w:pStyle w:val="Default"/>
        <w:spacing w:line="360" w:lineRule="auto"/>
        <w:ind w:firstLineChars="200" w:firstLine="422"/>
        <w:rPr>
          <w:rFonts w:asciiTheme="minorEastAsia" w:eastAsiaTheme="minorEastAsia" w:hAnsiTheme="minorEastAsia"/>
          <w:b/>
          <w:color w:val="auto"/>
          <w:sz w:val="21"/>
          <w:szCs w:val="21"/>
        </w:rPr>
      </w:pPr>
      <w:r w:rsidRPr="00540943">
        <w:rPr>
          <w:rFonts w:asciiTheme="minorEastAsia" w:eastAsiaTheme="minorEastAsia" w:hAnsiTheme="minorEastAsia" w:hint="eastAsia"/>
          <w:b/>
          <w:color w:val="auto"/>
          <w:sz w:val="21"/>
          <w:szCs w:val="21"/>
        </w:rPr>
        <w:t>重要提示：</w:t>
      </w:r>
      <w:r w:rsidRPr="00540943">
        <w:rPr>
          <w:rFonts w:asciiTheme="minorEastAsia" w:eastAsiaTheme="minorEastAsia" w:hAnsiTheme="minorEastAsia"/>
          <w:b/>
          <w:color w:val="auto"/>
          <w:sz w:val="21"/>
          <w:szCs w:val="21"/>
        </w:rPr>
        <w:t xml:space="preserve"> </w:t>
      </w:r>
    </w:p>
    <w:p w:rsidR="001B3E65" w:rsidRPr="004C6E47" w:rsidRDefault="006268C1" w:rsidP="001C3F92">
      <w:pPr>
        <w:pStyle w:val="CM4"/>
        <w:spacing w:line="360" w:lineRule="auto"/>
        <w:ind w:right="105" w:firstLineChars="200" w:firstLine="42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 xml:space="preserve">、 </w:t>
      </w:r>
      <w:r w:rsidR="001B3E65" w:rsidRPr="00540943">
        <w:rPr>
          <w:rFonts w:asciiTheme="minorEastAsia" w:eastAsiaTheme="minorEastAsia" w:hAnsiTheme="minorEastAsia" w:cs="宋体" w:hint="eastAsia"/>
          <w:sz w:val="21"/>
          <w:szCs w:val="21"/>
        </w:rPr>
        <w:t>投资者应认真阅读拟投资基金的《基金合同》、《招募说明书》等法律文件，了解所投资基金的风险收益特征，并根据自身情况购买与本人风险承受能力相匹配的产品。</w:t>
      </w:r>
      <w:r w:rsidR="001B3E65" w:rsidRPr="00540943">
        <w:rPr>
          <w:rFonts w:asciiTheme="minorEastAsia" w:eastAsiaTheme="minorEastAsia" w:hAnsiTheme="minorEastAsia" w:cs="宋体"/>
          <w:sz w:val="21"/>
          <w:szCs w:val="21"/>
        </w:rPr>
        <w:t xml:space="preserve"> </w:t>
      </w:r>
    </w:p>
    <w:p w:rsidR="00D075DC" w:rsidRPr="00D02CC9" w:rsidRDefault="0018587D" w:rsidP="001C3F92">
      <w:pPr>
        <w:pStyle w:val="CM1"/>
        <w:spacing w:line="360" w:lineRule="auto"/>
        <w:ind w:firstLine="42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A32F3B" w:rsidRPr="00D02CC9">
        <w:rPr>
          <w:rFonts w:asciiTheme="minorEastAsia" w:eastAsiaTheme="minorEastAsia" w:hAnsiTheme="minorEastAsia" w:cs="宋体" w:hint="eastAsia"/>
          <w:sz w:val="21"/>
          <w:szCs w:val="21"/>
        </w:rPr>
        <w:t>、 上述基金原申购费率标准请参见本公司网站发布的各基金《基金合同》、《招募说明书》及相关公告。</w:t>
      </w:r>
    </w:p>
    <w:p w:rsidR="00A32F3B" w:rsidRPr="00A32F3B" w:rsidRDefault="00A32F3B" w:rsidP="00A32F3B"/>
    <w:p w:rsidR="001B3E65" w:rsidRPr="00540943" w:rsidRDefault="001B3E65" w:rsidP="001B3E65">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1B3E65" w:rsidRPr="00540943" w:rsidRDefault="001B3E65" w:rsidP="001B3E65">
      <w:pPr>
        <w:pStyle w:val="CM5"/>
        <w:spacing w:line="360" w:lineRule="auto"/>
        <w:ind w:firstLine="420"/>
        <w:rPr>
          <w:rFonts w:asciiTheme="minorEastAsia" w:eastAsiaTheme="minorEastAsia" w:hAnsiTheme="minorEastAsia" w:cs="宋体"/>
          <w:sz w:val="21"/>
          <w:szCs w:val="21"/>
        </w:rPr>
      </w:pPr>
      <w:r w:rsidRPr="00540943">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买者自负</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9343A" w:rsidRPr="00540943" w:rsidRDefault="0049343A" w:rsidP="0049343A">
      <w:pPr>
        <w:rPr>
          <w:rFonts w:asciiTheme="minorEastAsia" w:hAnsiTheme="minorEastAsia"/>
          <w:szCs w:val="21"/>
        </w:rPr>
      </w:pPr>
    </w:p>
    <w:p w:rsidR="0049343A" w:rsidRPr="00540943" w:rsidRDefault="0049343A" w:rsidP="0049343A">
      <w:pPr>
        <w:ind w:firstLineChars="200" w:firstLine="420"/>
        <w:rPr>
          <w:rFonts w:asciiTheme="minorEastAsia" w:hAnsiTheme="minorEastAsia"/>
          <w:szCs w:val="21"/>
        </w:rPr>
      </w:pPr>
      <w:r w:rsidRPr="00540943">
        <w:rPr>
          <w:rFonts w:asciiTheme="minorEastAsia" w:hAnsiTheme="minorEastAsia" w:hint="eastAsia"/>
          <w:szCs w:val="21"/>
        </w:rPr>
        <w:t>特此公告。</w:t>
      </w:r>
    </w:p>
    <w:p w:rsidR="0023085C" w:rsidRPr="00540943" w:rsidRDefault="0023085C" w:rsidP="0049343A">
      <w:pPr>
        <w:ind w:firstLineChars="200" w:firstLine="420"/>
        <w:rPr>
          <w:rFonts w:asciiTheme="minorEastAsia" w:hAnsiTheme="minorEastAsia"/>
          <w:szCs w:val="21"/>
        </w:rPr>
      </w:pPr>
    </w:p>
    <w:p w:rsidR="0049343A" w:rsidRPr="00540943" w:rsidRDefault="0049343A" w:rsidP="0049343A">
      <w:pPr>
        <w:ind w:rightChars="40" w:right="84" w:firstLineChars="200" w:firstLine="420"/>
        <w:jc w:val="right"/>
        <w:rPr>
          <w:rFonts w:asciiTheme="minorEastAsia" w:hAnsiTheme="minorEastAsia"/>
          <w:szCs w:val="21"/>
        </w:rPr>
      </w:pPr>
      <w:r w:rsidRPr="00540943">
        <w:rPr>
          <w:rFonts w:asciiTheme="minorEastAsia" w:hAnsiTheme="minorEastAsia"/>
          <w:szCs w:val="21"/>
        </w:rPr>
        <w:t>中银基金管理有限公司</w:t>
      </w:r>
    </w:p>
    <w:p w:rsidR="00624760" w:rsidRPr="00540943" w:rsidRDefault="0049343A" w:rsidP="00D41297">
      <w:pPr>
        <w:ind w:rightChars="40" w:right="84" w:firstLineChars="200" w:firstLine="420"/>
        <w:jc w:val="right"/>
        <w:rPr>
          <w:rFonts w:asciiTheme="minorEastAsia" w:hAnsiTheme="minorEastAsia"/>
          <w:szCs w:val="21"/>
        </w:rPr>
      </w:pPr>
      <w:r w:rsidRPr="00540943">
        <w:rPr>
          <w:rFonts w:asciiTheme="minorEastAsia" w:hAnsiTheme="minorEastAsia" w:hint="eastAsia"/>
          <w:szCs w:val="21"/>
        </w:rPr>
        <w:t>2</w:t>
      </w:r>
      <w:r w:rsidRPr="00540943">
        <w:rPr>
          <w:rFonts w:asciiTheme="minorEastAsia" w:hAnsiTheme="minorEastAsia"/>
          <w:szCs w:val="21"/>
        </w:rPr>
        <w:t>020年</w:t>
      </w:r>
      <w:r w:rsidRPr="00540943">
        <w:rPr>
          <w:rFonts w:asciiTheme="minorEastAsia" w:hAnsiTheme="minorEastAsia" w:hint="eastAsia"/>
          <w:szCs w:val="21"/>
        </w:rPr>
        <w:t>1</w:t>
      </w:r>
      <w:r w:rsidR="00092039">
        <w:rPr>
          <w:rFonts w:asciiTheme="minorEastAsia" w:hAnsiTheme="minorEastAsia"/>
          <w:szCs w:val="21"/>
        </w:rPr>
        <w:t>2</w:t>
      </w:r>
      <w:r w:rsidRPr="00540943">
        <w:rPr>
          <w:rFonts w:asciiTheme="minorEastAsia" w:hAnsiTheme="minorEastAsia"/>
          <w:szCs w:val="21"/>
        </w:rPr>
        <w:t>月</w:t>
      </w:r>
      <w:r w:rsidR="00092039">
        <w:rPr>
          <w:rFonts w:asciiTheme="minorEastAsia" w:hAnsiTheme="minorEastAsia"/>
          <w:szCs w:val="21"/>
        </w:rPr>
        <w:t>17</w:t>
      </w:r>
      <w:r w:rsidR="00D41297">
        <w:rPr>
          <w:rFonts w:asciiTheme="minorEastAsia" w:hAnsiTheme="minorEastAsia"/>
          <w:szCs w:val="21"/>
        </w:rPr>
        <w:t>日</w:t>
      </w:r>
    </w:p>
    <w:sectPr w:rsidR="00624760" w:rsidRPr="00540943" w:rsidSect="00D86F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48" w:rsidRDefault="00A03348" w:rsidP="00624760">
      <w:r>
        <w:separator/>
      </w:r>
    </w:p>
  </w:endnote>
  <w:endnote w:type="continuationSeparator" w:id="0">
    <w:p w:rsidR="00A03348" w:rsidRDefault="00A03348" w:rsidP="006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48" w:rsidRDefault="00A03348" w:rsidP="00624760">
      <w:r>
        <w:separator/>
      </w:r>
    </w:p>
  </w:footnote>
  <w:footnote w:type="continuationSeparator" w:id="0">
    <w:p w:rsidR="00A03348" w:rsidRDefault="00A03348" w:rsidP="00624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514FBF"/>
    <w:multiLevelType w:val="hybridMultilevel"/>
    <w:tmpl w:val="170EEC2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F80839"/>
    <w:multiLevelType w:val="hybridMultilevel"/>
    <w:tmpl w:val="C7CED372"/>
    <w:lvl w:ilvl="0" w:tplc="B9FEB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D53EF"/>
    <w:multiLevelType w:val="hybridMultilevel"/>
    <w:tmpl w:val="F6D845AC"/>
    <w:lvl w:ilvl="0" w:tplc="57B419CA">
      <w:start w:val="1"/>
      <w:numFmt w:val="decimal"/>
      <w:lvlText w:val="%1、"/>
      <w:lvlJc w:val="left"/>
      <w:pPr>
        <w:ind w:left="840" w:hanging="4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343F87"/>
    <w:multiLevelType w:val="hybridMultilevel"/>
    <w:tmpl w:val="9BF69F2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E03E68"/>
    <w:multiLevelType w:val="hybridMultilevel"/>
    <w:tmpl w:val="93E89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CA7249"/>
    <w:multiLevelType w:val="hybridMultilevel"/>
    <w:tmpl w:val="9EBC1792"/>
    <w:lvl w:ilvl="0" w:tplc="B754A3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88B47"/>
    <w:multiLevelType w:val="hybridMultilevel"/>
    <w:tmpl w:val="889D32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9C8"/>
    <w:rsid w:val="0003234D"/>
    <w:rsid w:val="00036649"/>
    <w:rsid w:val="00061BC0"/>
    <w:rsid w:val="00076E0F"/>
    <w:rsid w:val="00092039"/>
    <w:rsid w:val="000A0471"/>
    <w:rsid w:val="000B3693"/>
    <w:rsid w:val="000F7B99"/>
    <w:rsid w:val="00115ACD"/>
    <w:rsid w:val="0018587D"/>
    <w:rsid w:val="001A173D"/>
    <w:rsid w:val="001B3E65"/>
    <w:rsid w:val="001B5B25"/>
    <w:rsid w:val="001C3F92"/>
    <w:rsid w:val="002037A8"/>
    <w:rsid w:val="0023085C"/>
    <w:rsid w:val="002350D0"/>
    <w:rsid w:val="00243C0F"/>
    <w:rsid w:val="002D43F7"/>
    <w:rsid w:val="002D6C81"/>
    <w:rsid w:val="002F112B"/>
    <w:rsid w:val="00330108"/>
    <w:rsid w:val="003D041F"/>
    <w:rsid w:val="003D06A7"/>
    <w:rsid w:val="003E0528"/>
    <w:rsid w:val="004728C9"/>
    <w:rsid w:val="0049343A"/>
    <w:rsid w:val="004C6E47"/>
    <w:rsid w:val="00524B4A"/>
    <w:rsid w:val="00540943"/>
    <w:rsid w:val="00551FC2"/>
    <w:rsid w:val="00557D18"/>
    <w:rsid w:val="005B0AAD"/>
    <w:rsid w:val="00624760"/>
    <w:rsid w:val="00624930"/>
    <w:rsid w:val="006268C1"/>
    <w:rsid w:val="006716B2"/>
    <w:rsid w:val="006A482B"/>
    <w:rsid w:val="006B5C1A"/>
    <w:rsid w:val="006F3ABC"/>
    <w:rsid w:val="0070453A"/>
    <w:rsid w:val="00722101"/>
    <w:rsid w:val="007339D1"/>
    <w:rsid w:val="007A7AA8"/>
    <w:rsid w:val="007D1D34"/>
    <w:rsid w:val="008546E9"/>
    <w:rsid w:val="008E175B"/>
    <w:rsid w:val="0090066D"/>
    <w:rsid w:val="00907BE0"/>
    <w:rsid w:val="0091105E"/>
    <w:rsid w:val="009869C8"/>
    <w:rsid w:val="009D5926"/>
    <w:rsid w:val="00A0081D"/>
    <w:rsid w:val="00A03348"/>
    <w:rsid w:val="00A11F99"/>
    <w:rsid w:val="00A32C13"/>
    <w:rsid w:val="00A32F3B"/>
    <w:rsid w:val="00AF4B7A"/>
    <w:rsid w:val="00B57B8B"/>
    <w:rsid w:val="00B730ED"/>
    <w:rsid w:val="00BC65B9"/>
    <w:rsid w:val="00BD3725"/>
    <w:rsid w:val="00C77D1E"/>
    <w:rsid w:val="00C817B9"/>
    <w:rsid w:val="00CA36F5"/>
    <w:rsid w:val="00CA5ED8"/>
    <w:rsid w:val="00CC1864"/>
    <w:rsid w:val="00CC35FA"/>
    <w:rsid w:val="00CF6940"/>
    <w:rsid w:val="00D02CC9"/>
    <w:rsid w:val="00D075DC"/>
    <w:rsid w:val="00D2260B"/>
    <w:rsid w:val="00D24BBE"/>
    <w:rsid w:val="00D41297"/>
    <w:rsid w:val="00D86FF9"/>
    <w:rsid w:val="00E30E62"/>
    <w:rsid w:val="00E42C8B"/>
    <w:rsid w:val="00E65A73"/>
    <w:rsid w:val="00ED5DE3"/>
    <w:rsid w:val="00F562CA"/>
    <w:rsid w:val="00F613A9"/>
    <w:rsid w:val="00F80EAD"/>
    <w:rsid w:val="00F959CF"/>
    <w:rsid w:val="00FA4625"/>
    <w:rsid w:val="00FE0CA7"/>
    <w:rsid w:val="00FF4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760"/>
    <w:rPr>
      <w:sz w:val="18"/>
      <w:szCs w:val="18"/>
    </w:rPr>
  </w:style>
  <w:style w:type="paragraph" w:styleId="a4">
    <w:name w:val="footer"/>
    <w:basedOn w:val="a"/>
    <w:link w:val="Char0"/>
    <w:uiPriority w:val="99"/>
    <w:unhideWhenUsed/>
    <w:rsid w:val="006247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760"/>
    <w:rPr>
      <w:sz w:val="18"/>
      <w:szCs w:val="18"/>
    </w:rPr>
  </w:style>
  <w:style w:type="paragraph" w:customStyle="1" w:styleId="CM5">
    <w:name w:val="CM5"/>
    <w:basedOn w:val="a"/>
    <w:next w:val="a"/>
    <w:uiPriority w:val="99"/>
    <w:rsid w:val="00624760"/>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rsid w:val="001B3E65"/>
    <w:pPr>
      <w:autoSpaceDE w:val="0"/>
      <w:autoSpaceDN w:val="0"/>
      <w:adjustRightInd w:val="0"/>
      <w:jc w:val="left"/>
    </w:pPr>
    <w:rPr>
      <w:rFonts w:ascii="宋体" w:eastAsia="宋体"/>
      <w:kern w:val="0"/>
      <w:sz w:val="24"/>
      <w:szCs w:val="24"/>
    </w:rPr>
  </w:style>
  <w:style w:type="paragraph" w:styleId="a5">
    <w:name w:val="List Paragraph"/>
    <w:basedOn w:val="a"/>
    <w:uiPriority w:val="34"/>
    <w:qFormat/>
    <w:rsid w:val="001B3E65"/>
    <w:pPr>
      <w:ind w:firstLineChars="200" w:firstLine="420"/>
    </w:pPr>
  </w:style>
  <w:style w:type="paragraph" w:customStyle="1" w:styleId="CM1">
    <w:name w:val="CM1"/>
    <w:basedOn w:val="a"/>
    <w:next w:val="a"/>
    <w:uiPriority w:val="99"/>
    <w:rsid w:val="001B3E65"/>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rsid w:val="001B3E65"/>
    <w:pPr>
      <w:widowControl w:val="0"/>
      <w:autoSpaceDE w:val="0"/>
      <w:autoSpaceDN w:val="0"/>
      <w:adjustRightInd w:val="0"/>
    </w:pPr>
    <w:rPr>
      <w:rFonts w:ascii="宋体" w:eastAsia="宋体" w:cs="宋体"/>
      <w:color w:val="000000"/>
      <w:kern w:val="0"/>
      <w:sz w:val="24"/>
      <w:szCs w:val="24"/>
    </w:rPr>
  </w:style>
  <w:style w:type="paragraph" w:customStyle="1" w:styleId="CM2">
    <w:name w:val="CM2"/>
    <w:basedOn w:val="Default"/>
    <w:next w:val="Default"/>
    <w:uiPriority w:val="99"/>
    <w:rsid w:val="001B3E65"/>
    <w:pPr>
      <w:spacing w:line="468" w:lineRule="atLeast"/>
    </w:pPr>
    <w:rPr>
      <w:rFonts w:cstheme="minorBidi"/>
      <w:color w:val="auto"/>
    </w:rPr>
  </w:style>
  <w:style w:type="paragraph" w:customStyle="1" w:styleId="CM3">
    <w:name w:val="CM3"/>
    <w:basedOn w:val="Default"/>
    <w:next w:val="Default"/>
    <w:uiPriority w:val="99"/>
    <w:rsid w:val="001B3E65"/>
    <w:rPr>
      <w:rFonts w:cstheme="minorBidi"/>
      <w:color w:val="auto"/>
    </w:rPr>
  </w:style>
  <w:style w:type="paragraph" w:customStyle="1" w:styleId="CM4">
    <w:name w:val="CM4"/>
    <w:basedOn w:val="Default"/>
    <w:next w:val="Default"/>
    <w:uiPriority w:val="99"/>
    <w:rsid w:val="001B3E65"/>
    <w:pPr>
      <w:spacing w:line="468" w:lineRule="atLeast"/>
    </w:pPr>
    <w:rPr>
      <w:rFonts w:cstheme="minorBidi"/>
      <w:color w:val="auto"/>
    </w:rPr>
  </w:style>
  <w:style w:type="character" w:styleId="a6">
    <w:name w:val="annotation reference"/>
    <w:basedOn w:val="a0"/>
    <w:uiPriority w:val="99"/>
    <w:semiHidden/>
    <w:unhideWhenUsed/>
    <w:rsid w:val="00BD3725"/>
    <w:rPr>
      <w:sz w:val="21"/>
      <w:szCs w:val="21"/>
    </w:rPr>
  </w:style>
  <w:style w:type="paragraph" w:styleId="a7">
    <w:name w:val="annotation text"/>
    <w:basedOn w:val="a"/>
    <w:link w:val="Char1"/>
    <w:uiPriority w:val="99"/>
    <w:semiHidden/>
    <w:unhideWhenUsed/>
    <w:rsid w:val="00BD3725"/>
    <w:pPr>
      <w:jc w:val="left"/>
    </w:pPr>
  </w:style>
  <w:style w:type="character" w:customStyle="1" w:styleId="Char1">
    <w:name w:val="批注文字 Char"/>
    <w:basedOn w:val="a0"/>
    <w:link w:val="a7"/>
    <w:uiPriority w:val="99"/>
    <w:semiHidden/>
    <w:rsid w:val="00BD3725"/>
  </w:style>
  <w:style w:type="paragraph" w:styleId="a8">
    <w:name w:val="annotation subject"/>
    <w:basedOn w:val="a7"/>
    <w:next w:val="a7"/>
    <w:link w:val="Char2"/>
    <w:uiPriority w:val="99"/>
    <w:semiHidden/>
    <w:unhideWhenUsed/>
    <w:rsid w:val="00BD3725"/>
    <w:rPr>
      <w:b/>
      <w:bCs/>
    </w:rPr>
  </w:style>
  <w:style w:type="character" w:customStyle="1" w:styleId="Char2">
    <w:name w:val="批注主题 Char"/>
    <w:basedOn w:val="Char1"/>
    <w:link w:val="a8"/>
    <w:uiPriority w:val="99"/>
    <w:semiHidden/>
    <w:rsid w:val="00BD3725"/>
    <w:rPr>
      <w:b/>
      <w:bCs/>
    </w:rPr>
  </w:style>
  <w:style w:type="paragraph" w:styleId="a9">
    <w:name w:val="Balloon Text"/>
    <w:basedOn w:val="a"/>
    <w:link w:val="Char3"/>
    <w:uiPriority w:val="99"/>
    <w:semiHidden/>
    <w:unhideWhenUsed/>
    <w:rsid w:val="00BD3725"/>
    <w:rPr>
      <w:sz w:val="18"/>
      <w:szCs w:val="18"/>
    </w:rPr>
  </w:style>
  <w:style w:type="character" w:customStyle="1" w:styleId="Char3">
    <w:name w:val="批注框文本 Char"/>
    <w:basedOn w:val="a0"/>
    <w:link w:val="a9"/>
    <w:uiPriority w:val="99"/>
    <w:semiHidden/>
    <w:rsid w:val="00BD3725"/>
    <w:rPr>
      <w:sz w:val="18"/>
      <w:szCs w:val="18"/>
    </w:rPr>
  </w:style>
</w:styles>
</file>

<file path=word/webSettings.xml><?xml version="1.0" encoding="utf-8"?>
<w:webSettings xmlns:r="http://schemas.openxmlformats.org/officeDocument/2006/relationships" xmlns:w="http://schemas.openxmlformats.org/wordprocessingml/2006/main">
  <w:divs>
    <w:div w:id="70203955">
      <w:bodyDiv w:val="1"/>
      <w:marLeft w:val="0"/>
      <w:marRight w:val="0"/>
      <w:marTop w:val="0"/>
      <w:marBottom w:val="0"/>
      <w:divBdr>
        <w:top w:val="none" w:sz="0" w:space="0" w:color="auto"/>
        <w:left w:val="none" w:sz="0" w:space="0" w:color="auto"/>
        <w:bottom w:val="none" w:sz="0" w:space="0" w:color="auto"/>
        <w:right w:val="none" w:sz="0" w:space="0" w:color="auto"/>
      </w:divBdr>
    </w:div>
    <w:div w:id="1089154647">
      <w:bodyDiv w:val="1"/>
      <w:marLeft w:val="0"/>
      <w:marRight w:val="0"/>
      <w:marTop w:val="0"/>
      <w:marBottom w:val="0"/>
      <w:divBdr>
        <w:top w:val="none" w:sz="0" w:space="0" w:color="auto"/>
        <w:left w:val="none" w:sz="0" w:space="0" w:color="auto"/>
        <w:bottom w:val="none" w:sz="0" w:space="0" w:color="auto"/>
        <w:right w:val="none" w:sz="0" w:space="0" w:color="auto"/>
      </w:divBdr>
    </w:div>
    <w:div w:id="1111780375">
      <w:bodyDiv w:val="1"/>
      <w:marLeft w:val="0"/>
      <w:marRight w:val="0"/>
      <w:marTop w:val="0"/>
      <w:marBottom w:val="0"/>
      <w:divBdr>
        <w:top w:val="none" w:sz="0" w:space="0" w:color="auto"/>
        <w:left w:val="none" w:sz="0" w:space="0" w:color="auto"/>
        <w:bottom w:val="none" w:sz="0" w:space="0" w:color="auto"/>
        <w:right w:val="none" w:sz="0" w:space="0" w:color="auto"/>
      </w:divBdr>
    </w:div>
    <w:div w:id="16518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04CD-F1DB-4B70-BA87-34A79C28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4</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任禾佳</dc:creator>
  <cp:keywords/>
  <dc:description/>
  <cp:lastModifiedBy>ZHONGM</cp:lastModifiedBy>
  <cp:revision>2</cp:revision>
  <dcterms:created xsi:type="dcterms:W3CDTF">2020-12-16T16:16:00Z</dcterms:created>
  <dcterms:modified xsi:type="dcterms:W3CDTF">2020-12-16T16:16:00Z</dcterms:modified>
</cp:coreProperties>
</file>