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E0" w:rsidRPr="001E1857" w:rsidRDefault="00D63DE0" w:rsidP="005F471B">
      <w:pPr>
        <w:widowControl/>
        <w:spacing w:line="360" w:lineRule="auto"/>
        <w:contextualSpacing/>
        <w:jc w:val="center"/>
        <w:rPr>
          <w:rFonts w:ascii="Times New Roman" w:hAnsi="Times New Roman"/>
          <w:b/>
          <w:kern w:val="0"/>
          <w:sz w:val="24"/>
          <w:szCs w:val="24"/>
        </w:rPr>
      </w:pPr>
    </w:p>
    <w:p w:rsidR="00D63DE0" w:rsidRPr="001E1857" w:rsidRDefault="00D63DE0" w:rsidP="009876AD">
      <w:pPr>
        <w:widowControl/>
        <w:spacing w:line="360" w:lineRule="auto"/>
        <w:contextualSpacing/>
        <w:jc w:val="center"/>
        <w:rPr>
          <w:rFonts w:ascii="Times New Roman" w:hAnsi="Times New Roman"/>
          <w:b/>
          <w:kern w:val="0"/>
          <w:sz w:val="24"/>
          <w:szCs w:val="24"/>
        </w:rPr>
      </w:pPr>
    </w:p>
    <w:p w:rsidR="00D63DE0" w:rsidRPr="001E1857" w:rsidRDefault="00D63DE0" w:rsidP="009876AD">
      <w:pPr>
        <w:widowControl/>
        <w:spacing w:line="360" w:lineRule="auto"/>
        <w:contextualSpacing/>
        <w:jc w:val="center"/>
        <w:rPr>
          <w:rFonts w:ascii="Times New Roman" w:hAnsi="Times New Roman"/>
          <w:b/>
          <w:kern w:val="0"/>
          <w:sz w:val="24"/>
          <w:szCs w:val="24"/>
        </w:rPr>
      </w:pPr>
    </w:p>
    <w:p w:rsidR="00D63DE0" w:rsidRPr="004A673D" w:rsidRDefault="0046093D" w:rsidP="009876AD">
      <w:pPr>
        <w:widowControl/>
        <w:spacing w:line="360" w:lineRule="auto"/>
        <w:contextualSpacing/>
        <w:jc w:val="center"/>
        <w:rPr>
          <w:rFonts w:ascii="Times New Roman" w:hAnsi="Times New Roman"/>
          <w:b/>
          <w:kern w:val="0"/>
          <w:sz w:val="40"/>
          <w:szCs w:val="40"/>
        </w:rPr>
      </w:pPr>
      <w:r w:rsidRPr="004A673D">
        <w:rPr>
          <w:rFonts w:ascii="Times New Roman" w:hAnsi="Times New Roman"/>
          <w:b/>
          <w:kern w:val="0"/>
          <w:sz w:val="40"/>
          <w:szCs w:val="40"/>
        </w:rPr>
        <w:t>中银盛利纯债一年定期开放债券型证券投资基金（</w:t>
      </w:r>
      <w:r w:rsidRPr="004A673D">
        <w:rPr>
          <w:rFonts w:ascii="Times New Roman" w:hAnsi="Times New Roman"/>
          <w:b/>
          <w:kern w:val="0"/>
          <w:sz w:val="40"/>
          <w:szCs w:val="40"/>
        </w:rPr>
        <w:t>LOF</w:t>
      </w:r>
      <w:r w:rsidRPr="004A673D">
        <w:rPr>
          <w:rFonts w:ascii="Times New Roman" w:hAnsi="Times New Roman"/>
          <w:b/>
          <w:kern w:val="0"/>
          <w:sz w:val="40"/>
          <w:szCs w:val="40"/>
        </w:rPr>
        <w:t>）</w:t>
      </w:r>
    </w:p>
    <w:p w:rsidR="002B4B0B" w:rsidRPr="004A673D" w:rsidRDefault="004417FB" w:rsidP="009876AD">
      <w:pPr>
        <w:widowControl/>
        <w:spacing w:line="360" w:lineRule="auto"/>
        <w:contextualSpacing/>
        <w:jc w:val="center"/>
        <w:rPr>
          <w:rFonts w:ascii="Times New Roman" w:hAnsi="Times New Roman"/>
          <w:b/>
          <w:kern w:val="0"/>
          <w:sz w:val="40"/>
          <w:szCs w:val="40"/>
        </w:rPr>
      </w:pPr>
      <w:r w:rsidRPr="004A673D">
        <w:rPr>
          <w:rFonts w:ascii="Times New Roman" w:hAnsi="Times New Roman"/>
          <w:b/>
          <w:kern w:val="0"/>
          <w:sz w:val="40"/>
          <w:szCs w:val="40"/>
        </w:rPr>
        <w:t>清算报告</w:t>
      </w:r>
    </w:p>
    <w:p w:rsidR="00D63DE0" w:rsidRPr="004A673D" w:rsidRDefault="00D63DE0" w:rsidP="009876AD">
      <w:pPr>
        <w:spacing w:line="360" w:lineRule="auto"/>
        <w:contextualSpacing/>
        <w:rPr>
          <w:rFonts w:ascii="Times New Roman" w:hAnsi="Times New Roman"/>
          <w:b/>
          <w:sz w:val="40"/>
          <w:szCs w:val="40"/>
        </w:rPr>
      </w:pPr>
    </w:p>
    <w:p w:rsidR="00D63DE0" w:rsidRPr="004A673D" w:rsidRDefault="00D63DE0" w:rsidP="009876AD">
      <w:pPr>
        <w:spacing w:line="360" w:lineRule="auto"/>
        <w:contextualSpacing/>
        <w:rPr>
          <w:rFonts w:ascii="Times New Roman" w:hAnsi="Times New Roman"/>
          <w:b/>
          <w:sz w:val="40"/>
          <w:szCs w:val="40"/>
        </w:rPr>
      </w:pPr>
    </w:p>
    <w:p w:rsidR="00D63DE0" w:rsidRPr="004A673D" w:rsidRDefault="00D63DE0" w:rsidP="009876AD">
      <w:pPr>
        <w:spacing w:line="360" w:lineRule="auto"/>
        <w:contextualSpacing/>
        <w:rPr>
          <w:rFonts w:ascii="Times New Roman" w:hAnsi="Times New Roman"/>
          <w:b/>
          <w:sz w:val="24"/>
          <w:szCs w:val="24"/>
        </w:rPr>
      </w:pPr>
    </w:p>
    <w:p w:rsidR="00D63DE0" w:rsidRPr="004A673D" w:rsidRDefault="00D63DE0" w:rsidP="009876AD">
      <w:pPr>
        <w:spacing w:line="360" w:lineRule="auto"/>
        <w:contextualSpacing/>
        <w:rPr>
          <w:rFonts w:ascii="Times New Roman" w:hAnsi="Times New Roman"/>
          <w:b/>
          <w:sz w:val="24"/>
          <w:szCs w:val="24"/>
        </w:rPr>
      </w:pPr>
    </w:p>
    <w:p w:rsidR="00D63DE0" w:rsidRPr="004A673D" w:rsidRDefault="00D63DE0" w:rsidP="009876AD">
      <w:pPr>
        <w:spacing w:line="360" w:lineRule="auto"/>
        <w:contextualSpacing/>
        <w:rPr>
          <w:rFonts w:ascii="Times New Roman" w:hAnsi="Times New Roman"/>
          <w:b/>
          <w:sz w:val="24"/>
          <w:szCs w:val="24"/>
        </w:rPr>
      </w:pPr>
    </w:p>
    <w:p w:rsidR="00D63DE0" w:rsidRPr="004A673D" w:rsidRDefault="00D63DE0" w:rsidP="009876AD">
      <w:pPr>
        <w:spacing w:line="360" w:lineRule="auto"/>
        <w:contextualSpacing/>
        <w:rPr>
          <w:rFonts w:ascii="Times New Roman" w:hAnsi="Times New Roman"/>
          <w:b/>
          <w:sz w:val="24"/>
          <w:szCs w:val="24"/>
        </w:rPr>
      </w:pPr>
    </w:p>
    <w:p w:rsidR="00D63DE0" w:rsidRPr="004A673D" w:rsidRDefault="00D63DE0" w:rsidP="009876AD">
      <w:pPr>
        <w:spacing w:line="360" w:lineRule="auto"/>
        <w:contextualSpacing/>
        <w:rPr>
          <w:rFonts w:ascii="Times New Roman" w:hAnsi="Times New Roman"/>
          <w:b/>
          <w:sz w:val="24"/>
          <w:szCs w:val="24"/>
        </w:rPr>
      </w:pPr>
    </w:p>
    <w:p w:rsidR="00D63DE0" w:rsidRPr="004A673D" w:rsidRDefault="00D63DE0" w:rsidP="009876AD">
      <w:pPr>
        <w:spacing w:line="360" w:lineRule="auto"/>
        <w:contextualSpacing/>
        <w:rPr>
          <w:rFonts w:ascii="Times New Roman" w:hAnsi="Times New Roman"/>
          <w:b/>
          <w:sz w:val="24"/>
          <w:szCs w:val="24"/>
        </w:rPr>
      </w:pPr>
    </w:p>
    <w:p w:rsidR="009059F9" w:rsidRPr="004A673D" w:rsidRDefault="009059F9" w:rsidP="009876AD">
      <w:pPr>
        <w:spacing w:line="360" w:lineRule="auto"/>
        <w:ind w:leftChars="675" w:left="1418"/>
        <w:contextualSpacing/>
        <w:rPr>
          <w:rFonts w:ascii="Times New Roman" w:hAnsi="Times New Roman"/>
          <w:b/>
          <w:sz w:val="28"/>
          <w:szCs w:val="28"/>
        </w:rPr>
      </w:pPr>
      <w:r w:rsidRPr="004A673D">
        <w:rPr>
          <w:rFonts w:ascii="Times New Roman" w:hAnsi="Times New Roman"/>
          <w:b/>
          <w:sz w:val="28"/>
          <w:szCs w:val="28"/>
        </w:rPr>
        <w:t>基金管理人：</w:t>
      </w:r>
      <w:r w:rsidR="00D63DE0" w:rsidRPr="004A673D">
        <w:rPr>
          <w:rFonts w:ascii="Times New Roman" w:hAnsi="Times New Roman"/>
          <w:b/>
          <w:sz w:val="28"/>
          <w:szCs w:val="28"/>
        </w:rPr>
        <w:t>中银基金</w:t>
      </w:r>
      <w:r w:rsidR="0035081B" w:rsidRPr="004A673D">
        <w:rPr>
          <w:rFonts w:ascii="Times New Roman" w:hAnsi="Times New Roman"/>
          <w:b/>
          <w:sz w:val="28"/>
          <w:szCs w:val="28"/>
        </w:rPr>
        <w:t>管理</w:t>
      </w:r>
      <w:r w:rsidRPr="004A673D">
        <w:rPr>
          <w:rFonts w:ascii="Times New Roman" w:hAnsi="Times New Roman"/>
          <w:b/>
          <w:sz w:val="28"/>
          <w:szCs w:val="28"/>
        </w:rPr>
        <w:t>有限公司</w:t>
      </w:r>
    </w:p>
    <w:p w:rsidR="009059F9" w:rsidRPr="004A673D" w:rsidRDefault="009059F9" w:rsidP="009876AD">
      <w:pPr>
        <w:spacing w:line="360" w:lineRule="auto"/>
        <w:ind w:leftChars="675" w:left="1418"/>
        <w:contextualSpacing/>
        <w:rPr>
          <w:rFonts w:ascii="Times New Roman" w:hAnsi="Times New Roman"/>
          <w:b/>
          <w:sz w:val="28"/>
          <w:szCs w:val="28"/>
        </w:rPr>
      </w:pPr>
      <w:r w:rsidRPr="004A673D">
        <w:rPr>
          <w:rFonts w:ascii="Times New Roman" w:hAnsi="Times New Roman"/>
          <w:b/>
          <w:sz w:val="28"/>
          <w:szCs w:val="28"/>
        </w:rPr>
        <w:t>基金托管人：</w:t>
      </w:r>
      <w:r w:rsidR="0046093D" w:rsidRPr="004A673D">
        <w:rPr>
          <w:rFonts w:ascii="Times New Roman" w:hAnsi="Times New Roman"/>
          <w:b/>
          <w:sz w:val="28"/>
          <w:szCs w:val="28"/>
        </w:rPr>
        <w:t>中国工商银行股份有限公司</w:t>
      </w:r>
    </w:p>
    <w:p w:rsidR="00E13EC5" w:rsidRPr="004A673D" w:rsidRDefault="00E13EC5" w:rsidP="009876AD">
      <w:pPr>
        <w:spacing w:line="360" w:lineRule="auto"/>
        <w:ind w:leftChars="675" w:left="1418"/>
        <w:contextualSpacing/>
        <w:rPr>
          <w:rFonts w:ascii="Times New Roman" w:hAnsi="Times New Roman"/>
          <w:b/>
          <w:sz w:val="28"/>
          <w:szCs w:val="28"/>
        </w:rPr>
      </w:pPr>
      <w:r w:rsidRPr="004A673D">
        <w:rPr>
          <w:rFonts w:ascii="Times New Roman" w:hAnsi="Times New Roman"/>
          <w:b/>
          <w:sz w:val="28"/>
          <w:szCs w:val="28"/>
        </w:rPr>
        <w:t>清算报告出具日：</w:t>
      </w:r>
      <w:r w:rsidR="0046093D" w:rsidRPr="004A673D">
        <w:rPr>
          <w:rFonts w:ascii="Times New Roman" w:hAnsi="Times New Roman" w:hint="eastAsia"/>
          <w:b/>
          <w:sz w:val="28"/>
          <w:szCs w:val="28"/>
        </w:rPr>
        <w:t>2020</w:t>
      </w:r>
      <w:r w:rsidR="00280E8B" w:rsidRPr="004A673D">
        <w:rPr>
          <w:rFonts w:ascii="Times New Roman" w:hAnsi="Times New Roman"/>
          <w:b/>
          <w:sz w:val="28"/>
          <w:szCs w:val="28"/>
        </w:rPr>
        <w:t>年</w:t>
      </w:r>
      <w:r w:rsidR="004A673D" w:rsidRPr="004A673D">
        <w:rPr>
          <w:rFonts w:ascii="Times New Roman" w:hAnsi="Times New Roman" w:hint="eastAsia"/>
          <w:b/>
          <w:sz w:val="28"/>
          <w:szCs w:val="28"/>
        </w:rPr>
        <w:t>12</w:t>
      </w:r>
      <w:r w:rsidR="004B0B75" w:rsidRPr="004A673D">
        <w:rPr>
          <w:rFonts w:ascii="Times New Roman" w:hAnsi="Times New Roman"/>
          <w:b/>
          <w:sz w:val="28"/>
          <w:szCs w:val="28"/>
        </w:rPr>
        <w:t>月</w:t>
      </w:r>
      <w:r w:rsidR="004A673D" w:rsidRPr="004A673D">
        <w:rPr>
          <w:rFonts w:ascii="Times New Roman" w:hAnsi="Times New Roman" w:hint="eastAsia"/>
          <w:b/>
          <w:sz w:val="28"/>
          <w:szCs w:val="28"/>
        </w:rPr>
        <w:t>11</w:t>
      </w:r>
      <w:r w:rsidRPr="004A673D">
        <w:rPr>
          <w:rFonts w:ascii="Times New Roman" w:hAnsi="Times New Roman"/>
          <w:b/>
          <w:sz w:val="28"/>
          <w:szCs w:val="28"/>
        </w:rPr>
        <w:t>日</w:t>
      </w:r>
    </w:p>
    <w:p w:rsidR="009059F9" w:rsidRPr="004A673D" w:rsidRDefault="00E13EC5" w:rsidP="009876AD">
      <w:pPr>
        <w:spacing w:line="360" w:lineRule="auto"/>
        <w:ind w:leftChars="675" w:left="1418"/>
        <w:contextualSpacing/>
        <w:rPr>
          <w:rFonts w:ascii="Times New Roman" w:hAnsi="Times New Roman"/>
          <w:b/>
          <w:sz w:val="28"/>
          <w:szCs w:val="28"/>
        </w:rPr>
      </w:pPr>
      <w:r w:rsidRPr="004A673D">
        <w:rPr>
          <w:rFonts w:ascii="Times New Roman" w:hAnsi="Times New Roman"/>
          <w:b/>
          <w:sz w:val="28"/>
          <w:szCs w:val="28"/>
        </w:rPr>
        <w:t>清算报告</w:t>
      </w:r>
      <w:r w:rsidR="00D63DE0" w:rsidRPr="004A673D">
        <w:rPr>
          <w:rFonts w:ascii="Times New Roman" w:hAnsi="Times New Roman"/>
          <w:b/>
          <w:sz w:val="28"/>
          <w:szCs w:val="28"/>
        </w:rPr>
        <w:t>公告</w:t>
      </w:r>
      <w:r w:rsidR="009059F9" w:rsidRPr="004A673D">
        <w:rPr>
          <w:rFonts w:ascii="Times New Roman" w:hAnsi="Times New Roman"/>
          <w:b/>
          <w:sz w:val="28"/>
          <w:szCs w:val="28"/>
        </w:rPr>
        <w:t>日：</w:t>
      </w:r>
      <w:r w:rsidR="0046093D" w:rsidRPr="004A673D">
        <w:rPr>
          <w:rFonts w:ascii="Times New Roman" w:hAnsi="Times New Roman" w:hint="eastAsia"/>
          <w:b/>
          <w:sz w:val="28"/>
          <w:szCs w:val="28"/>
        </w:rPr>
        <w:t>2020</w:t>
      </w:r>
      <w:r w:rsidR="0046093D" w:rsidRPr="004A673D">
        <w:rPr>
          <w:rFonts w:ascii="Times New Roman" w:hAnsi="Times New Roman"/>
          <w:b/>
          <w:sz w:val="28"/>
          <w:szCs w:val="28"/>
        </w:rPr>
        <w:t>年</w:t>
      </w:r>
      <w:r w:rsidR="004A673D" w:rsidRPr="004A673D">
        <w:rPr>
          <w:rFonts w:ascii="Times New Roman" w:hAnsi="Times New Roman" w:hint="eastAsia"/>
          <w:b/>
          <w:sz w:val="28"/>
          <w:szCs w:val="28"/>
        </w:rPr>
        <w:t>12</w:t>
      </w:r>
      <w:r w:rsidR="0046093D" w:rsidRPr="004A673D">
        <w:rPr>
          <w:rFonts w:ascii="Times New Roman" w:hAnsi="Times New Roman"/>
          <w:b/>
          <w:sz w:val="28"/>
          <w:szCs w:val="28"/>
        </w:rPr>
        <w:t>月</w:t>
      </w:r>
      <w:r w:rsidR="004A673D" w:rsidRPr="004A673D">
        <w:rPr>
          <w:rFonts w:ascii="Times New Roman" w:hAnsi="Times New Roman" w:hint="eastAsia"/>
          <w:b/>
          <w:sz w:val="28"/>
          <w:szCs w:val="28"/>
        </w:rPr>
        <w:t>17</w:t>
      </w:r>
      <w:r w:rsidR="0046093D" w:rsidRPr="004A673D">
        <w:rPr>
          <w:rFonts w:ascii="Times New Roman" w:hAnsi="Times New Roman"/>
          <w:b/>
          <w:sz w:val="28"/>
          <w:szCs w:val="28"/>
        </w:rPr>
        <w:t>日</w:t>
      </w:r>
    </w:p>
    <w:p w:rsidR="009059F9" w:rsidRPr="004A673D" w:rsidRDefault="009059F9" w:rsidP="009876AD">
      <w:pPr>
        <w:spacing w:line="360" w:lineRule="auto"/>
        <w:ind w:leftChars="675" w:left="1418"/>
        <w:contextualSpacing/>
        <w:rPr>
          <w:rFonts w:ascii="Times New Roman" w:hAnsi="Times New Roman"/>
          <w:b/>
          <w:sz w:val="28"/>
          <w:szCs w:val="28"/>
        </w:rPr>
      </w:pPr>
    </w:p>
    <w:p w:rsidR="009059F9" w:rsidRPr="004A673D" w:rsidRDefault="009059F9" w:rsidP="009876AD">
      <w:pPr>
        <w:widowControl/>
        <w:spacing w:line="360" w:lineRule="auto"/>
        <w:contextualSpacing/>
        <w:jc w:val="left"/>
        <w:rPr>
          <w:rFonts w:ascii="Times New Roman" w:hAnsi="Times New Roman"/>
          <w:sz w:val="24"/>
          <w:szCs w:val="24"/>
        </w:rPr>
      </w:pPr>
      <w:r w:rsidRPr="004A673D">
        <w:rPr>
          <w:rFonts w:ascii="Times New Roman" w:hAnsi="Times New Roman"/>
          <w:sz w:val="24"/>
          <w:szCs w:val="24"/>
        </w:rPr>
        <w:br w:type="page"/>
      </w:r>
    </w:p>
    <w:p w:rsidR="009059F9" w:rsidRPr="004A673D" w:rsidRDefault="009059F9" w:rsidP="00524862">
      <w:pPr>
        <w:pStyle w:val="aa"/>
        <w:numPr>
          <w:ilvl w:val="0"/>
          <w:numId w:val="2"/>
        </w:numPr>
        <w:spacing w:line="360" w:lineRule="auto"/>
        <w:ind w:firstLineChars="0"/>
        <w:contextualSpacing/>
        <w:jc w:val="center"/>
        <w:rPr>
          <w:rFonts w:ascii="Times New Roman" w:hAnsi="Times New Roman"/>
          <w:b/>
          <w:sz w:val="24"/>
          <w:szCs w:val="24"/>
        </w:rPr>
      </w:pPr>
      <w:r w:rsidRPr="004A673D">
        <w:rPr>
          <w:rFonts w:ascii="Times New Roman" w:hAnsi="Times New Roman"/>
          <w:b/>
          <w:sz w:val="24"/>
          <w:szCs w:val="24"/>
        </w:rPr>
        <w:t>重要提示</w:t>
      </w:r>
    </w:p>
    <w:p w:rsidR="00127BCA" w:rsidRPr="004A673D" w:rsidRDefault="00127BCA" w:rsidP="00432F6C">
      <w:pPr>
        <w:overflowPunct w:val="0"/>
        <w:autoSpaceDE w:val="0"/>
        <w:autoSpaceDN w:val="0"/>
        <w:snapToGrid w:val="0"/>
        <w:spacing w:line="360" w:lineRule="auto"/>
        <w:ind w:firstLineChars="200" w:firstLine="480"/>
        <w:jc w:val="left"/>
        <w:rPr>
          <w:rFonts w:ascii="Times New Roman" w:hAnsi="Times New Roman"/>
          <w:sz w:val="24"/>
          <w:szCs w:val="24"/>
        </w:rPr>
      </w:pPr>
    </w:p>
    <w:p w:rsidR="009059F9" w:rsidRPr="004A673D" w:rsidRDefault="0046093D"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中银盛利纯债一年定期开放债券型证券投资基金（</w:t>
      </w:r>
      <w:r w:rsidRPr="004A673D">
        <w:rPr>
          <w:rFonts w:ascii="Times New Roman" w:hAnsi="Times New Roman"/>
          <w:sz w:val="24"/>
          <w:szCs w:val="24"/>
        </w:rPr>
        <w:t>LOF</w:t>
      </w:r>
      <w:r w:rsidRPr="004A673D">
        <w:rPr>
          <w:rFonts w:ascii="Times New Roman" w:hAnsi="Times New Roman"/>
          <w:sz w:val="24"/>
          <w:szCs w:val="24"/>
        </w:rPr>
        <w:t>）</w:t>
      </w:r>
      <w:r w:rsidR="009059F9" w:rsidRPr="004A673D">
        <w:rPr>
          <w:rFonts w:ascii="Times New Roman" w:hAnsi="Times New Roman"/>
          <w:sz w:val="24"/>
          <w:szCs w:val="24"/>
        </w:rPr>
        <w:t>（以下简称</w:t>
      </w:r>
      <w:r w:rsidR="009059F9" w:rsidRPr="004A673D">
        <w:rPr>
          <w:rFonts w:ascii="Times New Roman" w:hAnsi="Times New Roman"/>
          <w:sz w:val="24"/>
          <w:szCs w:val="24"/>
        </w:rPr>
        <w:t>“</w:t>
      </w:r>
      <w:r w:rsidR="009059F9" w:rsidRPr="004A673D">
        <w:rPr>
          <w:rFonts w:ascii="Times New Roman" w:hAnsi="Times New Roman"/>
          <w:sz w:val="24"/>
          <w:szCs w:val="24"/>
        </w:rPr>
        <w:t>本基金</w:t>
      </w:r>
      <w:r w:rsidR="009059F9" w:rsidRPr="004A673D">
        <w:rPr>
          <w:rFonts w:ascii="Times New Roman" w:hAnsi="Times New Roman"/>
          <w:sz w:val="24"/>
          <w:szCs w:val="24"/>
        </w:rPr>
        <w:t>”</w:t>
      </w:r>
      <w:r w:rsidR="009059F9" w:rsidRPr="004A673D">
        <w:rPr>
          <w:rFonts w:ascii="Times New Roman" w:hAnsi="Times New Roman"/>
          <w:sz w:val="24"/>
          <w:szCs w:val="24"/>
        </w:rPr>
        <w:t>）经中国证券监督管理委员会</w:t>
      </w:r>
      <w:r w:rsidR="00C3228C" w:rsidRPr="004A673D">
        <w:rPr>
          <w:rFonts w:ascii="Times New Roman" w:hAnsi="Times New Roman"/>
          <w:sz w:val="24"/>
          <w:szCs w:val="24"/>
        </w:rPr>
        <w:t>（以下简称</w:t>
      </w:r>
      <w:r w:rsidR="00C3228C" w:rsidRPr="004A673D">
        <w:rPr>
          <w:rFonts w:ascii="Times New Roman" w:hAnsi="Times New Roman"/>
          <w:sz w:val="24"/>
          <w:szCs w:val="24"/>
        </w:rPr>
        <w:t>“</w:t>
      </w:r>
      <w:r w:rsidR="00C3228C" w:rsidRPr="004A673D">
        <w:rPr>
          <w:rFonts w:ascii="Times New Roman" w:hAnsi="Times New Roman"/>
          <w:sz w:val="24"/>
          <w:szCs w:val="24"/>
        </w:rPr>
        <w:t>中国证监会</w:t>
      </w:r>
      <w:r w:rsidR="00C3228C" w:rsidRPr="004A673D">
        <w:rPr>
          <w:rFonts w:ascii="Times New Roman" w:hAnsi="Times New Roman"/>
          <w:sz w:val="24"/>
          <w:szCs w:val="24"/>
        </w:rPr>
        <w:t>”</w:t>
      </w:r>
      <w:r w:rsidR="00C3228C" w:rsidRPr="004A673D">
        <w:rPr>
          <w:rFonts w:ascii="Times New Roman" w:hAnsi="Times New Roman"/>
          <w:sz w:val="24"/>
          <w:szCs w:val="24"/>
        </w:rPr>
        <w:t>）</w:t>
      </w:r>
      <w:r w:rsidR="009059F9" w:rsidRPr="004A673D">
        <w:rPr>
          <w:rFonts w:ascii="Times New Roman" w:hAnsi="Times New Roman"/>
          <w:sz w:val="24"/>
          <w:szCs w:val="24"/>
        </w:rPr>
        <w:t>证监许可</w:t>
      </w:r>
      <w:r w:rsidRPr="004A673D">
        <w:rPr>
          <w:rFonts w:ascii="Times New Roman" w:hAnsi="Times New Roman"/>
          <w:sz w:val="24"/>
          <w:szCs w:val="24"/>
        </w:rPr>
        <w:t>【</w:t>
      </w:r>
      <w:r w:rsidRPr="004A673D">
        <w:rPr>
          <w:rFonts w:ascii="Times New Roman" w:hAnsi="Times New Roman" w:hint="eastAsia"/>
          <w:sz w:val="24"/>
          <w:szCs w:val="24"/>
        </w:rPr>
        <w:t>2013</w:t>
      </w:r>
      <w:r w:rsidR="001D0025" w:rsidRPr="004A673D">
        <w:rPr>
          <w:rFonts w:ascii="Times New Roman" w:hAnsi="Times New Roman"/>
          <w:sz w:val="24"/>
          <w:szCs w:val="24"/>
        </w:rPr>
        <w:t>】</w:t>
      </w:r>
      <w:r w:rsidRPr="004A673D">
        <w:rPr>
          <w:rFonts w:ascii="Times New Roman" w:hAnsi="Times New Roman" w:hint="eastAsia"/>
          <w:sz w:val="24"/>
          <w:szCs w:val="24"/>
        </w:rPr>
        <w:t>609</w:t>
      </w:r>
      <w:r w:rsidR="001D0025" w:rsidRPr="004A673D">
        <w:rPr>
          <w:rFonts w:ascii="Times New Roman" w:hAnsi="Times New Roman"/>
          <w:sz w:val="24"/>
          <w:szCs w:val="24"/>
        </w:rPr>
        <w:t>号</w:t>
      </w:r>
      <w:r w:rsidR="009059F9" w:rsidRPr="004A673D">
        <w:rPr>
          <w:rFonts w:ascii="Times New Roman" w:hAnsi="Times New Roman"/>
          <w:sz w:val="24"/>
          <w:szCs w:val="24"/>
        </w:rPr>
        <w:t>文</w:t>
      </w:r>
      <w:r w:rsidR="000D4D44" w:rsidRPr="004A673D">
        <w:rPr>
          <w:rFonts w:ascii="Times New Roman" w:hAnsi="Times New Roman"/>
          <w:sz w:val="24"/>
          <w:szCs w:val="24"/>
        </w:rPr>
        <w:t>注册</w:t>
      </w:r>
      <w:r w:rsidR="009059F9" w:rsidRPr="004A673D">
        <w:rPr>
          <w:rFonts w:ascii="Times New Roman" w:hAnsi="Times New Roman"/>
          <w:sz w:val="24"/>
          <w:szCs w:val="24"/>
        </w:rPr>
        <w:t>募集，于</w:t>
      </w:r>
      <w:r w:rsidRPr="004A673D">
        <w:rPr>
          <w:rFonts w:ascii="Times New Roman" w:hAnsi="Times New Roman" w:hint="eastAsia"/>
          <w:sz w:val="24"/>
          <w:szCs w:val="24"/>
        </w:rPr>
        <w:t>2013</w:t>
      </w:r>
      <w:r w:rsidR="009059F9" w:rsidRPr="004A673D">
        <w:rPr>
          <w:rFonts w:ascii="Times New Roman" w:hAnsi="Times New Roman"/>
          <w:sz w:val="24"/>
          <w:szCs w:val="24"/>
        </w:rPr>
        <w:t>年</w:t>
      </w:r>
      <w:r w:rsidRPr="004A673D">
        <w:rPr>
          <w:rFonts w:ascii="Times New Roman" w:hAnsi="Times New Roman" w:hint="eastAsia"/>
          <w:sz w:val="24"/>
          <w:szCs w:val="24"/>
        </w:rPr>
        <w:t>8</w:t>
      </w:r>
      <w:r w:rsidR="009059F9" w:rsidRPr="004A673D">
        <w:rPr>
          <w:rFonts w:ascii="Times New Roman" w:hAnsi="Times New Roman"/>
          <w:sz w:val="24"/>
          <w:szCs w:val="24"/>
        </w:rPr>
        <w:t>月</w:t>
      </w:r>
      <w:r w:rsidRPr="004A673D">
        <w:rPr>
          <w:rFonts w:ascii="Times New Roman" w:hAnsi="Times New Roman" w:hint="eastAsia"/>
          <w:sz w:val="24"/>
          <w:szCs w:val="24"/>
        </w:rPr>
        <w:t>8</w:t>
      </w:r>
      <w:r w:rsidR="009059F9" w:rsidRPr="004A673D">
        <w:rPr>
          <w:rFonts w:ascii="Times New Roman" w:hAnsi="Times New Roman"/>
          <w:sz w:val="24"/>
          <w:szCs w:val="24"/>
        </w:rPr>
        <w:t>日成立并正式运作，</w:t>
      </w:r>
      <w:r w:rsidR="00265D79" w:rsidRPr="004A673D">
        <w:rPr>
          <w:rFonts w:ascii="Times New Roman" w:hAnsi="Times New Roman"/>
          <w:sz w:val="24"/>
          <w:szCs w:val="24"/>
        </w:rPr>
        <w:t>本基金的基金管理人为中银基金管理有限公司（以下简称</w:t>
      </w:r>
      <w:r w:rsidR="00265D79" w:rsidRPr="004A673D">
        <w:rPr>
          <w:rFonts w:ascii="Times New Roman" w:hAnsi="Times New Roman"/>
          <w:sz w:val="24"/>
          <w:szCs w:val="24"/>
        </w:rPr>
        <w:t>“</w:t>
      </w:r>
      <w:r w:rsidR="00265D79" w:rsidRPr="004A673D">
        <w:rPr>
          <w:rFonts w:ascii="Times New Roman" w:hAnsi="Times New Roman"/>
          <w:sz w:val="24"/>
          <w:szCs w:val="24"/>
        </w:rPr>
        <w:t>基金管理人</w:t>
      </w:r>
      <w:r w:rsidR="00265D79" w:rsidRPr="004A673D">
        <w:rPr>
          <w:rFonts w:ascii="Times New Roman" w:hAnsi="Times New Roman"/>
          <w:sz w:val="24"/>
          <w:szCs w:val="24"/>
        </w:rPr>
        <w:t>”</w:t>
      </w:r>
      <w:r w:rsidR="00265D79" w:rsidRPr="004A673D">
        <w:rPr>
          <w:rFonts w:ascii="Times New Roman" w:hAnsi="Times New Roman"/>
          <w:sz w:val="24"/>
          <w:szCs w:val="24"/>
        </w:rPr>
        <w:t>或</w:t>
      </w:r>
      <w:r w:rsidR="00265D79" w:rsidRPr="004A673D">
        <w:rPr>
          <w:rFonts w:ascii="Times New Roman" w:hAnsi="Times New Roman"/>
          <w:sz w:val="24"/>
          <w:szCs w:val="24"/>
        </w:rPr>
        <w:t>“</w:t>
      </w:r>
      <w:r w:rsidR="00265D79" w:rsidRPr="004A673D">
        <w:rPr>
          <w:rFonts w:ascii="Times New Roman" w:hAnsi="Times New Roman"/>
          <w:sz w:val="24"/>
          <w:szCs w:val="24"/>
        </w:rPr>
        <w:t>本基金管理人</w:t>
      </w:r>
      <w:r w:rsidR="00265D79" w:rsidRPr="004A673D">
        <w:rPr>
          <w:rFonts w:ascii="Times New Roman" w:hAnsi="Times New Roman"/>
          <w:sz w:val="24"/>
          <w:szCs w:val="24"/>
        </w:rPr>
        <w:t>”</w:t>
      </w:r>
      <w:r w:rsidR="00265D79" w:rsidRPr="004A673D">
        <w:rPr>
          <w:rFonts w:ascii="Times New Roman" w:hAnsi="Times New Roman"/>
          <w:sz w:val="24"/>
          <w:szCs w:val="24"/>
        </w:rPr>
        <w:t>），</w:t>
      </w:r>
      <w:r w:rsidR="009059F9" w:rsidRPr="004A673D">
        <w:rPr>
          <w:rFonts w:ascii="Times New Roman" w:hAnsi="Times New Roman"/>
          <w:sz w:val="24"/>
          <w:szCs w:val="24"/>
        </w:rPr>
        <w:t>基金托管人为</w:t>
      </w:r>
      <w:r w:rsidRPr="004A673D">
        <w:rPr>
          <w:rFonts w:ascii="Times New Roman" w:hAnsi="Times New Roman"/>
          <w:sz w:val="24"/>
          <w:szCs w:val="24"/>
        </w:rPr>
        <w:t>中国工商银行股份有限公司</w:t>
      </w:r>
      <w:r w:rsidR="00CE53F3" w:rsidRPr="004A673D">
        <w:rPr>
          <w:rFonts w:ascii="Times New Roman" w:hAnsi="Times New Roman"/>
          <w:sz w:val="24"/>
          <w:szCs w:val="24"/>
        </w:rPr>
        <w:t>（以下简称</w:t>
      </w:r>
      <w:r w:rsidR="00CE53F3" w:rsidRPr="004A673D">
        <w:rPr>
          <w:rFonts w:ascii="Times New Roman" w:hAnsi="Times New Roman"/>
          <w:sz w:val="24"/>
          <w:szCs w:val="24"/>
        </w:rPr>
        <w:t>“</w:t>
      </w:r>
      <w:r w:rsidR="00CE53F3" w:rsidRPr="004A673D">
        <w:rPr>
          <w:rFonts w:ascii="Times New Roman" w:hAnsi="Times New Roman"/>
          <w:sz w:val="24"/>
          <w:szCs w:val="24"/>
        </w:rPr>
        <w:t>基金托管人</w:t>
      </w:r>
      <w:r w:rsidR="00CE53F3" w:rsidRPr="004A673D">
        <w:rPr>
          <w:rFonts w:ascii="Times New Roman" w:hAnsi="Times New Roman"/>
          <w:sz w:val="24"/>
          <w:szCs w:val="24"/>
        </w:rPr>
        <w:t>”</w:t>
      </w:r>
      <w:r w:rsidR="00CE53F3" w:rsidRPr="004A673D">
        <w:rPr>
          <w:rFonts w:ascii="Times New Roman" w:hAnsi="Times New Roman"/>
          <w:sz w:val="24"/>
          <w:szCs w:val="24"/>
        </w:rPr>
        <w:t>）</w:t>
      </w:r>
      <w:r w:rsidR="009059F9" w:rsidRPr="004A673D">
        <w:rPr>
          <w:rFonts w:ascii="Times New Roman" w:hAnsi="Times New Roman"/>
          <w:sz w:val="24"/>
          <w:szCs w:val="24"/>
        </w:rPr>
        <w:t>。</w:t>
      </w:r>
    </w:p>
    <w:p w:rsidR="00DA5244" w:rsidRPr="004A673D"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根据《中华人民共和国证券投资基金法》、《公开募集证券投资基金运作管理办法》和《</w:t>
      </w:r>
      <w:r w:rsidR="0046093D" w:rsidRPr="004A673D">
        <w:rPr>
          <w:rFonts w:ascii="Times New Roman" w:hAnsi="Times New Roman"/>
          <w:sz w:val="24"/>
          <w:szCs w:val="24"/>
        </w:rPr>
        <w:t>中银盛利纯债一年定期开放债券型证券投资基金（</w:t>
      </w:r>
      <w:r w:rsidR="0046093D" w:rsidRPr="004A673D">
        <w:rPr>
          <w:rFonts w:ascii="Times New Roman" w:hAnsi="Times New Roman"/>
          <w:sz w:val="24"/>
          <w:szCs w:val="24"/>
        </w:rPr>
        <w:t>LOF</w:t>
      </w:r>
      <w:r w:rsidR="0046093D" w:rsidRPr="004A673D">
        <w:rPr>
          <w:rFonts w:ascii="Times New Roman" w:hAnsi="Times New Roman"/>
          <w:sz w:val="24"/>
          <w:szCs w:val="24"/>
        </w:rPr>
        <w:t>）</w:t>
      </w:r>
      <w:r w:rsidRPr="004A673D">
        <w:rPr>
          <w:rFonts w:ascii="Times New Roman" w:hAnsi="Times New Roman"/>
          <w:sz w:val="24"/>
          <w:szCs w:val="24"/>
        </w:rPr>
        <w:t>基金合同》（以下简称</w:t>
      </w:r>
      <w:r w:rsidR="009B7D89" w:rsidRPr="004A673D">
        <w:rPr>
          <w:rFonts w:ascii="Times New Roman" w:hAnsi="Times New Roman"/>
          <w:sz w:val="24"/>
          <w:szCs w:val="24"/>
        </w:rPr>
        <w:t>“</w:t>
      </w:r>
      <w:r w:rsidRPr="004A673D">
        <w:rPr>
          <w:rFonts w:ascii="Times New Roman" w:hAnsi="Times New Roman"/>
          <w:sz w:val="24"/>
          <w:szCs w:val="24"/>
        </w:rPr>
        <w:t>《基金合同》</w:t>
      </w:r>
      <w:r w:rsidR="009B7D89" w:rsidRPr="004A673D">
        <w:rPr>
          <w:rFonts w:ascii="Times New Roman" w:hAnsi="Times New Roman"/>
          <w:sz w:val="24"/>
          <w:szCs w:val="24"/>
        </w:rPr>
        <w:t>”</w:t>
      </w:r>
      <w:r w:rsidR="00265D79" w:rsidRPr="004A673D">
        <w:rPr>
          <w:rFonts w:ascii="Times New Roman" w:hAnsi="Times New Roman"/>
          <w:sz w:val="24"/>
          <w:szCs w:val="24"/>
        </w:rPr>
        <w:t>或</w:t>
      </w:r>
      <w:r w:rsidR="00265D79" w:rsidRPr="004A673D">
        <w:rPr>
          <w:rFonts w:ascii="Times New Roman" w:hAnsi="Times New Roman"/>
          <w:sz w:val="24"/>
          <w:szCs w:val="24"/>
        </w:rPr>
        <w:t>“</w:t>
      </w:r>
      <w:r w:rsidR="00265D79" w:rsidRPr="004A673D">
        <w:rPr>
          <w:rFonts w:ascii="Times New Roman" w:hAnsi="Times New Roman"/>
          <w:sz w:val="24"/>
          <w:szCs w:val="24"/>
        </w:rPr>
        <w:t>基金合同</w:t>
      </w:r>
      <w:r w:rsidR="00265D79" w:rsidRPr="004A673D">
        <w:rPr>
          <w:rFonts w:ascii="Times New Roman" w:hAnsi="Times New Roman"/>
          <w:sz w:val="24"/>
          <w:szCs w:val="24"/>
        </w:rPr>
        <w:t>”</w:t>
      </w:r>
      <w:r w:rsidRPr="004A673D">
        <w:rPr>
          <w:rFonts w:ascii="Times New Roman" w:hAnsi="Times New Roman"/>
          <w:sz w:val="24"/>
          <w:szCs w:val="24"/>
        </w:rPr>
        <w:t>）的有关规定，</w:t>
      </w:r>
      <w:r w:rsidR="00890A8D" w:rsidRPr="004A673D">
        <w:rPr>
          <w:rFonts w:ascii="Times New Roman" w:hAnsi="Times New Roman"/>
          <w:sz w:val="24"/>
          <w:szCs w:val="24"/>
        </w:rPr>
        <w:t>“</w:t>
      </w:r>
      <w:r w:rsidR="0046093D" w:rsidRPr="004A673D">
        <w:rPr>
          <w:rFonts w:ascii="Times New Roman" w:hAnsi="Times New Roman" w:hint="eastAsia"/>
          <w:sz w:val="24"/>
          <w:szCs w:val="24"/>
        </w:rPr>
        <w:t>基金合同生效后，每个开放期期满时，基金前十大份额持有人持有基金份额总数超过基金总份额</w:t>
      </w:r>
      <w:r w:rsidR="0046093D" w:rsidRPr="004A673D">
        <w:rPr>
          <w:rFonts w:ascii="Times New Roman" w:hAnsi="Times New Roman" w:hint="eastAsia"/>
          <w:sz w:val="24"/>
          <w:szCs w:val="24"/>
        </w:rPr>
        <w:t>90%</w:t>
      </w:r>
      <w:r w:rsidR="0046093D" w:rsidRPr="004A673D">
        <w:rPr>
          <w:rFonts w:ascii="Times New Roman" w:hAnsi="Times New Roman" w:hint="eastAsia"/>
          <w:sz w:val="24"/>
          <w:szCs w:val="24"/>
        </w:rPr>
        <w:t>的</w:t>
      </w:r>
      <w:r w:rsidR="00C05659" w:rsidRPr="004A673D">
        <w:rPr>
          <w:rFonts w:ascii="Times New Roman" w:hAnsi="Times New Roman"/>
          <w:sz w:val="24"/>
          <w:szCs w:val="24"/>
        </w:rPr>
        <w:t>”</w:t>
      </w:r>
      <w:r w:rsidR="00F11CA5" w:rsidRPr="004A673D">
        <w:rPr>
          <w:rFonts w:ascii="Times New Roman" w:hAnsi="Times New Roman" w:hint="eastAsia"/>
          <w:sz w:val="24"/>
          <w:szCs w:val="24"/>
        </w:rPr>
        <w:t>，</w:t>
      </w:r>
      <w:r w:rsidR="0046093D" w:rsidRPr="004A673D">
        <w:rPr>
          <w:rFonts w:ascii="Times New Roman" w:hAnsi="Times New Roman" w:hint="eastAsia"/>
          <w:sz w:val="24"/>
          <w:szCs w:val="24"/>
        </w:rPr>
        <w:t>基金管理人与基金托管人协商一致后，有权终止基金合同</w:t>
      </w:r>
      <w:r w:rsidR="00E50F2A" w:rsidRPr="004A673D">
        <w:rPr>
          <w:rFonts w:ascii="Times New Roman" w:hAnsi="Times New Roman" w:hint="eastAsia"/>
          <w:sz w:val="24"/>
          <w:szCs w:val="24"/>
        </w:rPr>
        <w:t>，不需要召开基金份额持有人大会</w:t>
      </w:r>
      <w:r w:rsidR="00F16D1D" w:rsidRPr="004A673D">
        <w:rPr>
          <w:rFonts w:ascii="Times New Roman" w:hAnsi="Times New Roman"/>
          <w:sz w:val="24"/>
          <w:szCs w:val="24"/>
        </w:rPr>
        <w:t>。</w:t>
      </w:r>
      <w:r w:rsidR="0046093D" w:rsidRPr="004A673D">
        <w:rPr>
          <w:rFonts w:ascii="Times New Roman" w:hAnsi="Times New Roman" w:hint="eastAsia"/>
          <w:sz w:val="24"/>
          <w:szCs w:val="24"/>
        </w:rPr>
        <w:t>截至本次开放期末日</w:t>
      </w:r>
      <w:r w:rsidR="0046093D" w:rsidRPr="004A673D">
        <w:rPr>
          <w:rFonts w:ascii="Times New Roman" w:hAnsi="Times New Roman" w:hint="eastAsia"/>
          <w:sz w:val="24"/>
          <w:szCs w:val="24"/>
        </w:rPr>
        <w:t>2020</w:t>
      </w:r>
      <w:r w:rsidR="0046093D" w:rsidRPr="004A673D">
        <w:rPr>
          <w:rFonts w:ascii="Times New Roman" w:hAnsi="Times New Roman" w:hint="eastAsia"/>
          <w:sz w:val="24"/>
          <w:szCs w:val="24"/>
        </w:rPr>
        <w:t>年</w:t>
      </w:r>
      <w:r w:rsidR="0046093D" w:rsidRPr="004A673D">
        <w:rPr>
          <w:rFonts w:ascii="Times New Roman" w:hAnsi="Times New Roman" w:hint="eastAsia"/>
          <w:sz w:val="24"/>
          <w:szCs w:val="24"/>
        </w:rPr>
        <w:t>11</w:t>
      </w:r>
      <w:r w:rsidR="0046093D" w:rsidRPr="004A673D">
        <w:rPr>
          <w:rFonts w:ascii="Times New Roman" w:hAnsi="Times New Roman" w:hint="eastAsia"/>
          <w:sz w:val="24"/>
          <w:szCs w:val="24"/>
        </w:rPr>
        <w:t>月</w:t>
      </w:r>
      <w:r w:rsidR="0046093D" w:rsidRPr="004A673D">
        <w:rPr>
          <w:rFonts w:ascii="Times New Roman" w:hAnsi="Times New Roman" w:hint="eastAsia"/>
          <w:sz w:val="24"/>
          <w:szCs w:val="24"/>
        </w:rPr>
        <w:t>13</w:t>
      </w:r>
      <w:r w:rsidR="0046093D" w:rsidRPr="004A673D">
        <w:rPr>
          <w:rFonts w:ascii="Times New Roman" w:hAnsi="Times New Roman" w:hint="eastAsia"/>
          <w:sz w:val="24"/>
          <w:szCs w:val="24"/>
        </w:rPr>
        <w:t>日日终</w:t>
      </w:r>
      <w:r w:rsidR="00265D79" w:rsidRPr="004A673D">
        <w:rPr>
          <w:rFonts w:ascii="Times New Roman" w:hAnsi="Times New Roman"/>
          <w:sz w:val="24"/>
          <w:szCs w:val="24"/>
        </w:rPr>
        <w:t>，本基金</w:t>
      </w:r>
      <w:r w:rsidR="0046093D" w:rsidRPr="004A673D">
        <w:rPr>
          <w:rFonts w:ascii="Times New Roman" w:hAnsi="Times New Roman" w:hint="eastAsia"/>
          <w:sz w:val="24"/>
          <w:szCs w:val="24"/>
        </w:rPr>
        <w:t>前十大份额持有人持有基金份额总数为</w:t>
      </w:r>
      <w:r w:rsidR="0046093D" w:rsidRPr="004A673D">
        <w:rPr>
          <w:rFonts w:ascii="Times New Roman" w:hAnsi="Times New Roman" w:hint="eastAsia"/>
          <w:sz w:val="24"/>
          <w:szCs w:val="24"/>
        </w:rPr>
        <w:t>94.19%</w:t>
      </w:r>
      <w:r w:rsidR="0046093D" w:rsidRPr="004A673D">
        <w:rPr>
          <w:rFonts w:ascii="Times New Roman" w:hAnsi="Times New Roman" w:hint="eastAsia"/>
          <w:sz w:val="24"/>
          <w:szCs w:val="24"/>
        </w:rPr>
        <w:t>，超过基金总份额</w:t>
      </w:r>
      <w:r w:rsidR="0046093D" w:rsidRPr="004A673D">
        <w:rPr>
          <w:rFonts w:ascii="Times New Roman" w:hAnsi="Times New Roman" w:hint="eastAsia"/>
          <w:sz w:val="24"/>
          <w:szCs w:val="24"/>
        </w:rPr>
        <w:t>90%</w:t>
      </w:r>
      <w:r w:rsidR="0046093D" w:rsidRPr="004A673D">
        <w:rPr>
          <w:rFonts w:ascii="Times New Roman" w:hAnsi="Times New Roman" w:hint="eastAsia"/>
          <w:sz w:val="24"/>
          <w:szCs w:val="24"/>
        </w:rPr>
        <w:t>，满足触发《基金合同》终止的情形。</w:t>
      </w:r>
      <w:r w:rsidR="004C4733" w:rsidRPr="004A673D">
        <w:rPr>
          <w:rFonts w:ascii="Times New Roman" w:hAnsi="Times New Roman" w:hint="eastAsia"/>
          <w:sz w:val="24"/>
          <w:szCs w:val="24"/>
        </w:rPr>
        <w:t>基金管理人</w:t>
      </w:r>
      <w:r w:rsidR="0046093D" w:rsidRPr="004A673D">
        <w:rPr>
          <w:rFonts w:ascii="Times New Roman" w:hAnsi="Times New Roman" w:hint="eastAsia"/>
          <w:sz w:val="24"/>
          <w:szCs w:val="24"/>
        </w:rPr>
        <w:t>经与基金托管人中国</w:t>
      </w:r>
      <w:r w:rsidR="0046093D" w:rsidRPr="004A673D">
        <w:rPr>
          <w:rFonts w:ascii="Times New Roman" w:hAnsi="Times New Roman"/>
          <w:sz w:val="24"/>
          <w:szCs w:val="24"/>
        </w:rPr>
        <w:t>工商</w:t>
      </w:r>
      <w:r w:rsidR="0046093D" w:rsidRPr="004A673D">
        <w:rPr>
          <w:rFonts w:ascii="Times New Roman" w:hAnsi="Times New Roman" w:hint="eastAsia"/>
          <w:sz w:val="24"/>
          <w:szCs w:val="24"/>
        </w:rPr>
        <w:t>银行股份有限公司协商一致，决定终止《基金合同》。</w:t>
      </w:r>
      <w:r w:rsidR="00277EE0" w:rsidRPr="004A673D">
        <w:rPr>
          <w:rFonts w:ascii="Times New Roman" w:hAnsi="Times New Roman" w:hint="eastAsia"/>
          <w:sz w:val="24"/>
          <w:szCs w:val="24"/>
        </w:rPr>
        <w:t>本基金</w:t>
      </w:r>
      <w:r w:rsidR="00265D79" w:rsidRPr="004A673D">
        <w:rPr>
          <w:rFonts w:ascii="Times New Roman" w:hAnsi="Times New Roman"/>
          <w:sz w:val="24"/>
          <w:szCs w:val="24"/>
        </w:rPr>
        <w:t>已于</w:t>
      </w:r>
      <w:r w:rsidR="0046093D" w:rsidRPr="004A673D">
        <w:rPr>
          <w:rFonts w:ascii="Times New Roman" w:hAnsi="Times New Roman" w:hint="eastAsia"/>
          <w:sz w:val="24"/>
          <w:szCs w:val="24"/>
        </w:rPr>
        <w:t>2020</w:t>
      </w:r>
      <w:r w:rsidR="00E045AB" w:rsidRPr="004A673D">
        <w:rPr>
          <w:rFonts w:ascii="Times New Roman" w:hAnsi="Times New Roman"/>
          <w:sz w:val="24"/>
          <w:szCs w:val="24"/>
        </w:rPr>
        <w:t>年</w:t>
      </w:r>
      <w:r w:rsidR="00E045AB" w:rsidRPr="004A673D">
        <w:rPr>
          <w:rFonts w:ascii="Times New Roman" w:hAnsi="Times New Roman" w:hint="eastAsia"/>
          <w:sz w:val="24"/>
          <w:szCs w:val="24"/>
        </w:rPr>
        <w:t>11</w:t>
      </w:r>
      <w:r w:rsidR="00265D79" w:rsidRPr="004A673D">
        <w:rPr>
          <w:rFonts w:ascii="Times New Roman" w:hAnsi="Times New Roman"/>
          <w:sz w:val="24"/>
          <w:szCs w:val="24"/>
        </w:rPr>
        <w:t>月</w:t>
      </w:r>
      <w:r w:rsidR="0046093D" w:rsidRPr="004A673D">
        <w:rPr>
          <w:rFonts w:ascii="Times New Roman" w:hAnsi="Times New Roman" w:hint="eastAsia"/>
          <w:sz w:val="24"/>
          <w:szCs w:val="24"/>
        </w:rPr>
        <w:t>17</w:t>
      </w:r>
      <w:r w:rsidR="00265D79" w:rsidRPr="004A673D">
        <w:rPr>
          <w:rFonts w:ascii="Times New Roman" w:hAnsi="Times New Roman"/>
          <w:sz w:val="24"/>
          <w:szCs w:val="24"/>
        </w:rPr>
        <w:t>日进入</w:t>
      </w:r>
      <w:r w:rsidR="00E24EB2" w:rsidRPr="004A673D">
        <w:rPr>
          <w:rFonts w:ascii="Times New Roman" w:hAnsi="Times New Roman"/>
          <w:sz w:val="24"/>
          <w:szCs w:val="24"/>
        </w:rPr>
        <w:t>基金</w:t>
      </w:r>
      <w:r w:rsidR="00265D79" w:rsidRPr="004A673D">
        <w:rPr>
          <w:rFonts w:ascii="Times New Roman" w:hAnsi="Times New Roman"/>
          <w:sz w:val="24"/>
          <w:szCs w:val="24"/>
        </w:rPr>
        <w:t>财产清算程序。</w:t>
      </w:r>
    </w:p>
    <w:p w:rsidR="009059F9" w:rsidRPr="004A673D" w:rsidRDefault="00DA524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本基金基金合同终止及基金财产清算安排详见</w:t>
      </w:r>
      <w:r w:rsidR="000014EA" w:rsidRPr="004A673D">
        <w:rPr>
          <w:rFonts w:ascii="Times New Roman" w:hAnsi="Times New Roman" w:hint="eastAsia"/>
          <w:sz w:val="24"/>
          <w:szCs w:val="24"/>
        </w:rPr>
        <w:t>2020</w:t>
      </w:r>
      <w:r w:rsidR="000014EA" w:rsidRPr="004A673D">
        <w:rPr>
          <w:rFonts w:ascii="Times New Roman" w:hAnsi="Times New Roman"/>
          <w:sz w:val="24"/>
          <w:szCs w:val="24"/>
        </w:rPr>
        <w:t>年</w:t>
      </w:r>
      <w:r w:rsidR="000014EA" w:rsidRPr="004A673D">
        <w:rPr>
          <w:rFonts w:ascii="Times New Roman" w:hAnsi="Times New Roman" w:hint="eastAsia"/>
          <w:sz w:val="24"/>
          <w:szCs w:val="24"/>
        </w:rPr>
        <w:t>11</w:t>
      </w:r>
      <w:r w:rsidR="000014EA" w:rsidRPr="004A673D">
        <w:rPr>
          <w:rFonts w:ascii="Times New Roman" w:hAnsi="Times New Roman"/>
          <w:sz w:val="24"/>
          <w:szCs w:val="24"/>
        </w:rPr>
        <w:t>月</w:t>
      </w:r>
      <w:r w:rsidR="000014EA" w:rsidRPr="004A673D">
        <w:rPr>
          <w:rFonts w:ascii="Times New Roman" w:hAnsi="Times New Roman" w:hint="eastAsia"/>
          <w:sz w:val="24"/>
          <w:szCs w:val="24"/>
        </w:rPr>
        <w:t>17</w:t>
      </w:r>
      <w:r w:rsidR="000014EA" w:rsidRPr="004A673D">
        <w:rPr>
          <w:rFonts w:ascii="Times New Roman" w:hAnsi="Times New Roman"/>
          <w:sz w:val="24"/>
          <w:szCs w:val="24"/>
        </w:rPr>
        <w:t>日</w:t>
      </w:r>
      <w:r w:rsidRPr="004A673D">
        <w:rPr>
          <w:rFonts w:ascii="Times New Roman" w:hAnsi="Times New Roman"/>
          <w:sz w:val="24"/>
          <w:szCs w:val="24"/>
        </w:rPr>
        <w:t>刊登在</w:t>
      </w:r>
      <w:r w:rsidR="0046093D" w:rsidRPr="004A673D">
        <w:rPr>
          <w:rFonts w:ascii="Times New Roman" w:hAnsi="Times New Roman" w:hint="eastAsia"/>
          <w:sz w:val="24"/>
          <w:szCs w:val="24"/>
        </w:rPr>
        <w:t>规定报刊</w:t>
      </w:r>
      <w:r w:rsidR="00993F90" w:rsidRPr="004A673D">
        <w:rPr>
          <w:rFonts w:ascii="Times New Roman" w:hAnsi="Times New Roman"/>
          <w:sz w:val="24"/>
          <w:szCs w:val="24"/>
        </w:rPr>
        <w:t>和基金管理人网站（</w:t>
      </w:r>
      <w:hyperlink r:id="rId7" w:history="1">
        <w:r w:rsidR="00E905E2" w:rsidRPr="004A673D">
          <w:rPr>
            <w:rFonts w:ascii="Times New Roman" w:hAnsi="Times New Roman"/>
            <w:sz w:val="24"/>
            <w:szCs w:val="24"/>
          </w:rPr>
          <w:t>www.bocim.com</w:t>
        </w:r>
      </w:hyperlink>
      <w:r w:rsidR="00993F90" w:rsidRPr="004A673D">
        <w:rPr>
          <w:rFonts w:ascii="Times New Roman" w:hAnsi="Times New Roman"/>
          <w:sz w:val="24"/>
          <w:szCs w:val="24"/>
        </w:rPr>
        <w:t>）</w:t>
      </w:r>
      <w:r w:rsidR="0045704A" w:rsidRPr="004A673D">
        <w:rPr>
          <w:rFonts w:ascii="Times New Roman" w:hAnsi="Times New Roman"/>
          <w:sz w:val="24"/>
          <w:szCs w:val="24"/>
        </w:rPr>
        <w:t>的《关于</w:t>
      </w:r>
      <w:r w:rsidR="0046093D" w:rsidRPr="004A673D">
        <w:rPr>
          <w:rFonts w:ascii="Times New Roman" w:hAnsi="Times New Roman"/>
          <w:sz w:val="24"/>
          <w:szCs w:val="24"/>
        </w:rPr>
        <w:t>中银盛利纯债一年定期开放债券型证券投资基金（</w:t>
      </w:r>
      <w:r w:rsidR="0046093D" w:rsidRPr="004A673D">
        <w:rPr>
          <w:rFonts w:ascii="Times New Roman" w:hAnsi="Times New Roman"/>
          <w:sz w:val="24"/>
          <w:szCs w:val="24"/>
        </w:rPr>
        <w:t>LOF</w:t>
      </w:r>
      <w:r w:rsidR="0046093D" w:rsidRPr="004A673D">
        <w:rPr>
          <w:rFonts w:ascii="Times New Roman" w:hAnsi="Times New Roman"/>
          <w:sz w:val="24"/>
          <w:szCs w:val="24"/>
        </w:rPr>
        <w:t>）</w:t>
      </w:r>
      <w:r w:rsidR="0045704A" w:rsidRPr="004A673D">
        <w:rPr>
          <w:rFonts w:ascii="Times New Roman" w:hAnsi="Times New Roman"/>
          <w:sz w:val="24"/>
          <w:szCs w:val="24"/>
        </w:rPr>
        <w:t>基金合同终止及基金财产清算的公告》。</w:t>
      </w:r>
    </w:p>
    <w:p w:rsidR="009059F9" w:rsidRPr="004A673D"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本基金</w:t>
      </w:r>
      <w:r w:rsidR="00A037E3" w:rsidRPr="004A673D">
        <w:rPr>
          <w:rFonts w:ascii="Times New Roman" w:hAnsi="Times New Roman" w:hint="eastAsia"/>
          <w:sz w:val="24"/>
          <w:szCs w:val="24"/>
        </w:rPr>
        <w:t>本</w:t>
      </w:r>
      <w:r w:rsidR="00A14549" w:rsidRPr="004A673D">
        <w:rPr>
          <w:rFonts w:ascii="Times New Roman" w:hAnsi="Times New Roman"/>
          <w:sz w:val="24"/>
          <w:szCs w:val="24"/>
        </w:rPr>
        <w:t>次</w:t>
      </w:r>
      <w:r w:rsidR="00D87AF2" w:rsidRPr="004A673D">
        <w:rPr>
          <w:rFonts w:ascii="Times New Roman" w:hAnsi="Times New Roman"/>
          <w:sz w:val="24"/>
          <w:szCs w:val="24"/>
        </w:rPr>
        <w:t>清算</w:t>
      </w:r>
      <w:r w:rsidR="00E13EC5" w:rsidRPr="004A673D">
        <w:rPr>
          <w:rFonts w:ascii="Times New Roman" w:hAnsi="Times New Roman"/>
          <w:sz w:val="24"/>
          <w:szCs w:val="24"/>
        </w:rPr>
        <w:t>期</w:t>
      </w:r>
      <w:r w:rsidR="00A14549" w:rsidRPr="004A673D">
        <w:rPr>
          <w:rFonts w:ascii="Times New Roman" w:hAnsi="Times New Roman"/>
          <w:sz w:val="24"/>
          <w:szCs w:val="24"/>
        </w:rPr>
        <w:t>间</w:t>
      </w:r>
      <w:r w:rsidR="00D87AF2" w:rsidRPr="004A673D">
        <w:rPr>
          <w:rFonts w:ascii="Times New Roman" w:hAnsi="Times New Roman"/>
          <w:sz w:val="24"/>
          <w:szCs w:val="24"/>
        </w:rPr>
        <w:t>为</w:t>
      </w:r>
      <w:r w:rsidR="0046093D" w:rsidRPr="004A673D">
        <w:rPr>
          <w:rFonts w:ascii="Times New Roman" w:hAnsi="Times New Roman" w:hint="eastAsia"/>
          <w:sz w:val="24"/>
          <w:szCs w:val="24"/>
        </w:rPr>
        <w:t>2020</w:t>
      </w:r>
      <w:r w:rsidR="000341E9" w:rsidRPr="004A673D">
        <w:rPr>
          <w:rFonts w:ascii="Times New Roman" w:hAnsi="Times New Roman"/>
          <w:sz w:val="24"/>
          <w:szCs w:val="24"/>
        </w:rPr>
        <w:t>年</w:t>
      </w:r>
      <w:r w:rsidR="00FA54B9" w:rsidRPr="004A673D">
        <w:rPr>
          <w:rFonts w:ascii="Times New Roman" w:hAnsi="Times New Roman"/>
          <w:sz w:val="24"/>
          <w:szCs w:val="24"/>
        </w:rPr>
        <w:t>11</w:t>
      </w:r>
      <w:r w:rsidRPr="004A673D">
        <w:rPr>
          <w:rFonts w:ascii="Times New Roman" w:hAnsi="Times New Roman"/>
          <w:sz w:val="24"/>
          <w:szCs w:val="24"/>
        </w:rPr>
        <w:t>月</w:t>
      </w:r>
      <w:r w:rsidR="0046093D" w:rsidRPr="004A673D">
        <w:rPr>
          <w:rFonts w:ascii="Times New Roman" w:hAnsi="Times New Roman" w:hint="eastAsia"/>
          <w:sz w:val="24"/>
          <w:szCs w:val="24"/>
        </w:rPr>
        <w:t>17</w:t>
      </w:r>
      <w:r w:rsidRPr="004A673D">
        <w:rPr>
          <w:rFonts w:ascii="Times New Roman" w:hAnsi="Times New Roman"/>
          <w:sz w:val="24"/>
          <w:szCs w:val="24"/>
        </w:rPr>
        <w:t>日</w:t>
      </w:r>
      <w:r w:rsidR="00D87AF2" w:rsidRPr="004A673D">
        <w:rPr>
          <w:rFonts w:ascii="Times New Roman" w:hAnsi="Times New Roman"/>
          <w:sz w:val="24"/>
          <w:szCs w:val="24"/>
        </w:rPr>
        <w:t>至</w:t>
      </w:r>
      <w:r w:rsidR="0046093D" w:rsidRPr="004A673D">
        <w:rPr>
          <w:rFonts w:ascii="Times New Roman" w:hAnsi="Times New Roman" w:hint="eastAsia"/>
          <w:sz w:val="24"/>
          <w:szCs w:val="24"/>
        </w:rPr>
        <w:t>2020</w:t>
      </w:r>
      <w:r w:rsidR="000341E9" w:rsidRPr="004A673D">
        <w:rPr>
          <w:rFonts w:ascii="Times New Roman" w:hAnsi="Times New Roman"/>
          <w:sz w:val="24"/>
          <w:szCs w:val="24"/>
        </w:rPr>
        <w:t>年</w:t>
      </w:r>
      <w:r w:rsidR="00F27308" w:rsidRPr="004A673D">
        <w:rPr>
          <w:rFonts w:ascii="Times New Roman" w:hAnsi="Times New Roman"/>
          <w:sz w:val="24"/>
          <w:szCs w:val="24"/>
        </w:rPr>
        <w:t>12</w:t>
      </w:r>
      <w:r w:rsidR="00D87AF2" w:rsidRPr="004A673D">
        <w:rPr>
          <w:rFonts w:ascii="Times New Roman" w:hAnsi="Times New Roman"/>
          <w:sz w:val="24"/>
          <w:szCs w:val="24"/>
        </w:rPr>
        <w:t>月</w:t>
      </w:r>
      <w:r w:rsidR="00F27308" w:rsidRPr="004A673D">
        <w:rPr>
          <w:rFonts w:ascii="Times New Roman" w:hAnsi="Times New Roman"/>
          <w:sz w:val="24"/>
          <w:szCs w:val="24"/>
        </w:rPr>
        <w:t>03</w:t>
      </w:r>
      <w:r w:rsidR="00D87AF2" w:rsidRPr="004A673D">
        <w:rPr>
          <w:rFonts w:ascii="Times New Roman" w:hAnsi="Times New Roman"/>
          <w:sz w:val="24"/>
          <w:szCs w:val="24"/>
        </w:rPr>
        <w:t>日</w:t>
      </w:r>
      <w:r w:rsidRPr="004A673D">
        <w:rPr>
          <w:rFonts w:ascii="Times New Roman" w:hAnsi="Times New Roman"/>
          <w:sz w:val="24"/>
          <w:szCs w:val="24"/>
        </w:rPr>
        <w:t>，由基金管理人、基金托管人、安永华明会计师事务所（特殊普通合伙）和上海市通力律师事务所于</w:t>
      </w:r>
      <w:r w:rsidR="0046093D" w:rsidRPr="004A673D">
        <w:rPr>
          <w:rFonts w:ascii="Times New Roman" w:hAnsi="Times New Roman" w:hint="eastAsia"/>
          <w:sz w:val="24"/>
          <w:szCs w:val="24"/>
        </w:rPr>
        <w:t>2020</w:t>
      </w:r>
      <w:r w:rsidR="00C11727" w:rsidRPr="004A673D">
        <w:rPr>
          <w:rFonts w:ascii="Times New Roman" w:hAnsi="Times New Roman"/>
          <w:sz w:val="24"/>
          <w:szCs w:val="24"/>
        </w:rPr>
        <w:t>年</w:t>
      </w:r>
      <w:r w:rsidR="00C11727" w:rsidRPr="004A673D">
        <w:rPr>
          <w:rFonts w:ascii="Times New Roman" w:hAnsi="Times New Roman" w:hint="eastAsia"/>
          <w:sz w:val="24"/>
          <w:szCs w:val="24"/>
        </w:rPr>
        <w:t>11</w:t>
      </w:r>
      <w:r w:rsidRPr="004A673D">
        <w:rPr>
          <w:rFonts w:ascii="Times New Roman" w:hAnsi="Times New Roman"/>
          <w:sz w:val="24"/>
          <w:szCs w:val="24"/>
        </w:rPr>
        <w:t>月</w:t>
      </w:r>
      <w:r w:rsidR="0046093D" w:rsidRPr="004A673D">
        <w:rPr>
          <w:rFonts w:ascii="Times New Roman" w:hAnsi="Times New Roman" w:hint="eastAsia"/>
          <w:sz w:val="24"/>
          <w:szCs w:val="24"/>
        </w:rPr>
        <w:t>17</w:t>
      </w:r>
      <w:r w:rsidRPr="004A673D">
        <w:rPr>
          <w:rFonts w:ascii="Times New Roman" w:hAnsi="Times New Roman"/>
          <w:sz w:val="24"/>
          <w:szCs w:val="24"/>
        </w:rPr>
        <w:t>日组成基金财产清算小组履行基金财产清算程序，并由安永华明会计师事务所（特殊普通合伙）对清算报告进行审计，上海市通力律师事务所对清算报告出具法律意见。</w:t>
      </w:r>
    </w:p>
    <w:p w:rsidR="00E13EC5" w:rsidRPr="004A673D" w:rsidRDefault="00E13EC5" w:rsidP="009876AD">
      <w:pPr>
        <w:spacing w:line="360" w:lineRule="auto"/>
        <w:ind w:firstLineChars="177" w:firstLine="425"/>
        <w:contextualSpacing/>
        <w:rPr>
          <w:rFonts w:ascii="Times New Roman" w:hAnsi="Times New Roman"/>
          <w:sz w:val="24"/>
          <w:szCs w:val="24"/>
        </w:rPr>
      </w:pPr>
    </w:p>
    <w:p w:rsidR="00F14E8F" w:rsidRPr="004A673D" w:rsidRDefault="00F14E8F" w:rsidP="009876AD">
      <w:pPr>
        <w:spacing w:line="360" w:lineRule="auto"/>
        <w:ind w:firstLineChars="177" w:firstLine="425"/>
        <w:contextualSpacing/>
        <w:rPr>
          <w:rFonts w:ascii="Times New Roman" w:hAnsi="Times New Roman"/>
          <w:sz w:val="24"/>
          <w:szCs w:val="24"/>
        </w:rPr>
      </w:pPr>
    </w:p>
    <w:p w:rsidR="00483228" w:rsidRPr="004A673D" w:rsidRDefault="00483228" w:rsidP="009876AD">
      <w:pPr>
        <w:spacing w:line="360" w:lineRule="auto"/>
        <w:ind w:firstLineChars="177" w:firstLine="425"/>
        <w:contextualSpacing/>
        <w:rPr>
          <w:rFonts w:ascii="Times New Roman" w:hAnsi="Times New Roman"/>
          <w:sz w:val="24"/>
          <w:szCs w:val="24"/>
        </w:rPr>
      </w:pPr>
    </w:p>
    <w:p w:rsidR="00F14E8F" w:rsidRPr="004A673D" w:rsidRDefault="00F14E8F" w:rsidP="009876AD">
      <w:pPr>
        <w:spacing w:line="360" w:lineRule="auto"/>
        <w:ind w:firstLineChars="177" w:firstLine="425"/>
        <w:contextualSpacing/>
        <w:rPr>
          <w:rFonts w:ascii="Times New Roman" w:hAnsi="Times New Roman"/>
          <w:sz w:val="24"/>
          <w:szCs w:val="24"/>
        </w:rPr>
      </w:pPr>
    </w:p>
    <w:p w:rsidR="009059F9" w:rsidRPr="004A673D" w:rsidRDefault="009059F9" w:rsidP="009876AD">
      <w:pPr>
        <w:pStyle w:val="aa"/>
        <w:numPr>
          <w:ilvl w:val="0"/>
          <w:numId w:val="2"/>
        </w:numPr>
        <w:spacing w:line="360" w:lineRule="auto"/>
        <w:ind w:firstLineChars="0"/>
        <w:contextualSpacing/>
        <w:jc w:val="center"/>
        <w:rPr>
          <w:rFonts w:ascii="Times New Roman" w:hAnsi="Times New Roman"/>
          <w:b/>
          <w:sz w:val="24"/>
          <w:szCs w:val="24"/>
        </w:rPr>
      </w:pPr>
      <w:r w:rsidRPr="004A673D">
        <w:rPr>
          <w:rFonts w:ascii="Times New Roman" w:hAnsi="Times New Roman"/>
          <w:b/>
          <w:sz w:val="24"/>
          <w:szCs w:val="24"/>
        </w:rPr>
        <w:t>基金概况</w:t>
      </w:r>
    </w:p>
    <w:p w:rsidR="00127BCA" w:rsidRPr="004A673D" w:rsidRDefault="00127BCA" w:rsidP="009876AD">
      <w:pPr>
        <w:spacing w:line="360" w:lineRule="auto"/>
        <w:contextualSpacing/>
        <w:rPr>
          <w:rFonts w:ascii="Times New Roman" w:hAnsi="Times New Roman"/>
          <w:b/>
          <w:sz w:val="24"/>
          <w:szCs w:val="24"/>
        </w:rPr>
      </w:pPr>
    </w:p>
    <w:p w:rsidR="009059F9" w:rsidRPr="004A673D"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1</w:t>
      </w:r>
      <w:r w:rsidRPr="004A673D">
        <w:rPr>
          <w:rFonts w:ascii="Times New Roman" w:hAnsi="Times New Roman"/>
          <w:sz w:val="24"/>
          <w:szCs w:val="24"/>
        </w:rPr>
        <w:t>、基金名称：</w:t>
      </w:r>
      <w:r w:rsidR="0046093D" w:rsidRPr="004A673D">
        <w:rPr>
          <w:rFonts w:ascii="Times New Roman" w:hAnsi="Times New Roman"/>
          <w:sz w:val="24"/>
          <w:szCs w:val="24"/>
        </w:rPr>
        <w:t>中银盛利纯债一年定期开放债券型证券投资基金（</w:t>
      </w:r>
      <w:r w:rsidR="0046093D" w:rsidRPr="004A673D">
        <w:rPr>
          <w:rFonts w:ascii="Times New Roman" w:hAnsi="Times New Roman"/>
          <w:sz w:val="24"/>
          <w:szCs w:val="24"/>
        </w:rPr>
        <w:t>LOF</w:t>
      </w:r>
      <w:r w:rsidR="0046093D" w:rsidRPr="004A673D">
        <w:rPr>
          <w:rFonts w:ascii="Times New Roman" w:hAnsi="Times New Roman"/>
          <w:sz w:val="24"/>
          <w:szCs w:val="24"/>
        </w:rPr>
        <w:t>）</w:t>
      </w:r>
      <w:r w:rsidRPr="004A673D">
        <w:rPr>
          <w:rFonts w:ascii="Times New Roman" w:hAnsi="Times New Roman"/>
          <w:sz w:val="24"/>
          <w:szCs w:val="24"/>
        </w:rPr>
        <w:t>（基金简称：</w:t>
      </w:r>
      <w:r w:rsidR="00AE6FE2" w:rsidRPr="004A673D">
        <w:rPr>
          <w:rFonts w:ascii="Times New Roman" w:hAnsi="Times New Roman"/>
          <w:sz w:val="24"/>
          <w:szCs w:val="24"/>
        </w:rPr>
        <w:t>中银盛利定期开放</w:t>
      </w:r>
      <w:r w:rsidR="00C70AC8" w:rsidRPr="004A673D">
        <w:rPr>
          <w:rFonts w:ascii="Times New Roman" w:hAnsi="Times New Roman"/>
          <w:sz w:val="24"/>
          <w:szCs w:val="24"/>
        </w:rPr>
        <w:t>债</w:t>
      </w:r>
      <w:r w:rsidR="00AE6FE2" w:rsidRPr="004A673D">
        <w:rPr>
          <w:rFonts w:ascii="Times New Roman" w:hAnsi="Times New Roman"/>
          <w:sz w:val="24"/>
          <w:szCs w:val="24"/>
        </w:rPr>
        <w:t>券</w:t>
      </w:r>
      <w:r w:rsidR="00AE6FE2" w:rsidRPr="004A673D">
        <w:rPr>
          <w:rFonts w:ascii="Times New Roman" w:hAnsi="Times New Roman"/>
          <w:sz w:val="24"/>
          <w:szCs w:val="24"/>
        </w:rPr>
        <w:t>(LOF)</w:t>
      </w:r>
      <w:r w:rsidR="00E905E2" w:rsidRPr="004A673D">
        <w:rPr>
          <w:rFonts w:ascii="Times New Roman" w:hAnsi="Times New Roman"/>
          <w:sz w:val="24"/>
          <w:szCs w:val="24"/>
        </w:rPr>
        <w:t>；</w:t>
      </w:r>
      <w:r w:rsidR="00ED7A57" w:rsidRPr="004A673D">
        <w:rPr>
          <w:rFonts w:ascii="Times New Roman" w:hAnsi="Times New Roman" w:hint="eastAsia"/>
          <w:sz w:val="24"/>
          <w:szCs w:val="24"/>
        </w:rPr>
        <w:t>场内简称：中银盛利；</w:t>
      </w:r>
      <w:r w:rsidRPr="004A673D">
        <w:rPr>
          <w:rFonts w:ascii="Times New Roman" w:hAnsi="Times New Roman"/>
          <w:sz w:val="24"/>
          <w:szCs w:val="24"/>
        </w:rPr>
        <w:t>基金代码：</w:t>
      </w:r>
      <w:r w:rsidR="00AE6FE2" w:rsidRPr="004A673D">
        <w:rPr>
          <w:rFonts w:ascii="Times New Roman" w:hAnsi="Times New Roman"/>
          <w:sz w:val="24"/>
          <w:szCs w:val="24"/>
        </w:rPr>
        <w:t>163824</w:t>
      </w:r>
      <w:r w:rsidRPr="004A673D">
        <w:rPr>
          <w:rFonts w:ascii="Times New Roman" w:hAnsi="Times New Roman"/>
          <w:sz w:val="24"/>
          <w:szCs w:val="24"/>
        </w:rPr>
        <w:t>）</w:t>
      </w:r>
    </w:p>
    <w:p w:rsidR="009059F9" w:rsidRPr="004A673D"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2</w:t>
      </w:r>
      <w:r w:rsidRPr="004A673D">
        <w:rPr>
          <w:rFonts w:ascii="Times New Roman" w:hAnsi="Times New Roman"/>
          <w:sz w:val="24"/>
          <w:szCs w:val="24"/>
        </w:rPr>
        <w:t>、基金运作方式：契约型</w:t>
      </w:r>
      <w:r w:rsidR="00D215ED" w:rsidRPr="004A673D">
        <w:rPr>
          <w:rFonts w:ascii="Times New Roman" w:hAnsi="Times New Roman" w:hint="eastAsia"/>
          <w:sz w:val="24"/>
          <w:szCs w:val="24"/>
        </w:rPr>
        <w:t>、</w:t>
      </w:r>
      <w:r w:rsidR="00D215ED" w:rsidRPr="004A673D">
        <w:rPr>
          <w:rFonts w:ascii="Times New Roman" w:hAnsi="Times New Roman"/>
          <w:sz w:val="24"/>
          <w:szCs w:val="24"/>
        </w:rPr>
        <w:t>上市</w:t>
      </w:r>
      <w:r w:rsidRPr="004A673D">
        <w:rPr>
          <w:rFonts w:ascii="Times New Roman" w:hAnsi="Times New Roman"/>
          <w:sz w:val="24"/>
          <w:szCs w:val="24"/>
        </w:rPr>
        <w:t>开放式</w:t>
      </w:r>
    </w:p>
    <w:p w:rsidR="009059F9" w:rsidRPr="004A673D" w:rsidRDefault="009059F9"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3</w:t>
      </w:r>
      <w:r w:rsidRPr="004A673D">
        <w:rPr>
          <w:rFonts w:ascii="Times New Roman" w:hAnsi="Times New Roman"/>
          <w:sz w:val="24"/>
          <w:szCs w:val="24"/>
        </w:rPr>
        <w:t>、基金合同生效日：</w:t>
      </w:r>
      <w:r w:rsidR="00AE6FE2" w:rsidRPr="004A673D">
        <w:rPr>
          <w:rFonts w:ascii="Times New Roman" w:hAnsi="Times New Roman" w:hint="eastAsia"/>
          <w:sz w:val="24"/>
          <w:szCs w:val="24"/>
        </w:rPr>
        <w:t>2013</w:t>
      </w:r>
      <w:r w:rsidR="00F63FB5" w:rsidRPr="004A673D">
        <w:rPr>
          <w:rFonts w:ascii="Times New Roman" w:hAnsi="Times New Roman"/>
          <w:sz w:val="24"/>
          <w:szCs w:val="24"/>
        </w:rPr>
        <w:t>年</w:t>
      </w:r>
      <w:r w:rsidR="00AE6FE2" w:rsidRPr="004A673D">
        <w:rPr>
          <w:rFonts w:ascii="Times New Roman" w:hAnsi="Times New Roman" w:hint="eastAsia"/>
          <w:sz w:val="24"/>
          <w:szCs w:val="24"/>
        </w:rPr>
        <w:t>8</w:t>
      </w:r>
      <w:r w:rsidR="00F63FB5" w:rsidRPr="004A673D">
        <w:rPr>
          <w:rFonts w:ascii="Times New Roman" w:hAnsi="Times New Roman"/>
          <w:sz w:val="24"/>
          <w:szCs w:val="24"/>
        </w:rPr>
        <w:t>月</w:t>
      </w:r>
      <w:r w:rsidR="00AE6FE2" w:rsidRPr="004A673D">
        <w:rPr>
          <w:rFonts w:ascii="Times New Roman" w:hAnsi="Times New Roman" w:hint="eastAsia"/>
          <w:sz w:val="24"/>
          <w:szCs w:val="24"/>
        </w:rPr>
        <w:t>8</w:t>
      </w:r>
      <w:r w:rsidR="00F63FB5" w:rsidRPr="004A673D">
        <w:rPr>
          <w:rFonts w:ascii="Times New Roman" w:hAnsi="Times New Roman"/>
          <w:sz w:val="24"/>
          <w:szCs w:val="24"/>
        </w:rPr>
        <w:t>日</w:t>
      </w:r>
    </w:p>
    <w:p w:rsidR="008D6592" w:rsidRPr="004A673D" w:rsidRDefault="009B1385"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4</w:t>
      </w:r>
      <w:r w:rsidRPr="004A673D">
        <w:rPr>
          <w:rFonts w:ascii="Times New Roman" w:hAnsi="Times New Roman"/>
          <w:sz w:val="24"/>
          <w:szCs w:val="24"/>
        </w:rPr>
        <w:t>、清算起始日：</w:t>
      </w:r>
      <w:r w:rsidR="00AE6FE2" w:rsidRPr="004A673D">
        <w:rPr>
          <w:rFonts w:ascii="Times New Roman" w:hAnsi="Times New Roman" w:hint="eastAsia"/>
          <w:sz w:val="24"/>
          <w:szCs w:val="24"/>
        </w:rPr>
        <w:t>2020</w:t>
      </w:r>
      <w:r w:rsidR="00D51220" w:rsidRPr="004A673D">
        <w:rPr>
          <w:rFonts w:ascii="Times New Roman" w:hAnsi="Times New Roman"/>
          <w:sz w:val="24"/>
          <w:szCs w:val="24"/>
        </w:rPr>
        <w:t>年</w:t>
      </w:r>
      <w:r w:rsidR="00141A3D" w:rsidRPr="004A673D">
        <w:rPr>
          <w:rFonts w:ascii="Times New Roman" w:hAnsi="Times New Roman" w:hint="eastAsia"/>
          <w:sz w:val="24"/>
          <w:szCs w:val="24"/>
        </w:rPr>
        <w:t>11</w:t>
      </w:r>
      <w:r w:rsidRPr="004A673D">
        <w:rPr>
          <w:rFonts w:ascii="Times New Roman" w:hAnsi="Times New Roman"/>
          <w:sz w:val="24"/>
          <w:szCs w:val="24"/>
        </w:rPr>
        <w:t>月</w:t>
      </w:r>
      <w:r w:rsidR="00AE6FE2" w:rsidRPr="004A673D">
        <w:rPr>
          <w:rFonts w:ascii="Times New Roman" w:hAnsi="Times New Roman" w:hint="eastAsia"/>
          <w:sz w:val="24"/>
          <w:szCs w:val="24"/>
        </w:rPr>
        <w:t>17</w:t>
      </w:r>
      <w:r w:rsidRPr="004A673D">
        <w:rPr>
          <w:rFonts w:ascii="Times New Roman" w:hAnsi="Times New Roman"/>
          <w:sz w:val="24"/>
          <w:szCs w:val="24"/>
        </w:rPr>
        <w:t>日</w:t>
      </w:r>
    </w:p>
    <w:p w:rsidR="009059F9" w:rsidRPr="004A673D" w:rsidRDefault="008D6592"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5</w:t>
      </w:r>
      <w:r w:rsidRPr="004A673D">
        <w:rPr>
          <w:rFonts w:ascii="Times New Roman" w:hAnsi="Times New Roman"/>
          <w:sz w:val="24"/>
          <w:szCs w:val="24"/>
        </w:rPr>
        <w:t>、清算起始日</w:t>
      </w:r>
      <w:r w:rsidR="009059F9" w:rsidRPr="004A673D">
        <w:rPr>
          <w:rFonts w:ascii="Times New Roman" w:hAnsi="Times New Roman"/>
          <w:sz w:val="24"/>
          <w:szCs w:val="24"/>
        </w:rPr>
        <w:t>基金份额总额：</w:t>
      </w:r>
      <w:r w:rsidR="00F27308" w:rsidRPr="004A673D">
        <w:rPr>
          <w:rFonts w:ascii="Times New Roman" w:hAnsi="Times New Roman"/>
          <w:sz w:val="24"/>
          <w:szCs w:val="24"/>
        </w:rPr>
        <w:t>784,092,366.21</w:t>
      </w:r>
      <w:r w:rsidR="009059F9" w:rsidRPr="004A673D">
        <w:rPr>
          <w:rFonts w:ascii="Times New Roman" w:hAnsi="Times New Roman"/>
          <w:sz w:val="24"/>
          <w:szCs w:val="24"/>
        </w:rPr>
        <w:t>份</w:t>
      </w:r>
    </w:p>
    <w:p w:rsidR="009059F9" w:rsidRPr="004A673D" w:rsidRDefault="008D6592" w:rsidP="00AE6FE2">
      <w:pPr>
        <w:spacing w:line="360" w:lineRule="auto"/>
        <w:ind w:firstLineChars="200" w:firstLine="480"/>
        <w:rPr>
          <w:bCs/>
          <w:sz w:val="24"/>
        </w:rPr>
      </w:pPr>
      <w:r w:rsidRPr="004A673D">
        <w:rPr>
          <w:rFonts w:ascii="Times New Roman" w:hAnsi="Times New Roman"/>
          <w:sz w:val="24"/>
          <w:szCs w:val="24"/>
        </w:rPr>
        <w:t>6</w:t>
      </w:r>
      <w:r w:rsidR="009059F9" w:rsidRPr="004A673D">
        <w:rPr>
          <w:rFonts w:ascii="Times New Roman" w:hAnsi="Times New Roman"/>
          <w:sz w:val="24"/>
          <w:szCs w:val="24"/>
        </w:rPr>
        <w:t>、投资目标：</w:t>
      </w:r>
      <w:r w:rsidR="00AE6FE2" w:rsidRPr="004A673D">
        <w:rPr>
          <w:rFonts w:ascii="宋体" w:hAnsi="宋体" w:hint="eastAsia"/>
          <w:kern w:val="0"/>
          <w:sz w:val="24"/>
        </w:rPr>
        <w:t>在严格控制投资风险并保持资产流动性的基础上，通过积极主动的投资管理，追求基金资产的长期稳定增值。</w:t>
      </w:r>
    </w:p>
    <w:p w:rsidR="00AE6FE2" w:rsidRPr="004A673D" w:rsidRDefault="00F36534" w:rsidP="00AE6FE2">
      <w:pPr>
        <w:spacing w:line="360" w:lineRule="auto"/>
        <w:ind w:firstLineChars="200" w:firstLine="480"/>
        <w:rPr>
          <w:bCs/>
          <w:sz w:val="24"/>
        </w:rPr>
      </w:pPr>
      <w:r w:rsidRPr="004A673D">
        <w:rPr>
          <w:rFonts w:ascii="Times New Roman" w:hAnsi="Times New Roman"/>
          <w:sz w:val="24"/>
          <w:szCs w:val="24"/>
        </w:rPr>
        <w:t>7</w:t>
      </w:r>
      <w:r w:rsidRPr="004A673D">
        <w:rPr>
          <w:rFonts w:ascii="Times New Roman" w:hAnsi="Times New Roman"/>
          <w:sz w:val="24"/>
          <w:szCs w:val="24"/>
        </w:rPr>
        <w:t>、投资范围：</w:t>
      </w:r>
      <w:r w:rsidR="00AE6FE2" w:rsidRPr="004A673D">
        <w:rPr>
          <w:rFonts w:hint="eastAsia"/>
          <w:bCs/>
          <w:sz w:val="24"/>
        </w:rPr>
        <w:t>本基金投资于具有良好流动性的金融工具，包括国内依法发行和上市交易的国债、金融债、央行票据、地方政府债、企业债、公司债、中期票据、短期融资券、超级短期融资券、资产支持证券、次级债、可转换债券（含分离交易可转换债券）、中小企业私募债券、债券回购、货币市场工具、银行存款，以及法律法规或中国证监会允许基金投资的其它固定收益类金融工具，但须符合中国证监会的相关规定。</w:t>
      </w:r>
      <w:r w:rsidR="00F01DB2" w:rsidRPr="004A673D">
        <w:rPr>
          <w:rFonts w:ascii="Times New Roman" w:hAnsi="Times New Roman" w:hint="eastAsia"/>
          <w:sz w:val="24"/>
          <w:szCs w:val="24"/>
        </w:rPr>
        <w:t>本基金不从二级市场买入股票，不参与一级市场股票首次公开发行或增发，但可持有因所持可转换公司债券转股形成的股票、因持有股票被派发的权证、因投资于可分离交易可转换债券等金融工具而产生的权证。因上述原因持有的股票，本基金应在其可交易之日起的</w:t>
      </w:r>
      <w:r w:rsidR="00F01DB2" w:rsidRPr="004A673D">
        <w:rPr>
          <w:rFonts w:ascii="Times New Roman" w:hAnsi="Times New Roman"/>
          <w:sz w:val="24"/>
          <w:szCs w:val="24"/>
        </w:rPr>
        <w:t>6</w:t>
      </w:r>
      <w:r w:rsidR="00F01DB2" w:rsidRPr="004A673D">
        <w:rPr>
          <w:rFonts w:ascii="Times New Roman" w:hAnsi="Times New Roman" w:hint="eastAsia"/>
          <w:sz w:val="24"/>
          <w:szCs w:val="24"/>
        </w:rPr>
        <w:t>个月内卖出。因上述原因持有的权证，本基金应在其可交易之日起的</w:t>
      </w:r>
      <w:r w:rsidR="00F01DB2" w:rsidRPr="004A673D">
        <w:rPr>
          <w:rFonts w:ascii="Times New Roman" w:hAnsi="Times New Roman"/>
          <w:sz w:val="24"/>
          <w:szCs w:val="24"/>
        </w:rPr>
        <w:t>1</w:t>
      </w:r>
      <w:r w:rsidR="00F01DB2" w:rsidRPr="004A673D">
        <w:rPr>
          <w:rFonts w:ascii="Times New Roman" w:hAnsi="Times New Roman" w:hint="eastAsia"/>
          <w:sz w:val="24"/>
          <w:szCs w:val="24"/>
        </w:rPr>
        <w:t>个月内卖出。</w:t>
      </w:r>
    </w:p>
    <w:p w:rsidR="009059F9" w:rsidRPr="004A673D"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8</w:t>
      </w:r>
      <w:r w:rsidR="009059F9" w:rsidRPr="004A673D">
        <w:rPr>
          <w:rFonts w:ascii="Times New Roman" w:hAnsi="Times New Roman"/>
          <w:sz w:val="24"/>
          <w:szCs w:val="24"/>
        </w:rPr>
        <w:t>、投资策略：</w:t>
      </w:r>
      <w:r w:rsidR="00FE4AC6" w:rsidRPr="004A673D">
        <w:rPr>
          <w:rFonts w:ascii="Times New Roman" w:hAnsi="Times New Roman"/>
          <w:sz w:val="24"/>
          <w:szCs w:val="24"/>
        </w:rPr>
        <w:t>本基金的投资策略由</w:t>
      </w:r>
      <w:r w:rsidR="00AE6FE2" w:rsidRPr="004A673D">
        <w:rPr>
          <w:rFonts w:hint="eastAsia"/>
          <w:bCs/>
          <w:sz w:val="24"/>
        </w:rPr>
        <w:t>类属配置策略</w:t>
      </w:r>
      <w:r w:rsidR="00FE4AC6" w:rsidRPr="004A673D">
        <w:rPr>
          <w:rFonts w:ascii="Times New Roman" w:hAnsi="Times New Roman"/>
          <w:sz w:val="24"/>
          <w:szCs w:val="24"/>
        </w:rPr>
        <w:t>、</w:t>
      </w:r>
      <w:r w:rsidR="00AE6FE2" w:rsidRPr="004A673D">
        <w:rPr>
          <w:rFonts w:hint="eastAsia"/>
          <w:bCs/>
          <w:sz w:val="24"/>
        </w:rPr>
        <w:t>久期配置策略</w:t>
      </w:r>
      <w:r w:rsidR="00D51220" w:rsidRPr="004A673D">
        <w:rPr>
          <w:rFonts w:ascii="Times New Roman" w:hAnsi="Times New Roman" w:hint="eastAsia"/>
          <w:sz w:val="24"/>
          <w:szCs w:val="24"/>
        </w:rPr>
        <w:t>、</w:t>
      </w:r>
      <w:r w:rsidR="00AE6FE2" w:rsidRPr="004A673D">
        <w:rPr>
          <w:rFonts w:hint="eastAsia"/>
          <w:bCs/>
          <w:sz w:val="24"/>
        </w:rPr>
        <w:t>期限结构配置策略</w:t>
      </w:r>
      <w:r w:rsidR="00FE4AC6" w:rsidRPr="004A673D">
        <w:rPr>
          <w:rFonts w:ascii="Times New Roman" w:hAnsi="Times New Roman"/>
          <w:sz w:val="24"/>
          <w:szCs w:val="24"/>
        </w:rPr>
        <w:t>、</w:t>
      </w:r>
      <w:r w:rsidR="00AE6FE2" w:rsidRPr="004A673D">
        <w:rPr>
          <w:rFonts w:hint="eastAsia"/>
          <w:bCs/>
          <w:sz w:val="24"/>
        </w:rPr>
        <w:t>信用类债券策略</w:t>
      </w:r>
      <w:r w:rsidR="006936F0" w:rsidRPr="004A673D">
        <w:rPr>
          <w:rFonts w:ascii="Times New Roman" w:hAnsi="Times New Roman"/>
          <w:sz w:val="24"/>
          <w:szCs w:val="24"/>
        </w:rPr>
        <w:t>、</w:t>
      </w:r>
      <w:r w:rsidR="00AE6FE2" w:rsidRPr="004A673D">
        <w:rPr>
          <w:rFonts w:hint="eastAsia"/>
          <w:bCs/>
          <w:sz w:val="24"/>
        </w:rPr>
        <w:t>流动性管理策略、息差策略、资产支持证券（含资产收益计划）投资策略和中小企业私募债券的投资策略</w:t>
      </w:r>
      <w:r w:rsidR="00FE4AC6" w:rsidRPr="004A673D">
        <w:rPr>
          <w:rFonts w:ascii="Times New Roman" w:hAnsi="Times New Roman"/>
          <w:sz w:val="24"/>
          <w:szCs w:val="24"/>
        </w:rPr>
        <w:t>组成。</w:t>
      </w:r>
    </w:p>
    <w:p w:rsidR="00B8499D" w:rsidRPr="004A673D"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9</w:t>
      </w:r>
      <w:r w:rsidR="009059F9" w:rsidRPr="004A673D">
        <w:rPr>
          <w:rFonts w:ascii="Times New Roman" w:hAnsi="Times New Roman"/>
          <w:sz w:val="24"/>
          <w:szCs w:val="24"/>
        </w:rPr>
        <w:t>、业绩比较基准：</w:t>
      </w:r>
    </w:p>
    <w:p w:rsidR="00AE6FE2" w:rsidRPr="004A673D" w:rsidRDefault="00AE6FE2" w:rsidP="00432F6C">
      <w:pPr>
        <w:overflowPunct w:val="0"/>
        <w:autoSpaceDE w:val="0"/>
        <w:autoSpaceDN w:val="0"/>
        <w:snapToGrid w:val="0"/>
        <w:spacing w:line="360" w:lineRule="auto"/>
        <w:ind w:firstLineChars="200" w:firstLine="480"/>
        <w:jc w:val="left"/>
        <w:rPr>
          <w:bCs/>
          <w:sz w:val="24"/>
        </w:rPr>
      </w:pPr>
      <w:r w:rsidRPr="004A673D">
        <w:rPr>
          <w:rFonts w:hint="eastAsia"/>
          <w:bCs/>
          <w:sz w:val="24"/>
        </w:rPr>
        <w:t>1</w:t>
      </w:r>
      <w:r w:rsidRPr="004A673D">
        <w:rPr>
          <w:rFonts w:hint="eastAsia"/>
          <w:bCs/>
          <w:sz w:val="24"/>
        </w:rPr>
        <w:t>年期定期存款利率（税后）</w:t>
      </w:r>
      <w:r w:rsidRPr="004A673D">
        <w:rPr>
          <w:rFonts w:hint="eastAsia"/>
          <w:bCs/>
          <w:sz w:val="24"/>
        </w:rPr>
        <w:t>+0.6%</w:t>
      </w:r>
      <w:r w:rsidR="00F01DB2" w:rsidRPr="004A673D">
        <w:rPr>
          <w:rFonts w:hint="eastAsia"/>
          <w:bCs/>
          <w:sz w:val="24"/>
        </w:rPr>
        <w:t>。每个封闭期首日，</w:t>
      </w:r>
      <w:r w:rsidR="00F01DB2" w:rsidRPr="004A673D">
        <w:rPr>
          <w:rFonts w:hint="eastAsia"/>
          <w:bCs/>
          <w:sz w:val="24"/>
        </w:rPr>
        <w:t>1</w:t>
      </w:r>
      <w:r w:rsidR="00F01DB2" w:rsidRPr="004A673D">
        <w:rPr>
          <w:rFonts w:hint="eastAsia"/>
          <w:bCs/>
          <w:sz w:val="24"/>
        </w:rPr>
        <w:t>年期定期存款利率根据当日中国人民银行公布并执行的利率水平调整。</w:t>
      </w:r>
    </w:p>
    <w:p w:rsidR="00B8499D" w:rsidRPr="004A673D"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10</w:t>
      </w:r>
      <w:r w:rsidR="009059F9" w:rsidRPr="004A673D">
        <w:rPr>
          <w:rFonts w:ascii="Times New Roman" w:hAnsi="Times New Roman"/>
          <w:sz w:val="24"/>
          <w:szCs w:val="24"/>
        </w:rPr>
        <w:t>、风险收益特征：</w:t>
      </w:r>
    </w:p>
    <w:p w:rsidR="00AE6FE2" w:rsidRPr="004A673D" w:rsidRDefault="00AE6FE2" w:rsidP="00AE6FE2">
      <w:pPr>
        <w:spacing w:line="360" w:lineRule="auto"/>
        <w:ind w:firstLineChars="200" w:firstLine="480"/>
        <w:rPr>
          <w:bCs/>
          <w:sz w:val="24"/>
        </w:rPr>
      </w:pPr>
      <w:r w:rsidRPr="004A673D">
        <w:rPr>
          <w:rFonts w:ascii="宋体" w:hAnsi="宋体" w:hint="eastAsia"/>
          <w:sz w:val="24"/>
        </w:rPr>
        <w:t>本基金为债券型基金，属于证券投资基金中的较低风险品种，本基金的预期收益和预期风险高于货币市场基金，低于混合型基金和股票型基金。</w:t>
      </w:r>
    </w:p>
    <w:p w:rsidR="009059F9" w:rsidRPr="004A673D"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11</w:t>
      </w:r>
      <w:r w:rsidR="009059F9" w:rsidRPr="004A673D">
        <w:rPr>
          <w:rFonts w:ascii="Times New Roman" w:hAnsi="Times New Roman"/>
          <w:sz w:val="24"/>
          <w:szCs w:val="24"/>
        </w:rPr>
        <w:t>、基金管理人：</w:t>
      </w:r>
      <w:r w:rsidR="00097438" w:rsidRPr="004A673D">
        <w:rPr>
          <w:rFonts w:ascii="Times New Roman" w:hAnsi="Times New Roman"/>
          <w:sz w:val="24"/>
          <w:szCs w:val="24"/>
        </w:rPr>
        <w:t>中银基金管理</w:t>
      </w:r>
      <w:r w:rsidR="009059F9" w:rsidRPr="004A673D">
        <w:rPr>
          <w:rFonts w:ascii="Times New Roman" w:hAnsi="Times New Roman"/>
          <w:sz w:val="24"/>
          <w:szCs w:val="24"/>
        </w:rPr>
        <w:t>有限公司</w:t>
      </w:r>
    </w:p>
    <w:p w:rsidR="009059F9" w:rsidRPr="004A673D" w:rsidRDefault="00F36534"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12</w:t>
      </w:r>
      <w:r w:rsidR="009059F9" w:rsidRPr="004A673D">
        <w:rPr>
          <w:rFonts w:ascii="Times New Roman" w:hAnsi="Times New Roman"/>
          <w:sz w:val="24"/>
          <w:szCs w:val="24"/>
        </w:rPr>
        <w:t>、基金托管人：</w:t>
      </w:r>
      <w:r w:rsidR="0046093D" w:rsidRPr="004A673D">
        <w:rPr>
          <w:rFonts w:ascii="Times New Roman" w:hAnsi="Times New Roman"/>
          <w:sz w:val="24"/>
          <w:szCs w:val="24"/>
        </w:rPr>
        <w:t>中国工商银行股份有限公司</w:t>
      </w:r>
    </w:p>
    <w:p w:rsidR="00EB0183" w:rsidRPr="004A673D" w:rsidRDefault="00EB0183" w:rsidP="00C57559">
      <w:pPr>
        <w:spacing w:line="360" w:lineRule="auto"/>
        <w:ind w:firstLineChars="200" w:firstLine="480"/>
        <w:contextualSpacing/>
        <w:rPr>
          <w:rFonts w:ascii="Times New Roman" w:hAnsi="Times New Roman"/>
          <w:sz w:val="24"/>
          <w:szCs w:val="24"/>
        </w:rPr>
      </w:pPr>
    </w:p>
    <w:p w:rsidR="00483228" w:rsidRPr="004A673D" w:rsidRDefault="00483228" w:rsidP="00C57559">
      <w:pPr>
        <w:spacing w:line="360" w:lineRule="auto"/>
        <w:ind w:firstLineChars="200" w:firstLine="480"/>
        <w:contextualSpacing/>
        <w:rPr>
          <w:rFonts w:ascii="Times New Roman" w:hAnsi="Times New Roman"/>
          <w:sz w:val="24"/>
          <w:szCs w:val="24"/>
        </w:rPr>
      </w:pPr>
    </w:p>
    <w:p w:rsidR="00EB0183" w:rsidRPr="004A673D" w:rsidRDefault="00EB0183" w:rsidP="009876AD">
      <w:pPr>
        <w:numPr>
          <w:ilvl w:val="0"/>
          <w:numId w:val="2"/>
        </w:numPr>
        <w:spacing w:line="360" w:lineRule="auto"/>
        <w:contextualSpacing/>
        <w:jc w:val="center"/>
        <w:rPr>
          <w:rFonts w:ascii="Times New Roman" w:hAnsi="Times New Roman"/>
          <w:b/>
          <w:sz w:val="24"/>
          <w:szCs w:val="24"/>
        </w:rPr>
      </w:pPr>
      <w:r w:rsidRPr="004A673D">
        <w:rPr>
          <w:rFonts w:ascii="Times New Roman" w:hAnsi="Times New Roman"/>
          <w:b/>
          <w:sz w:val="24"/>
          <w:szCs w:val="24"/>
        </w:rPr>
        <w:t>基金运作情况概述</w:t>
      </w:r>
    </w:p>
    <w:p w:rsidR="00EB0183" w:rsidRPr="004A673D" w:rsidRDefault="00EB0183" w:rsidP="00DC6CBF">
      <w:pPr>
        <w:spacing w:line="360" w:lineRule="auto"/>
        <w:ind w:firstLineChars="200" w:firstLine="480"/>
        <w:contextualSpacing/>
        <w:rPr>
          <w:rFonts w:ascii="Times New Roman" w:hAnsi="Times New Roman"/>
          <w:sz w:val="24"/>
          <w:szCs w:val="24"/>
        </w:rPr>
      </w:pPr>
    </w:p>
    <w:p w:rsidR="00513633" w:rsidRPr="004A673D" w:rsidRDefault="0046093D"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中银盛利纯债一年定期开放债券型证券投资基金（</w:t>
      </w:r>
      <w:r w:rsidRPr="004A673D">
        <w:rPr>
          <w:rFonts w:ascii="Times New Roman" w:hAnsi="Times New Roman"/>
          <w:sz w:val="24"/>
          <w:szCs w:val="24"/>
        </w:rPr>
        <w:t>LOF</w:t>
      </w:r>
      <w:r w:rsidRPr="004A673D">
        <w:rPr>
          <w:rFonts w:ascii="Times New Roman" w:hAnsi="Times New Roman"/>
          <w:sz w:val="24"/>
          <w:szCs w:val="24"/>
        </w:rPr>
        <w:t>）</w:t>
      </w:r>
      <w:r w:rsidR="00BE091B" w:rsidRPr="004A673D">
        <w:rPr>
          <w:rFonts w:ascii="Times New Roman" w:hAnsi="Times New Roman"/>
          <w:sz w:val="24"/>
          <w:szCs w:val="24"/>
        </w:rPr>
        <w:t>（</w:t>
      </w:r>
      <w:r w:rsidR="00EB0183" w:rsidRPr="004A673D">
        <w:rPr>
          <w:rFonts w:ascii="Times New Roman" w:hAnsi="Times New Roman"/>
          <w:sz w:val="24"/>
          <w:szCs w:val="24"/>
        </w:rPr>
        <w:t>以下简称</w:t>
      </w:r>
      <w:r w:rsidR="00EB0183" w:rsidRPr="004A673D">
        <w:rPr>
          <w:rFonts w:ascii="Times New Roman" w:hAnsi="Times New Roman"/>
          <w:sz w:val="24"/>
          <w:szCs w:val="24"/>
        </w:rPr>
        <w:t>“</w:t>
      </w:r>
      <w:r w:rsidR="00EB0183" w:rsidRPr="004A673D">
        <w:rPr>
          <w:rFonts w:ascii="Times New Roman" w:hAnsi="Times New Roman"/>
          <w:sz w:val="24"/>
          <w:szCs w:val="24"/>
        </w:rPr>
        <w:t>本基金</w:t>
      </w:r>
      <w:r w:rsidR="00EB0183" w:rsidRPr="004A673D">
        <w:rPr>
          <w:rFonts w:ascii="Times New Roman" w:hAnsi="Times New Roman"/>
          <w:sz w:val="24"/>
          <w:szCs w:val="24"/>
        </w:rPr>
        <w:t>”</w:t>
      </w:r>
      <w:r w:rsidR="00BE091B" w:rsidRPr="004A673D">
        <w:rPr>
          <w:rFonts w:ascii="Times New Roman" w:hAnsi="Times New Roman"/>
          <w:sz w:val="24"/>
          <w:szCs w:val="24"/>
        </w:rPr>
        <w:t>）</w:t>
      </w:r>
      <w:r w:rsidR="00EB0183" w:rsidRPr="004A673D">
        <w:rPr>
          <w:rFonts w:ascii="Times New Roman" w:hAnsi="Times New Roman"/>
          <w:sz w:val="24"/>
          <w:szCs w:val="24"/>
        </w:rPr>
        <w:t>，系经中国证监会证监许可</w:t>
      </w:r>
      <w:r w:rsidR="00AE6FE2" w:rsidRPr="004A673D">
        <w:rPr>
          <w:rFonts w:ascii="Times New Roman" w:hAnsi="Times New Roman" w:hint="eastAsia"/>
          <w:sz w:val="24"/>
          <w:szCs w:val="24"/>
        </w:rPr>
        <w:t>【</w:t>
      </w:r>
      <w:r w:rsidR="00AE6FE2" w:rsidRPr="004A673D">
        <w:rPr>
          <w:rFonts w:ascii="Times New Roman" w:hAnsi="Times New Roman" w:hint="eastAsia"/>
          <w:sz w:val="24"/>
          <w:szCs w:val="24"/>
        </w:rPr>
        <w:t>2013</w:t>
      </w:r>
      <w:r w:rsidR="00DC6CBF" w:rsidRPr="004A673D">
        <w:rPr>
          <w:rFonts w:ascii="Times New Roman" w:hAnsi="Times New Roman" w:hint="eastAsia"/>
          <w:sz w:val="24"/>
          <w:szCs w:val="24"/>
        </w:rPr>
        <w:t>】</w:t>
      </w:r>
      <w:r w:rsidR="00AE6FE2" w:rsidRPr="004A673D">
        <w:rPr>
          <w:rFonts w:ascii="Times New Roman" w:hAnsi="Times New Roman" w:hint="eastAsia"/>
          <w:sz w:val="24"/>
          <w:szCs w:val="24"/>
        </w:rPr>
        <w:t>609</w:t>
      </w:r>
      <w:r w:rsidR="00EB0183" w:rsidRPr="004A673D">
        <w:rPr>
          <w:rFonts w:ascii="Times New Roman" w:hAnsi="Times New Roman"/>
          <w:sz w:val="24"/>
          <w:szCs w:val="24"/>
        </w:rPr>
        <w:t>号文《关于</w:t>
      </w:r>
      <w:r w:rsidR="00785C43" w:rsidRPr="004A673D">
        <w:rPr>
          <w:rFonts w:ascii="Times New Roman" w:hAnsi="Times New Roman"/>
          <w:sz w:val="24"/>
          <w:szCs w:val="24"/>
        </w:rPr>
        <w:t>核准</w:t>
      </w:r>
      <w:r w:rsidRPr="004A673D">
        <w:rPr>
          <w:rFonts w:ascii="Times New Roman" w:hAnsi="Times New Roman"/>
          <w:sz w:val="24"/>
          <w:szCs w:val="24"/>
        </w:rPr>
        <w:t>中银盛利纯债一年定期开放债券型证券投资基金（</w:t>
      </w:r>
      <w:r w:rsidRPr="004A673D">
        <w:rPr>
          <w:rFonts w:ascii="Times New Roman" w:hAnsi="Times New Roman"/>
          <w:sz w:val="24"/>
          <w:szCs w:val="24"/>
        </w:rPr>
        <w:t>LOF</w:t>
      </w:r>
      <w:r w:rsidRPr="004A673D">
        <w:rPr>
          <w:rFonts w:ascii="Times New Roman" w:hAnsi="Times New Roman"/>
          <w:sz w:val="24"/>
          <w:szCs w:val="24"/>
        </w:rPr>
        <w:t>）</w:t>
      </w:r>
      <w:r w:rsidR="00D205C6" w:rsidRPr="004A673D">
        <w:rPr>
          <w:rFonts w:ascii="Times New Roman" w:hAnsi="Times New Roman"/>
          <w:sz w:val="24"/>
          <w:szCs w:val="24"/>
        </w:rPr>
        <w:t>募集</w:t>
      </w:r>
      <w:r w:rsidR="00EB0183" w:rsidRPr="004A673D">
        <w:rPr>
          <w:rFonts w:ascii="Times New Roman" w:hAnsi="Times New Roman"/>
          <w:sz w:val="24"/>
          <w:szCs w:val="24"/>
        </w:rPr>
        <w:t>的批复》，由基金管理人中银基金管理有限公司向社会公开发行募集，基金合同于</w:t>
      </w:r>
      <w:r w:rsidR="00AE6FE2" w:rsidRPr="004A673D">
        <w:rPr>
          <w:rFonts w:ascii="Times New Roman" w:hAnsi="Times New Roman" w:hint="eastAsia"/>
          <w:sz w:val="24"/>
          <w:szCs w:val="24"/>
        </w:rPr>
        <w:t>2013</w:t>
      </w:r>
      <w:r w:rsidR="00EB0183" w:rsidRPr="004A673D">
        <w:rPr>
          <w:rFonts w:ascii="Times New Roman" w:hAnsi="Times New Roman"/>
          <w:sz w:val="24"/>
          <w:szCs w:val="24"/>
        </w:rPr>
        <w:t>年</w:t>
      </w:r>
      <w:r w:rsidR="00AE6FE2" w:rsidRPr="004A673D">
        <w:rPr>
          <w:rFonts w:ascii="Times New Roman" w:hAnsi="Times New Roman" w:hint="eastAsia"/>
          <w:sz w:val="24"/>
          <w:szCs w:val="24"/>
        </w:rPr>
        <w:t>8</w:t>
      </w:r>
      <w:r w:rsidR="00EB0183" w:rsidRPr="004A673D">
        <w:rPr>
          <w:rFonts w:ascii="Times New Roman" w:hAnsi="Times New Roman"/>
          <w:sz w:val="24"/>
          <w:szCs w:val="24"/>
        </w:rPr>
        <w:t>月</w:t>
      </w:r>
      <w:r w:rsidR="00AE6FE2" w:rsidRPr="004A673D">
        <w:rPr>
          <w:rFonts w:ascii="Times New Roman" w:hAnsi="Times New Roman" w:hint="eastAsia"/>
          <w:sz w:val="24"/>
          <w:szCs w:val="24"/>
        </w:rPr>
        <w:t>8</w:t>
      </w:r>
      <w:r w:rsidR="00EB0183" w:rsidRPr="004A673D">
        <w:rPr>
          <w:rFonts w:ascii="Times New Roman" w:hAnsi="Times New Roman"/>
          <w:sz w:val="24"/>
          <w:szCs w:val="24"/>
        </w:rPr>
        <w:t>日正式生效，首次设立募集规模为</w:t>
      </w:r>
      <w:r w:rsidR="00F27308" w:rsidRPr="004A673D">
        <w:rPr>
          <w:rFonts w:ascii="Times New Roman" w:hAnsi="Times New Roman"/>
          <w:sz w:val="24"/>
          <w:szCs w:val="24"/>
        </w:rPr>
        <w:t>3,206,594,712.74</w:t>
      </w:r>
      <w:r w:rsidR="00EB0183" w:rsidRPr="004A673D">
        <w:rPr>
          <w:rFonts w:ascii="Times New Roman" w:hAnsi="Times New Roman"/>
          <w:sz w:val="24"/>
          <w:szCs w:val="24"/>
        </w:rPr>
        <w:t>份基金份额。</w:t>
      </w:r>
    </w:p>
    <w:p w:rsidR="00EB0183" w:rsidRPr="004A673D" w:rsidRDefault="00EB0183"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根据《关于</w:t>
      </w:r>
      <w:r w:rsidR="0046093D" w:rsidRPr="004A673D">
        <w:rPr>
          <w:rFonts w:ascii="Times New Roman" w:hAnsi="Times New Roman"/>
          <w:sz w:val="24"/>
          <w:szCs w:val="24"/>
        </w:rPr>
        <w:t>中银盛利纯债一年定期开放债券型证券投资基金（</w:t>
      </w:r>
      <w:r w:rsidR="0046093D" w:rsidRPr="004A673D">
        <w:rPr>
          <w:rFonts w:ascii="Times New Roman" w:hAnsi="Times New Roman"/>
          <w:sz w:val="24"/>
          <w:szCs w:val="24"/>
        </w:rPr>
        <w:t>LOF</w:t>
      </w:r>
      <w:r w:rsidR="0046093D" w:rsidRPr="004A673D">
        <w:rPr>
          <w:rFonts w:ascii="Times New Roman" w:hAnsi="Times New Roman"/>
          <w:sz w:val="24"/>
          <w:szCs w:val="24"/>
        </w:rPr>
        <w:t>）</w:t>
      </w:r>
      <w:r w:rsidRPr="004A673D">
        <w:rPr>
          <w:rFonts w:ascii="Times New Roman" w:hAnsi="Times New Roman"/>
          <w:sz w:val="24"/>
          <w:szCs w:val="24"/>
        </w:rPr>
        <w:t>基金合同终止及基金财产清算的公告》，自</w:t>
      </w:r>
      <w:r w:rsidR="00AE6FE2" w:rsidRPr="004A673D">
        <w:rPr>
          <w:rFonts w:ascii="Times New Roman" w:hAnsi="Times New Roman" w:hint="eastAsia"/>
          <w:sz w:val="24"/>
          <w:szCs w:val="24"/>
        </w:rPr>
        <w:t>2020</w:t>
      </w:r>
      <w:r w:rsidR="00170087" w:rsidRPr="004A673D">
        <w:rPr>
          <w:rFonts w:ascii="Times New Roman" w:hAnsi="Times New Roman"/>
          <w:sz w:val="24"/>
          <w:szCs w:val="24"/>
        </w:rPr>
        <w:t>年</w:t>
      </w:r>
      <w:r w:rsidR="00170087" w:rsidRPr="004A673D">
        <w:rPr>
          <w:rFonts w:ascii="Times New Roman" w:hAnsi="Times New Roman" w:hint="eastAsia"/>
          <w:sz w:val="24"/>
          <w:szCs w:val="24"/>
        </w:rPr>
        <w:t>11</w:t>
      </w:r>
      <w:r w:rsidRPr="004A673D">
        <w:rPr>
          <w:rFonts w:ascii="Times New Roman" w:hAnsi="Times New Roman"/>
          <w:sz w:val="24"/>
          <w:szCs w:val="24"/>
        </w:rPr>
        <w:t>月</w:t>
      </w:r>
      <w:r w:rsidR="00AE6FE2" w:rsidRPr="004A673D">
        <w:rPr>
          <w:rFonts w:ascii="Times New Roman" w:hAnsi="Times New Roman" w:hint="eastAsia"/>
          <w:sz w:val="24"/>
          <w:szCs w:val="24"/>
        </w:rPr>
        <w:t>17</w:t>
      </w:r>
      <w:r w:rsidRPr="004A673D">
        <w:rPr>
          <w:rFonts w:ascii="Times New Roman" w:hAnsi="Times New Roman"/>
          <w:sz w:val="24"/>
          <w:szCs w:val="24"/>
        </w:rPr>
        <w:t>日起，本基金进入清算程序，停止办理申购</w:t>
      </w:r>
      <w:r w:rsidR="00113607" w:rsidRPr="004A673D">
        <w:rPr>
          <w:rFonts w:ascii="Times New Roman" w:hAnsi="Times New Roman" w:hint="eastAsia"/>
          <w:sz w:val="24"/>
          <w:szCs w:val="24"/>
        </w:rPr>
        <w:t>（含定期定额投资）</w:t>
      </w:r>
      <w:r w:rsidRPr="004A673D">
        <w:rPr>
          <w:rFonts w:ascii="Times New Roman" w:hAnsi="Times New Roman"/>
          <w:sz w:val="24"/>
          <w:szCs w:val="24"/>
        </w:rPr>
        <w:t>、赎回</w:t>
      </w:r>
      <w:r w:rsidR="00113607" w:rsidRPr="004A673D">
        <w:rPr>
          <w:rFonts w:ascii="Times New Roman" w:hAnsi="Times New Roman" w:hint="eastAsia"/>
          <w:sz w:val="24"/>
          <w:szCs w:val="24"/>
        </w:rPr>
        <w:t>、</w:t>
      </w:r>
      <w:r w:rsidR="00113607" w:rsidRPr="004A673D">
        <w:rPr>
          <w:rFonts w:ascii="Times New Roman" w:hAnsi="Times New Roman"/>
          <w:sz w:val="24"/>
          <w:szCs w:val="24"/>
        </w:rPr>
        <w:t>转换</w:t>
      </w:r>
      <w:r w:rsidR="00113607" w:rsidRPr="004A673D">
        <w:rPr>
          <w:rFonts w:ascii="Times New Roman" w:hAnsi="Times New Roman" w:hint="eastAsia"/>
          <w:sz w:val="24"/>
          <w:szCs w:val="24"/>
        </w:rPr>
        <w:t>、</w:t>
      </w:r>
      <w:r w:rsidR="00113607" w:rsidRPr="004A673D">
        <w:rPr>
          <w:rFonts w:ascii="Times New Roman" w:hAnsi="Times New Roman"/>
          <w:sz w:val="24"/>
          <w:szCs w:val="24"/>
        </w:rPr>
        <w:t>转托管</w:t>
      </w:r>
      <w:r w:rsidRPr="004A673D">
        <w:rPr>
          <w:rFonts w:ascii="Times New Roman" w:hAnsi="Times New Roman"/>
          <w:sz w:val="24"/>
          <w:szCs w:val="24"/>
        </w:rPr>
        <w:t>等业务。本基金进入清算程序后，停止收取基金管理费、基金托管费。</w:t>
      </w:r>
    </w:p>
    <w:p w:rsidR="00180C25" w:rsidRPr="004A673D" w:rsidRDefault="00180C25" w:rsidP="00DC6CBF">
      <w:pPr>
        <w:spacing w:line="360" w:lineRule="auto"/>
        <w:ind w:firstLineChars="200" w:firstLine="480"/>
        <w:contextualSpacing/>
        <w:rPr>
          <w:rFonts w:ascii="Times New Roman" w:hAnsi="Times New Roman"/>
          <w:sz w:val="24"/>
          <w:szCs w:val="24"/>
        </w:rPr>
      </w:pPr>
    </w:p>
    <w:p w:rsidR="009059F9" w:rsidRPr="004A673D" w:rsidRDefault="009059F9" w:rsidP="00524862">
      <w:pPr>
        <w:pStyle w:val="aa"/>
        <w:numPr>
          <w:ilvl w:val="0"/>
          <w:numId w:val="2"/>
        </w:numPr>
        <w:spacing w:line="360" w:lineRule="auto"/>
        <w:ind w:firstLineChars="0"/>
        <w:contextualSpacing/>
        <w:jc w:val="center"/>
        <w:rPr>
          <w:rFonts w:ascii="Times New Roman" w:hAnsi="Times New Roman"/>
          <w:b/>
          <w:sz w:val="24"/>
          <w:szCs w:val="24"/>
        </w:rPr>
      </w:pPr>
      <w:r w:rsidRPr="004A673D">
        <w:rPr>
          <w:rFonts w:ascii="Times New Roman" w:hAnsi="Times New Roman"/>
          <w:b/>
          <w:sz w:val="24"/>
          <w:szCs w:val="24"/>
        </w:rPr>
        <w:t>财务会计报告</w:t>
      </w:r>
    </w:p>
    <w:p w:rsidR="00233E9D" w:rsidRPr="004A673D" w:rsidRDefault="00233E9D" w:rsidP="009876AD">
      <w:pPr>
        <w:pStyle w:val="aa"/>
        <w:spacing w:line="360" w:lineRule="auto"/>
        <w:ind w:left="510" w:firstLineChars="0" w:firstLine="0"/>
        <w:contextualSpacing/>
        <w:rPr>
          <w:rFonts w:ascii="Times New Roman" w:hAnsi="Times New Roman"/>
          <w:sz w:val="24"/>
          <w:szCs w:val="24"/>
        </w:rPr>
      </w:pPr>
    </w:p>
    <w:p w:rsidR="00E04678" w:rsidRPr="004A673D" w:rsidRDefault="00DC1567"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资产负债表（经审计）</w:t>
      </w:r>
    </w:p>
    <w:p w:rsidR="00DC1567" w:rsidRPr="004A673D" w:rsidRDefault="00DC1567" w:rsidP="00432F6C">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会计主体：</w:t>
      </w:r>
      <w:r w:rsidR="0046093D" w:rsidRPr="004A673D">
        <w:rPr>
          <w:rFonts w:ascii="Times New Roman" w:hAnsi="Times New Roman"/>
          <w:sz w:val="24"/>
          <w:szCs w:val="24"/>
        </w:rPr>
        <w:t>中银盛利纯债一年定期开放债券型证券投资基金（</w:t>
      </w:r>
      <w:r w:rsidR="0046093D" w:rsidRPr="004A673D">
        <w:rPr>
          <w:rFonts w:ascii="Times New Roman" w:hAnsi="Times New Roman"/>
          <w:sz w:val="24"/>
          <w:szCs w:val="24"/>
        </w:rPr>
        <w:t>LOF</w:t>
      </w:r>
      <w:r w:rsidR="0046093D" w:rsidRPr="004A673D">
        <w:rPr>
          <w:rFonts w:ascii="Times New Roman" w:hAnsi="Times New Roman"/>
          <w:sz w:val="24"/>
          <w:szCs w:val="24"/>
        </w:rPr>
        <w:t>）</w:t>
      </w:r>
    </w:p>
    <w:p w:rsidR="00A45032" w:rsidRPr="004A673D" w:rsidRDefault="00A45032" w:rsidP="00434CBE">
      <w:pPr>
        <w:overflowPunct w:val="0"/>
        <w:autoSpaceDE w:val="0"/>
        <w:autoSpaceDN w:val="0"/>
        <w:snapToGrid w:val="0"/>
        <w:spacing w:line="360" w:lineRule="auto"/>
        <w:ind w:firstLineChars="200" w:firstLine="480"/>
        <w:jc w:val="right"/>
        <w:rPr>
          <w:rFonts w:ascii="Times New Roman" w:hAnsi="Times New Roman"/>
          <w:sz w:val="24"/>
          <w:szCs w:val="24"/>
        </w:rPr>
      </w:pPr>
      <w:r w:rsidRPr="004A673D">
        <w:rPr>
          <w:rFonts w:ascii="Times New Roman" w:hAnsi="Times New Roman"/>
          <w:sz w:val="24"/>
          <w:szCs w:val="24"/>
        </w:rPr>
        <w:t>单位</w:t>
      </w:r>
      <w:r w:rsidRPr="004A673D">
        <w:rPr>
          <w:rFonts w:ascii="Times New Roman" w:hAnsi="Times New Roman" w:hint="eastAsia"/>
          <w:sz w:val="24"/>
          <w:szCs w:val="24"/>
        </w:rPr>
        <w:t>：</w:t>
      </w:r>
      <w:r w:rsidRPr="004A673D">
        <w:rPr>
          <w:rFonts w:ascii="Times New Roman" w:hAnsi="Times New Roman"/>
          <w:sz w:val="24"/>
          <w:szCs w:val="24"/>
        </w:rPr>
        <w:t>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3595"/>
      </w:tblGrid>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pPr>
              <w:pStyle w:val="ac"/>
              <w:spacing w:before="0" w:beforeAutospacing="0" w:after="0" w:afterAutospacing="0" w:line="240" w:lineRule="atLeast"/>
              <w:rPr>
                <w:rFonts w:ascii="Times New Roman" w:hAnsi="Times New Roman"/>
              </w:rPr>
            </w:pP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最后运作日</w:t>
            </w:r>
          </w:p>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2020年11月16日</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资</w:t>
            </w:r>
            <w:r w:rsidRPr="004A673D">
              <w:rPr>
                <w:rFonts w:ascii="Times New Roman" w:hAnsi="Times New Roman" w:hint="eastAsia"/>
              </w:rPr>
              <w:t xml:space="preserve"> </w:t>
            </w:r>
            <w:r w:rsidRPr="004A673D">
              <w:rPr>
                <w:rFonts w:ascii="Times New Roman" w:hAnsi="Times New Roman" w:hint="eastAsia"/>
              </w:rPr>
              <w:t>产：</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银行存款</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730,415,816.12</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结算备付金</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4,625,215.45</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存出保证金</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64,453.49</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交易性金融资产</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2,955,000.00</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其中：资产支持证券投资</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2,955,000.00</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应收利息</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182,529.73</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应收证券清算款</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69,255,333.44</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其他资产</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14,458,220.00</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资产总计</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821,956,568.23</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负</w:t>
            </w:r>
            <w:r w:rsidRPr="004A673D">
              <w:rPr>
                <w:rFonts w:ascii="Times New Roman" w:hAnsi="Times New Roman" w:hint="eastAsia"/>
              </w:rPr>
              <w:t xml:space="preserve"> </w:t>
            </w:r>
            <w:r w:rsidRPr="004A673D">
              <w:rPr>
                <w:rFonts w:ascii="Times New Roman" w:hAnsi="Times New Roman" w:hint="eastAsia"/>
              </w:rPr>
              <w:t>债：</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应付赎回款</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 xml:space="preserve">985,462.26  </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应付管理人报酬</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 xml:space="preserve">282,912.61  </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应付托管费</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 xml:space="preserve">80,832.18  </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应付销售服务费</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应付交易费用</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4,404.27</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应交税费</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13,342.71</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其他负债</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 xml:space="preserve">169,597.54   </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负债合计</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 xml:space="preserve">1,536,551.57   </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所有者权益：</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实收基金</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 xml:space="preserve">784,092,366.21   </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未分配利润</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 xml:space="preserve">36,327,650.45   </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所有者权益合计</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 xml:space="preserve">820,420,016.66   </w:t>
            </w:r>
          </w:p>
        </w:tc>
      </w:tr>
      <w:tr w:rsidR="00F27308" w:rsidRPr="004A673D" w:rsidTr="00F27308">
        <w:tc>
          <w:tcPr>
            <w:tcW w:w="2891" w:type="pct"/>
            <w:tcBorders>
              <w:top w:val="single" w:sz="4" w:space="0" w:color="auto"/>
              <w:left w:val="single" w:sz="4" w:space="0" w:color="auto"/>
              <w:bottom w:val="single" w:sz="4" w:space="0" w:color="auto"/>
              <w:right w:val="single" w:sz="4" w:space="0" w:color="auto"/>
            </w:tcBorders>
            <w:vAlign w:val="center"/>
          </w:tcPr>
          <w:p w:rsidR="00F27308" w:rsidRPr="004A673D" w:rsidRDefault="00F27308" w:rsidP="00F27308">
            <w:pPr>
              <w:pStyle w:val="ac"/>
              <w:spacing w:before="0" w:beforeAutospacing="0" w:after="0" w:afterAutospacing="0" w:line="240" w:lineRule="atLeast"/>
              <w:rPr>
                <w:rFonts w:ascii="Times New Roman" w:hAnsi="Times New Roman"/>
              </w:rPr>
            </w:pPr>
            <w:r w:rsidRPr="004A673D">
              <w:rPr>
                <w:rFonts w:ascii="Times New Roman" w:hAnsi="Times New Roman" w:hint="eastAsia"/>
              </w:rPr>
              <w:t>负债和所有者权益总计</w:t>
            </w:r>
          </w:p>
        </w:tc>
        <w:tc>
          <w:tcPr>
            <w:tcW w:w="2109" w:type="pct"/>
            <w:tcBorders>
              <w:top w:val="single" w:sz="4" w:space="0" w:color="auto"/>
              <w:left w:val="single" w:sz="4" w:space="0" w:color="auto"/>
              <w:bottom w:val="single" w:sz="4" w:space="0" w:color="auto"/>
              <w:right w:val="single" w:sz="4" w:space="0" w:color="auto"/>
            </w:tcBorders>
            <w:vAlign w:val="bottom"/>
          </w:tcPr>
          <w:p w:rsidR="00F27308" w:rsidRPr="004A673D" w:rsidRDefault="00F27308" w:rsidP="00F27308">
            <w:pPr>
              <w:pStyle w:val="ac"/>
              <w:spacing w:before="0" w:beforeAutospacing="0" w:after="0" w:afterAutospacing="0" w:line="240" w:lineRule="atLeast"/>
              <w:rPr>
                <w:sz w:val="22"/>
                <w:szCs w:val="22"/>
              </w:rPr>
            </w:pPr>
            <w:r w:rsidRPr="004A673D">
              <w:rPr>
                <w:rFonts w:hint="eastAsia"/>
                <w:sz w:val="22"/>
                <w:szCs w:val="22"/>
              </w:rPr>
              <w:t xml:space="preserve">821,956,568.23   </w:t>
            </w:r>
          </w:p>
        </w:tc>
      </w:tr>
    </w:tbl>
    <w:p w:rsidR="00DC1567" w:rsidRPr="004A673D" w:rsidRDefault="00DC1567" w:rsidP="00524862">
      <w:pPr>
        <w:pStyle w:val="aa"/>
        <w:spacing w:line="360" w:lineRule="auto"/>
        <w:ind w:left="510" w:firstLineChars="0" w:firstLine="0"/>
        <w:contextualSpacing/>
        <w:rPr>
          <w:rFonts w:ascii="Times New Roman" w:hAnsi="Times New Roman"/>
          <w:sz w:val="24"/>
          <w:szCs w:val="24"/>
        </w:rPr>
      </w:pPr>
    </w:p>
    <w:p w:rsidR="00DC1567" w:rsidRPr="004A673D" w:rsidRDefault="007E585B" w:rsidP="008D6A7E">
      <w:pPr>
        <w:pStyle w:val="aa"/>
        <w:numPr>
          <w:ilvl w:val="0"/>
          <w:numId w:val="2"/>
        </w:numPr>
        <w:spacing w:line="360" w:lineRule="auto"/>
        <w:ind w:firstLineChars="0" w:firstLine="426"/>
        <w:contextualSpacing/>
        <w:jc w:val="center"/>
        <w:rPr>
          <w:rFonts w:ascii="Times New Roman" w:hAnsi="Times New Roman"/>
          <w:sz w:val="24"/>
          <w:szCs w:val="24"/>
        </w:rPr>
      </w:pPr>
      <w:r w:rsidRPr="004A673D">
        <w:rPr>
          <w:rFonts w:ascii="Times New Roman" w:hAnsi="Times New Roman"/>
          <w:b/>
          <w:sz w:val="24"/>
          <w:szCs w:val="24"/>
        </w:rPr>
        <w:t>清盘事项说明</w:t>
      </w:r>
    </w:p>
    <w:p w:rsidR="007E585B" w:rsidRPr="004A673D" w:rsidRDefault="00E61271"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1</w:t>
      </w:r>
      <w:r w:rsidR="009E0305" w:rsidRPr="004A673D">
        <w:rPr>
          <w:rFonts w:ascii="Times New Roman" w:hAnsi="Times New Roman"/>
          <w:sz w:val="24"/>
          <w:szCs w:val="24"/>
        </w:rPr>
        <w:t>、清算原因</w:t>
      </w:r>
    </w:p>
    <w:p w:rsidR="00AE6FE2" w:rsidRPr="004A673D" w:rsidRDefault="00155995"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根据《基金合同》“第五部分</w:t>
      </w:r>
      <w:r w:rsidRPr="004A673D">
        <w:rPr>
          <w:rFonts w:ascii="Times New Roman" w:hAnsi="Times New Roman" w:hint="eastAsia"/>
          <w:sz w:val="24"/>
          <w:szCs w:val="24"/>
        </w:rPr>
        <w:t xml:space="preserve"> </w:t>
      </w:r>
      <w:r w:rsidRPr="004A673D">
        <w:rPr>
          <w:rFonts w:ascii="Times New Roman" w:hAnsi="Times New Roman" w:hint="eastAsia"/>
          <w:sz w:val="24"/>
          <w:szCs w:val="24"/>
        </w:rPr>
        <w:t>基金备案”之“三、基金存续期内的基金份额持有人数量和资产规模”及“第</w:t>
      </w:r>
      <w:r w:rsidR="00B3458C" w:rsidRPr="004A673D">
        <w:rPr>
          <w:rFonts w:ascii="Times New Roman" w:hAnsi="Times New Roman"/>
          <w:sz w:val="24"/>
          <w:szCs w:val="24"/>
        </w:rPr>
        <w:t>二十一</w:t>
      </w:r>
      <w:r w:rsidRPr="004A673D">
        <w:rPr>
          <w:rFonts w:ascii="Times New Roman" w:hAnsi="Times New Roman" w:hint="eastAsia"/>
          <w:sz w:val="24"/>
          <w:szCs w:val="24"/>
        </w:rPr>
        <w:t>部分</w:t>
      </w:r>
      <w:r w:rsidRPr="004A673D">
        <w:rPr>
          <w:rFonts w:ascii="Times New Roman" w:hAnsi="Times New Roman" w:hint="eastAsia"/>
          <w:sz w:val="24"/>
          <w:szCs w:val="24"/>
        </w:rPr>
        <w:t xml:space="preserve"> </w:t>
      </w:r>
      <w:r w:rsidRPr="004A673D">
        <w:rPr>
          <w:rFonts w:ascii="Times New Roman" w:hAnsi="Times New Roman" w:hint="eastAsia"/>
          <w:sz w:val="24"/>
          <w:szCs w:val="24"/>
        </w:rPr>
        <w:t>基金合同的变更、终止与基金财产的清算”之“二、《基金合同》的终止事由”的约定</w:t>
      </w:r>
      <w:r w:rsidR="001F43AB" w:rsidRPr="004A673D">
        <w:rPr>
          <w:rFonts w:ascii="Times New Roman" w:hAnsi="Times New Roman" w:hint="eastAsia"/>
          <w:sz w:val="24"/>
          <w:szCs w:val="24"/>
        </w:rPr>
        <w:t>：</w:t>
      </w:r>
    </w:p>
    <w:p w:rsidR="00AE6FE2" w:rsidRPr="004A673D" w:rsidRDefault="00AE6FE2" w:rsidP="00AE6FE2">
      <w:pPr>
        <w:spacing w:line="360" w:lineRule="auto"/>
        <w:ind w:firstLineChars="200" w:firstLine="480"/>
        <w:rPr>
          <w:rFonts w:ascii="Times New Roman" w:hAnsi="Times New Roman"/>
          <w:sz w:val="24"/>
          <w:szCs w:val="24"/>
        </w:rPr>
      </w:pPr>
      <w:r w:rsidRPr="004A673D">
        <w:rPr>
          <w:rFonts w:ascii="Times New Roman" w:hAnsi="Times New Roman" w:hint="eastAsia"/>
          <w:sz w:val="24"/>
          <w:szCs w:val="24"/>
        </w:rPr>
        <w:t>“本基金自基金合同生效之日起，有下列情形之一的，基金管理人与基金托管人协商一致后，有权终止本基金合同：</w:t>
      </w:r>
    </w:p>
    <w:p w:rsidR="00AE6FE2" w:rsidRPr="004A673D" w:rsidRDefault="00AE6FE2" w:rsidP="00AE6FE2">
      <w:pPr>
        <w:spacing w:line="360" w:lineRule="auto"/>
        <w:ind w:firstLineChars="200" w:firstLine="480"/>
        <w:rPr>
          <w:rFonts w:ascii="Times New Roman" w:hAnsi="Times New Roman"/>
          <w:sz w:val="24"/>
          <w:szCs w:val="24"/>
        </w:rPr>
      </w:pPr>
      <w:r w:rsidRPr="004A673D">
        <w:rPr>
          <w:rFonts w:ascii="Times New Roman" w:hAnsi="Times New Roman" w:hint="eastAsia"/>
          <w:sz w:val="24"/>
          <w:szCs w:val="24"/>
        </w:rPr>
        <w:t>1</w:t>
      </w:r>
      <w:r w:rsidRPr="004A673D">
        <w:rPr>
          <w:rFonts w:ascii="Times New Roman" w:hAnsi="Times New Roman" w:hint="eastAsia"/>
          <w:sz w:val="24"/>
          <w:szCs w:val="24"/>
        </w:rPr>
        <w:t>、基金合同生效后，每个开放期期满时，基金份额持有人数量不满</w:t>
      </w:r>
      <w:r w:rsidRPr="004A673D">
        <w:rPr>
          <w:rFonts w:ascii="Times New Roman" w:hAnsi="Times New Roman" w:hint="eastAsia"/>
          <w:sz w:val="24"/>
          <w:szCs w:val="24"/>
        </w:rPr>
        <w:t>200</w:t>
      </w:r>
      <w:r w:rsidRPr="004A673D">
        <w:rPr>
          <w:rFonts w:ascii="Times New Roman" w:hAnsi="Times New Roman" w:hint="eastAsia"/>
          <w:sz w:val="24"/>
          <w:szCs w:val="24"/>
        </w:rPr>
        <w:t>人的；</w:t>
      </w:r>
    </w:p>
    <w:p w:rsidR="00AE6FE2" w:rsidRPr="004A673D" w:rsidRDefault="00AE6FE2" w:rsidP="00AE6FE2">
      <w:pPr>
        <w:spacing w:line="360" w:lineRule="auto"/>
        <w:ind w:firstLineChars="200" w:firstLine="480"/>
        <w:rPr>
          <w:rFonts w:ascii="Times New Roman" w:hAnsi="Times New Roman"/>
          <w:sz w:val="24"/>
          <w:szCs w:val="24"/>
        </w:rPr>
      </w:pPr>
      <w:r w:rsidRPr="004A673D">
        <w:rPr>
          <w:rFonts w:ascii="Times New Roman" w:hAnsi="Times New Roman" w:hint="eastAsia"/>
          <w:sz w:val="24"/>
          <w:szCs w:val="24"/>
        </w:rPr>
        <w:t>2</w:t>
      </w:r>
      <w:r w:rsidRPr="004A673D">
        <w:rPr>
          <w:rFonts w:ascii="Times New Roman" w:hAnsi="Times New Roman" w:hint="eastAsia"/>
          <w:sz w:val="24"/>
          <w:szCs w:val="24"/>
        </w:rPr>
        <w:t>、基金合同生效后，每个开放期期满时，基金资产净值低于</w:t>
      </w:r>
      <w:r w:rsidRPr="004A673D">
        <w:rPr>
          <w:rFonts w:ascii="Times New Roman" w:hAnsi="Times New Roman" w:hint="eastAsia"/>
          <w:sz w:val="24"/>
          <w:szCs w:val="24"/>
        </w:rPr>
        <w:t>5000</w:t>
      </w:r>
      <w:r w:rsidRPr="004A673D">
        <w:rPr>
          <w:rFonts w:ascii="Times New Roman" w:hAnsi="Times New Roman" w:hint="eastAsia"/>
          <w:sz w:val="24"/>
          <w:szCs w:val="24"/>
        </w:rPr>
        <w:t>万元的；</w:t>
      </w:r>
    </w:p>
    <w:p w:rsidR="00AE6FE2" w:rsidRPr="004A673D" w:rsidRDefault="00AE6FE2" w:rsidP="00AE6FE2">
      <w:pPr>
        <w:spacing w:line="360" w:lineRule="auto"/>
        <w:ind w:firstLineChars="200" w:firstLine="480"/>
        <w:rPr>
          <w:rFonts w:ascii="Times New Roman" w:hAnsi="Times New Roman"/>
          <w:sz w:val="24"/>
          <w:szCs w:val="24"/>
        </w:rPr>
      </w:pPr>
      <w:r w:rsidRPr="004A673D">
        <w:rPr>
          <w:rFonts w:ascii="Times New Roman" w:hAnsi="Times New Roman" w:hint="eastAsia"/>
          <w:sz w:val="24"/>
          <w:szCs w:val="24"/>
        </w:rPr>
        <w:t>3</w:t>
      </w:r>
      <w:r w:rsidRPr="004A673D">
        <w:rPr>
          <w:rFonts w:ascii="Times New Roman" w:hAnsi="Times New Roman" w:hint="eastAsia"/>
          <w:sz w:val="24"/>
          <w:szCs w:val="24"/>
        </w:rPr>
        <w:t>、基金合同生效后，每个开放期期满时，基金前十大份额持有人持有基金份额总数超过基金总份额</w:t>
      </w:r>
      <w:r w:rsidRPr="004A673D">
        <w:rPr>
          <w:rFonts w:ascii="Times New Roman" w:hAnsi="Times New Roman" w:hint="eastAsia"/>
          <w:sz w:val="24"/>
          <w:szCs w:val="24"/>
        </w:rPr>
        <w:t>90%</w:t>
      </w:r>
      <w:r w:rsidRPr="004A673D">
        <w:rPr>
          <w:rFonts w:ascii="Times New Roman" w:hAnsi="Times New Roman" w:hint="eastAsia"/>
          <w:sz w:val="24"/>
          <w:szCs w:val="24"/>
        </w:rPr>
        <w:t>的。</w:t>
      </w:r>
    </w:p>
    <w:p w:rsidR="00AE6FE2" w:rsidRPr="004A673D" w:rsidRDefault="00AE6FE2" w:rsidP="00AE6FE2">
      <w:pPr>
        <w:spacing w:line="360" w:lineRule="auto"/>
        <w:ind w:firstLineChars="200" w:firstLine="480"/>
        <w:rPr>
          <w:rFonts w:ascii="Times New Roman" w:hAnsi="Times New Roman"/>
          <w:sz w:val="24"/>
          <w:szCs w:val="24"/>
        </w:rPr>
      </w:pPr>
      <w:r w:rsidRPr="004A673D">
        <w:rPr>
          <w:rFonts w:ascii="Times New Roman" w:hAnsi="Times New Roman" w:hint="eastAsia"/>
          <w:sz w:val="24"/>
          <w:szCs w:val="24"/>
        </w:rPr>
        <w:t>由上述情形导致基金合同终止，不需召开基金份额持有人大会。</w:t>
      </w:r>
    </w:p>
    <w:p w:rsidR="00AE6FE2" w:rsidRPr="004A673D" w:rsidRDefault="00AE6FE2" w:rsidP="00AE6FE2">
      <w:pPr>
        <w:spacing w:line="360" w:lineRule="auto"/>
        <w:ind w:firstLineChars="200" w:firstLine="480"/>
        <w:rPr>
          <w:rFonts w:ascii="Times New Roman" w:hAnsi="Times New Roman"/>
          <w:sz w:val="24"/>
          <w:szCs w:val="24"/>
        </w:rPr>
      </w:pPr>
      <w:r w:rsidRPr="004A673D">
        <w:rPr>
          <w:rFonts w:ascii="Times New Roman" w:hAnsi="Times New Roman" w:hint="eastAsia"/>
          <w:sz w:val="24"/>
          <w:szCs w:val="24"/>
        </w:rPr>
        <w:t>法律法规另有规定时，从其规定。”</w:t>
      </w:r>
    </w:p>
    <w:p w:rsidR="00AE6FE2" w:rsidRPr="004A673D" w:rsidRDefault="00AE6FE2" w:rsidP="00AE6FE2">
      <w:pPr>
        <w:spacing w:line="360" w:lineRule="auto"/>
        <w:ind w:firstLineChars="200" w:firstLine="480"/>
        <w:rPr>
          <w:rFonts w:ascii="Times New Roman" w:hAnsi="Times New Roman"/>
          <w:sz w:val="24"/>
          <w:szCs w:val="24"/>
        </w:rPr>
      </w:pPr>
      <w:r w:rsidRPr="004A673D">
        <w:rPr>
          <w:rFonts w:ascii="Times New Roman" w:hAnsi="Times New Roman" w:hint="eastAsia"/>
          <w:sz w:val="24"/>
          <w:szCs w:val="24"/>
        </w:rPr>
        <w:t>本基金截止本次开放期末日</w:t>
      </w:r>
      <w:r w:rsidRPr="004A673D">
        <w:rPr>
          <w:rFonts w:ascii="Times New Roman" w:hAnsi="Times New Roman" w:hint="eastAsia"/>
          <w:sz w:val="24"/>
          <w:szCs w:val="24"/>
        </w:rPr>
        <w:t>2020</w:t>
      </w:r>
      <w:r w:rsidRPr="004A673D">
        <w:rPr>
          <w:rFonts w:ascii="Times New Roman" w:hAnsi="Times New Roman" w:hint="eastAsia"/>
          <w:sz w:val="24"/>
          <w:szCs w:val="24"/>
        </w:rPr>
        <w:t>年</w:t>
      </w:r>
      <w:r w:rsidRPr="004A673D">
        <w:rPr>
          <w:rFonts w:ascii="Times New Roman" w:hAnsi="Times New Roman" w:hint="eastAsia"/>
          <w:sz w:val="24"/>
          <w:szCs w:val="24"/>
        </w:rPr>
        <w:t>11</w:t>
      </w:r>
      <w:r w:rsidRPr="004A673D">
        <w:rPr>
          <w:rFonts w:ascii="Times New Roman" w:hAnsi="Times New Roman" w:hint="eastAsia"/>
          <w:sz w:val="24"/>
          <w:szCs w:val="24"/>
        </w:rPr>
        <w:t>月</w:t>
      </w:r>
      <w:r w:rsidRPr="004A673D">
        <w:rPr>
          <w:rFonts w:ascii="Times New Roman" w:hAnsi="Times New Roman" w:hint="eastAsia"/>
          <w:sz w:val="24"/>
          <w:szCs w:val="24"/>
        </w:rPr>
        <w:t>13</w:t>
      </w:r>
      <w:r w:rsidRPr="004A673D">
        <w:rPr>
          <w:rFonts w:ascii="Times New Roman" w:hAnsi="Times New Roman" w:hint="eastAsia"/>
          <w:sz w:val="24"/>
          <w:szCs w:val="24"/>
        </w:rPr>
        <w:t>日日终，前十大份额持有人持有基金份额总数为</w:t>
      </w:r>
      <w:r w:rsidRPr="004A673D">
        <w:rPr>
          <w:rFonts w:ascii="Times New Roman" w:hAnsi="Times New Roman" w:hint="eastAsia"/>
          <w:sz w:val="24"/>
          <w:szCs w:val="24"/>
        </w:rPr>
        <w:t>94.19%</w:t>
      </w:r>
      <w:r w:rsidRPr="004A673D">
        <w:rPr>
          <w:rFonts w:ascii="Times New Roman" w:hAnsi="Times New Roman" w:hint="eastAsia"/>
          <w:sz w:val="24"/>
          <w:szCs w:val="24"/>
        </w:rPr>
        <w:t>，超过基金总份额</w:t>
      </w:r>
      <w:r w:rsidRPr="004A673D">
        <w:rPr>
          <w:rFonts w:ascii="Times New Roman" w:hAnsi="Times New Roman" w:hint="eastAsia"/>
          <w:sz w:val="24"/>
          <w:szCs w:val="24"/>
        </w:rPr>
        <w:t>90%</w:t>
      </w:r>
      <w:r w:rsidRPr="004A673D">
        <w:rPr>
          <w:rFonts w:ascii="Times New Roman" w:hAnsi="Times New Roman" w:hint="eastAsia"/>
          <w:sz w:val="24"/>
          <w:szCs w:val="24"/>
        </w:rPr>
        <w:t>，满足触发《基金合同》终止的情形。</w:t>
      </w:r>
      <w:r w:rsidR="00E64758" w:rsidRPr="004A673D">
        <w:rPr>
          <w:rFonts w:ascii="Times New Roman" w:hAnsi="Times New Roman"/>
          <w:sz w:val="24"/>
          <w:szCs w:val="24"/>
        </w:rPr>
        <w:t>基金管理人</w:t>
      </w:r>
      <w:r w:rsidRPr="004A673D">
        <w:rPr>
          <w:rFonts w:ascii="Times New Roman" w:hAnsi="Times New Roman" w:hint="eastAsia"/>
          <w:sz w:val="24"/>
          <w:szCs w:val="24"/>
        </w:rPr>
        <w:t>经与基金托管人中国</w:t>
      </w:r>
      <w:r w:rsidRPr="004A673D">
        <w:rPr>
          <w:rFonts w:ascii="Times New Roman" w:hAnsi="Times New Roman"/>
          <w:sz w:val="24"/>
          <w:szCs w:val="24"/>
        </w:rPr>
        <w:t>工商</w:t>
      </w:r>
      <w:r w:rsidRPr="004A673D">
        <w:rPr>
          <w:rFonts w:ascii="Times New Roman" w:hAnsi="Times New Roman" w:hint="eastAsia"/>
          <w:sz w:val="24"/>
          <w:szCs w:val="24"/>
        </w:rPr>
        <w:t>银行股份有限公司协商一致，决定终止《基金合同》。</w:t>
      </w:r>
    </w:p>
    <w:p w:rsidR="007E585B" w:rsidRPr="004A673D" w:rsidRDefault="00E61271"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2</w:t>
      </w:r>
      <w:r w:rsidR="009E0305" w:rsidRPr="004A673D">
        <w:rPr>
          <w:rFonts w:ascii="Times New Roman" w:hAnsi="Times New Roman"/>
          <w:sz w:val="24"/>
          <w:szCs w:val="24"/>
        </w:rPr>
        <w:t>、清算起始日</w:t>
      </w:r>
    </w:p>
    <w:p w:rsidR="009E0305" w:rsidRPr="004A673D" w:rsidRDefault="00155995" w:rsidP="0011591D">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根据《关于</w:t>
      </w:r>
      <w:r w:rsidR="0046093D" w:rsidRPr="004A673D">
        <w:rPr>
          <w:rFonts w:ascii="Times New Roman" w:hAnsi="Times New Roman" w:hint="eastAsia"/>
          <w:sz w:val="24"/>
          <w:szCs w:val="24"/>
        </w:rPr>
        <w:t>中银盛利纯债一年定期开放债券型证券投资基金（</w:t>
      </w:r>
      <w:r w:rsidR="0046093D" w:rsidRPr="004A673D">
        <w:rPr>
          <w:rFonts w:ascii="Times New Roman" w:hAnsi="Times New Roman" w:hint="eastAsia"/>
          <w:sz w:val="24"/>
          <w:szCs w:val="24"/>
        </w:rPr>
        <w:t>LOF</w:t>
      </w:r>
      <w:r w:rsidR="0046093D" w:rsidRPr="004A673D">
        <w:rPr>
          <w:rFonts w:ascii="Times New Roman" w:hAnsi="Times New Roman" w:hint="eastAsia"/>
          <w:sz w:val="24"/>
          <w:szCs w:val="24"/>
        </w:rPr>
        <w:t>）</w:t>
      </w:r>
      <w:r w:rsidRPr="004A673D">
        <w:rPr>
          <w:rFonts w:ascii="Times New Roman" w:hAnsi="Times New Roman" w:hint="eastAsia"/>
          <w:sz w:val="24"/>
          <w:szCs w:val="24"/>
        </w:rPr>
        <w:t>基金合同终止及基金财产清算的公告》，自</w:t>
      </w:r>
      <w:r w:rsidR="00AE6FE2" w:rsidRPr="004A673D">
        <w:rPr>
          <w:rFonts w:ascii="Times New Roman" w:hAnsi="Times New Roman" w:hint="eastAsia"/>
          <w:sz w:val="24"/>
          <w:szCs w:val="24"/>
        </w:rPr>
        <w:t>2020</w:t>
      </w:r>
      <w:r w:rsidR="00AB1837" w:rsidRPr="004A673D">
        <w:rPr>
          <w:rFonts w:ascii="Times New Roman" w:hAnsi="Times New Roman" w:hint="eastAsia"/>
          <w:sz w:val="24"/>
          <w:szCs w:val="24"/>
        </w:rPr>
        <w:t>年</w:t>
      </w:r>
      <w:r w:rsidR="00AB1837" w:rsidRPr="004A673D">
        <w:rPr>
          <w:rFonts w:ascii="Times New Roman" w:hAnsi="Times New Roman" w:hint="eastAsia"/>
          <w:sz w:val="24"/>
          <w:szCs w:val="24"/>
        </w:rPr>
        <w:t>11</w:t>
      </w:r>
      <w:r w:rsidRPr="004A673D">
        <w:rPr>
          <w:rFonts w:ascii="Times New Roman" w:hAnsi="Times New Roman" w:hint="eastAsia"/>
          <w:sz w:val="24"/>
          <w:szCs w:val="24"/>
        </w:rPr>
        <w:t>月</w:t>
      </w:r>
      <w:r w:rsidR="00AE6FE2" w:rsidRPr="004A673D">
        <w:rPr>
          <w:rFonts w:ascii="Times New Roman" w:hAnsi="Times New Roman" w:hint="eastAsia"/>
          <w:sz w:val="24"/>
          <w:szCs w:val="24"/>
        </w:rPr>
        <w:t>17</w:t>
      </w:r>
      <w:r w:rsidRPr="004A673D">
        <w:rPr>
          <w:rFonts w:ascii="Times New Roman" w:hAnsi="Times New Roman" w:hint="eastAsia"/>
          <w:sz w:val="24"/>
          <w:szCs w:val="24"/>
        </w:rPr>
        <w:t>日起，本基金进入清算程序。故本基金清算起始日为</w:t>
      </w:r>
      <w:r w:rsidR="00AE6FE2" w:rsidRPr="004A673D">
        <w:rPr>
          <w:rFonts w:ascii="Times New Roman" w:hAnsi="Times New Roman" w:hint="eastAsia"/>
          <w:sz w:val="24"/>
          <w:szCs w:val="24"/>
        </w:rPr>
        <w:t>2020</w:t>
      </w:r>
      <w:r w:rsidR="00AB1837" w:rsidRPr="004A673D">
        <w:rPr>
          <w:rFonts w:ascii="Times New Roman" w:hAnsi="Times New Roman" w:hint="eastAsia"/>
          <w:sz w:val="24"/>
          <w:szCs w:val="24"/>
        </w:rPr>
        <w:t>年</w:t>
      </w:r>
      <w:r w:rsidR="00AB1837" w:rsidRPr="004A673D">
        <w:rPr>
          <w:rFonts w:ascii="Times New Roman" w:hAnsi="Times New Roman" w:hint="eastAsia"/>
          <w:sz w:val="24"/>
          <w:szCs w:val="24"/>
        </w:rPr>
        <w:t>11</w:t>
      </w:r>
      <w:r w:rsidRPr="004A673D">
        <w:rPr>
          <w:rFonts w:ascii="Times New Roman" w:hAnsi="Times New Roman" w:hint="eastAsia"/>
          <w:sz w:val="24"/>
          <w:szCs w:val="24"/>
        </w:rPr>
        <w:t>月</w:t>
      </w:r>
      <w:r w:rsidR="00AE6FE2" w:rsidRPr="004A673D">
        <w:rPr>
          <w:rFonts w:ascii="Times New Roman" w:hAnsi="Times New Roman" w:hint="eastAsia"/>
          <w:sz w:val="24"/>
          <w:szCs w:val="24"/>
        </w:rPr>
        <w:t>17</w:t>
      </w:r>
      <w:r w:rsidRPr="004A673D">
        <w:rPr>
          <w:rFonts w:ascii="Times New Roman" w:hAnsi="Times New Roman" w:hint="eastAsia"/>
          <w:sz w:val="24"/>
          <w:szCs w:val="24"/>
        </w:rPr>
        <w:t>日。</w:t>
      </w:r>
      <w:r w:rsidR="00A037E3" w:rsidRPr="004A673D">
        <w:rPr>
          <w:rFonts w:ascii="Times New Roman" w:hAnsi="Times New Roman" w:hint="eastAsia"/>
          <w:sz w:val="24"/>
          <w:szCs w:val="24"/>
        </w:rPr>
        <w:t>本次清算期间为</w:t>
      </w:r>
      <w:r w:rsidR="00A037E3" w:rsidRPr="004A673D">
        <w:rPr>
          <w:rFonts w:ascii="Times New Roman" w:hAnsi="Times New Roman" w:hint="eastAsia"/>
          <w:sz w:val="24"/>
          <w:szCs w:val="24"/>
        </w:rPr>
        <w:t>2020</w:t>
      </w:r>
      <w:r w:rsidR="00A037E3" w:rsidRPr="004A673D">
        <w:rPr>
          <w:rFonts w:ascii="Times New Roman" w:hAnsi="Times New Roman" w:hint="eastAsia"/>
          <w:sz w:val="24"/>
          <w:szCs w:val="24"/>
        </w:rPr>
        <w:t>年</w:t>
      </w:r>
      <w:r w:rsidR="00A037E3" w:rsidRPr="004A673D">
        <w:rPr>
          <w:rFonts w:ascii="Times New Roman" w:hAnsi="Times New Roman" w:hint="eastAsia"/>
          <w:sz w:val="24"/>
          <w:szCs w:val="24"/>
        </w:rPr>
        <w:t>11</w:t>
      </w:r>
      <w:r w:rsidR="00A037E3" w:rsidRPr="004A673D">
        <w:rPr>
          <w:rFonts w:ascii="Times New Roman" w:hAnsi="Times New Roman" w:hint="eastAsia"/>
          <w:sz w:val="24"/>
          <w:szCs w:val="24"/>
        </w:rPr>
        <w:t>月</w:t>
      </w:r>
      <w:r w:rsidR="00A037E3" w:rsidRPr="004A673D">
        <w:rPr>
          <w:rFonts w:ascii="Times New Roman" w:hAnsi="Times New Roman" w:hint="eastAsia"/>
          <w:sz w:val="24"/>
          <w:szCs w:val="24"/>
        </w:rPr>
        <w:t>17</w:t>
      </w:r>
      <w:r w:rsidR="00A037E3" w:rsidRPr="004A673D">
        <w:rPr>
          <w:rFonts w:ascii="Times New Roman" w:hAnsi="Times New Roman" w:hint="eastAsia"/>
          <w:sz w:val="24"/>
          <w:szCs w:val="24"/>
        </w:rPr>
        <w:t>日至</w:t>
      </w:r>
      <w:r w:rsidR="00A037E3" w:rsidRPr="004A673D">
        <w:rPr>
          <w:rFonts w:ascii="Times New Roman" w:hAnsi="Times New Roman" w:hint="eastAsia"/>
          <w:sz w:val="24"/>
          <w:szCs w:val="24"/>
        </w:rPr>
        <w:t>2020</w:t>
      </w:r>
      <w:r w:rsidR="00A037E3" w:rsidRPr="004A673D">
        <w:rPr>
          <w:rFonts w:ascii="Times New Roman" w:hAnsi="Times New Roman" w:hint="eastAsia"/>
          <w:sz w:val="24"/>
          <w:szCs w:val="24"/>
        </w:rPr>
        <w:t>年</w:t>
      </w:r>
      <w:r w:rsidR="00A037E3" w:rsidRPr="004A673D">
        <w:rPr>
          <w:rFonts w:ascii="Times New Roman" w:hAnsi="Times New Roman" w:hint="eastAsia"/>
          <w:sz w:val="24"/>
          <w:szCs w:val="24"/>
        </w:rPr>
        <w:t>12</w:t>
      </w:r>
      <w:r w:rsidR="00A037E3" w:rsidRPr="004A673D">
        <w:rPr>
          <w:rFonts w:ascii="Times New Roman" w:hAnsi="Times New Roman" w:hint="eastAsia"/>
          <w:sz w:val="24"/>
          <w:szCs w:val="24"/>
        </w:rPr>
        <w:t>月</w:t>
      </w:r>
      <w:r w:rsidR="00A037E3" w:rsidRPr="004A673D">
        <w:rPr>
          <w:rFonts w:ascii="Times New Roman" w:hAnsi="Times New Roman" w:hint="eastAsia"/>
          <w:sz w:val="24"/>
          <w:szCs w:val="24"/>
        </w:rPr>
        <w:t>3</w:t>
      </w:r>
      <w:r w:rsidR="00A037E3" w:rsidRPr="004A673D">
        <w:rPr>
          <w:rFonts w:ascii="Times New Roman" w:hAnsi="Times New Roman" w:hint="eastAsia"/>
          <w:sz w:val="24"/>
          <w:szCs w:val="24"/>
        </w:rPr>
        <w:t>日</w:t>
      </w:r>
      <w:r w:rsidR="003D0D72" w:rsidRPr="004A673D">
        <w:rPr>
          <w:rFonts w:ascii="Times New Roman" w:hAnsi="Times New Roman" w:hint="eastAsia"/>
          <w:sz w:val="24"/>
          <w:szCs w:val="24"/>
        </w:rPr>
        <w:t>，</w:t>
      </w:r>
      <w:r w:rsidR="00A14549" w:rsidRPr="004A673D">
        <w:rPr>
          <w:rFonts w:ascii="Times New Roman" w:hAnsi="Times New Roman" w:hint="eastAsia"/>
          <w:sz w:val="24"/>
          <w:szCs w:val="24"/>
        </w:rPr>
        <w:t>由于本基金持有的流通受限债券无法确定变现时间，本基金</w:t>
      </w:r>
      <w:r w:rsidR="00E7345A" w:rsidRPr="004A673D">
        <w:rPr>
          <w:rFonts w:ascii="Times New Roman" w:hAnsi="Times New Roman" w:hint="eastAsia"/>
          <w:sz w:val="24"/>
          <w:szCs w:val="24"/>
        </w:rPr>
        <w:t>将</w:t>
      </w:r>
      <w:r w:rsidR="0011591D" w:rsidRPr="004A673D">
        <w:rPr>
          <w:rFonts w:ascii="Times New Roman" w:hAnsi="Times New Roman" w:hint="eastAsia"/>
          <w:sz w:val="24"/>
          <w:szCs w:val="24"/>
        </w:rPr>
        <w:t>在流通受限债券变现后</w:t>
      </w:r>
      <w:r w:rsidR="00FF610A" w:rsidRPr="004A673D">
        <w:rPr>
          <w:rFonts w:ascii="Times New Roman" w:hAnsi="Times New Roman" w:hint="eastAsia"/>
          <w:sz w:val="24"/>
          <w:szCs w:val="24"/>
        </w:rPr>
        <w:t>按照基金份额持有人持有的基金份额比例</w:t>
      </w:r>
      <w:r w:rsidR="00E7345A" w:rsidRPr="004A673D">
        <w:rPr>
          <w:rFonts w:ascii="Times New Roman" w:hAnsi="Times New Roman" w:hint="eastAsia"/>
          <w:sz w:val="24"/>
          <w:szCs w:val="24"/>
        </w:rPr>
        <w:t>进行</w:t>
      </w:r>
      <w:r w:rsidR="0011591D" w:rsidRPr="004A673D">
        <w:rPr>
          <w:rFonts w:ascii="Times New Roman" w:hAnsi="Times New Roman" w:hint="eastAsia"/>
          <w:sz w:val="24"/>
          <w:szCs w:val="24"/>
        </w:rPr>
        <w:t>二次分配，二次分配的时间</w:t>
      </w:r>
      <w:r w:rsidR="00EF3506" w:rsidRPr="004A673D">
        <w:rPr>
          <w:rFonts w:ascii="Times New Roman" w:hAnsi="Times New Roman" w:hint="eastAsia"/>
          <w:sz w:val="24"/>
          <w:szCs w:val="24"/>
        </w:rPr>
        <w:t>安排</w:t>
      </w:r>
      <w:r w:rsidR="0011591D" w:rsidRPr="004A673D">
        <w:rPr>
          <w:rFonts w:ascii="Times New Roman" w:hAnsi="Times New Roman" w:hint="eastAsia"/>
          <w:sz w:val="24"/>
          <w:szCs w:val="24"/>
        </w:rPr>
        <w:t>将根据流通受限债券的变现时间确定</w:t>
      </w:r>
      <w:r w:rsidR="00A14549" w:rsidRPr="004A673D">
        <w:rPr>
          <w:rFonts w:ascii="Times New Roman" w:hAnsi="Times New Roman" w:hint="eastAsia"/>
          <w:sz w:val="24"/>
          <w:szCs w:val="24"/>
        </w:rPr>
        <w:t>。</w:t>
      </w:r>
    </w:p>
    <w:p w:rsidR="007E585B" w:rsidRPr="004A673D" w:rsidRDefault="00E61271"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3</w:t>
      </w:r>
      <w:r w:rsidR="009E0305" w:rsidRPr="004A673D">
        <w:rPr>
          <w:rFonts w:ascii="Times New Roman" w:hAnsi="Times New Roman"/>
          <w:sz w:val="24"/>
          <w:szCs w:val="24"/>
        </w:rPr>
        <w:t>、清算报告编制基础</w:t>
      </w:r>
    </w:p>
    <w:p w:rsidR="00EB0183" w:rsidRPr="004A673D" w:rsidRDefault="00155995" w:rsidP="008D6A7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的清算报表是在非持续经营的前提下参考《企业会计准则》及《证券投资基金会计核算业务指引》的有关规定编制的。自本基金最后运作日起，资产负债按清算价格计价。由于报告性质所致，本清算报表并无比较期间的相关数据列示。</w:t>
      </w:r>
    </w:p>
    <w:p w:rsidR="00483228" w:rsidRPr="004A673D" w:rsidRDefault="00483228" w:rsidP="008D6A7E">
      <w:pPr>
        <w:overflowPunct w:val="0"/>
        <w:autoSpaceDE w:val="0"/>
        <w:autoSpaceDN w:val="0"/>
        <w:snapToGrid w:val="0"/>
        <w:spacing w:line="360" w:lineRule="auto"/>
        <w:ind w:firstLineChars="200" w:firstLine="480"/>
        <w:jc w:val="left"/>
        <w:rPr>
          <w:rFonts w:ascii="Times New Roman" w:hAnsi="Times New Roman"/>
          <w:sz w:val="24"/>
          <w:szCs w:val="24"/>
        </w:rPr>
      </w:pPr>
    </w:p>
    <w:p w:rsidR="00F14E8F" w:rsidRPr="004A673D" w:rsidRDefault="009059F9" w:rsidP="003C14D1">
      <w:pPr>
        <w:pStyle w:val="aa"/>
        <w:numPr>
          <w:ilvl w:val="0"/>
          <w:numId w:val="2"/>
        </w:numPr>
        <w:spacing w:line="360" w:lineRule="auto"/>
        <w:ind w:firstLineChars="0"/>
        <w:contextualSpacing/>
        <w:jc w:val="center"/>
        <w:rPr>
          <w:rFonts w:ascii="Times New Roman" w:hAnsi="Times New Roman"/>
          <w:b/>
          <w:sz w:val="24"/>
          <w:szCs w:val="24"/>
        </w:rPr>
      </w:pPr>
      <w:r w:rsidRPr="004A673D">
        <w:rPr>
          <w:rFonts w:ascii="Times New Roman" w:hAnsi="Times New Roman"/>
          <w:b/>
          <w:sz w:val="24"/>
          <w:szCs w:val="24"/>
        </w:rPr>
        <w:t>基金财产分配</w:t>
      </w:r>
    </w:p>
    <w:p w:rsidR="00483228" w:rsidRPr="004A673D" w:rsidRDefault="00483228" w:rsidP="00334F82">
      <w:pPr>
        <w:pStyle w:val="aa"/>
        <w:spacing w:line="360" w:lineRule="auto"/>
        <w:ind w:left="510" w:firstLineChars="0" w:firstLine="0"/>
        <w:contextualSpacing/>
        <w:rPr>
          <w:rFonts w:ascii="Times New Roman" w:hAnsi="Times New Roman"/>
          <w:b/>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自</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11</w:t>
      </w:r>
      <w:r w:rsidRPr="004A673D">
        <w:rPr>
          <w:rFonts w:ascii="Times New Roman" w:hAnsi="Times New Roman" w:hint="eastAsia"/>
          <w:sz w:val="24"/>
          <w:szCs w:val="24"/>
        </w:rPr>
        <w:t>月</w:t>
      </w:r>
      <w:r w:rsidRPr="004A673D">
        <w:rPr>
          <w:rFonts w:ascii="Times New Roman" w:hAnsi="Times New Roman"/>
          <w:sz w:val="24"/>
          <w:szCs w:val="24"/>
        </w:rPr>
        <w:t>17</w:t>
      </w:r>
      <w:r w:rsidRPr="004A673D">
        <w:rPr>
          <w:rFonts w:ascii="Times New Roman" w:hAnsi="Times New Roman" w:hint="eastAsia"/>
          <w:sz w:val="24"/>
          <w:szCs w:val="24"/>
        </w:rPr>
        <w:t>日至</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3</w:t>
      </w:r>
      <w:r w:rsidRPr="004A673D">
        <w:rPr>
          <w:rFonts w:ascii="Times New Roman" w:hAnsi="Times New Roman" w:hint="eastAsia"/>
          <w:sz w:val="24"/>
          <w:szCs w:val="24"/>
        </w:rPr>
        <w:t>日止的清算期间，本基金基金财产清算小组对本基金的资产、负债进行</w:t>
      </w:r>
      <w:r w:rsidR="00B0438B" w:rsidRPr="004A673D">
        <w:rPr>
          <w:rFonts w:ascii="Times New Roman" w:hAnsi="Times New Roman" w:hint="eastAsia"/>
          <w:sz w:val="24"/>
          <w:szCs w:val="24"/>
        </w:rPr>
        <w:t>本</w:t>
      </w:r>
      <w:r w:rsidRPr="004A673D">
        <w:rPr>
          <w:rFonts w:ascii="Times New Roman" w:hAnsi="Times New Roman" w:hint="eastAsia"/>
          <w:sz w:val="24"/>
          <w:szCs w:val="24"/>
        </w:rPr>
        <w:t>次清算，全部清算工作按清算原则和清算手续进行。具体清算情况如下：</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1</w:t>
      </w:r>
      <w:r w:rsidRPr="004A673D">
        <w:rPr>
          <w:rFonts w:ascii="Times New Roman" w:hAnsi="Times New Roman" w:hint="eastAsia"/>
          <w:sz w:val="24"/>
          <w:szCs w:val="24"/>
        </w:rPr>
        <w:t>、</w:t>
      </w:r>
      <w:r w:rsidRPr="004A673D">
        <w:rPr>
          <w:rFonts w:ascii="Times New Roman" w:hAnsi="Times New Roman"/>
          <w:sz w:val="24"/>
          <w:szCs w:val="24"/>
        </w:rPr>
        <w:tab/>
      </w:r>
      <w:r w:rsidRPr="004A673D">
        <w:rPr>
          <w:rFonts w:ascii="Times New Roman" w:hAnsi="Times New Roman" w:hint="eastAsia"/>
          <w:sz w:val="24"/>
          <w:szCs w:val="24"/>
        </w:rPr>
        <w:t>资产处置情况</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本基金最后运作日存出保证金为人民币</w:t>
      </w:r>
      <w:r w:rsidRPr="004A673D">
        <w:rPr>
          <w:rFonts w:ascii="Times New Roman" w:hAnsi="Times New Roman"/>
          <w:sz w:val="24"/>
          <w:szCs w:val="24"/>
        </w:rPr>
        <w:t>64,453.49</w:t>
      </w:r>
      <w:r w:rsidRPr="004A673D">
        <w:rPr>
          <w:rFonts w:ascii="Times New Roman" w:hAnsi="Times New Roman" w:hint="eastAsia"/>
          <w:sz w:val="24"/>
          <w:szCs w:val="24"/>
        </w:rPr>
        <w:t>元，其中人民币</w:t>
      </w:r>
      <w:r w:rsidRPr="004A673D">
        <w:rPr>
          <w:rFonts w:ascii="Times New Roman" w:hAnsi="Times New Roman"/>
          <w:sz w:val="24"/>
          <w:szCs w:val="24"/>
        </w:rPr>
        <w:t>3,773.48</w:t>
      </w:r>
      <w:r w:rsidRPr="004A673D">
        <w:rPr>
          <w:rFonts w:ascii="Times New Roman" w:hAnsi="Times New Roman" w:hint="eastAsia"/>
          <w:sz w:val="24"/>
          <w:szCs w:val="24"/>
        </w:rPr>
        <w:t>元已于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2</w:t>
      </w:r>
      <w:r w:rsidRPr="004A673D">
        <w:rPr>
          <w:rFonts w:ascii="Times New Roman" w:hAnsi="Times New Roman" w:hint="eastAsia"/>
          <w:sz w:val="24"/>
          <w:szCs w:val="24"/>
        </w:rPr>
        <w:t>日划入托管户，剩余的人民币</w:t>
      </w:r>
      <w:r w:rsidRPr="004A673D">
        <w:rPr>
          <w:rFonts w:ascii="Times New Roman" w:hAnsi="Times New Roman"/>
          <w:sz w:val="24"/>
          <w:szCs w:val="24"/>
        </w:rPr>
        <w:t>60,680.01</w:t>
      </w:r>
      <w:r w:rsidRPr="004A673D">
        <w:rPr>
          <w:rFonts w:ascii="Times New Roman" w:hAnsi="Times New Roman" w:hint="eastAsia"/>
          <w:sz w:val="24"/>
          <w:szCs w:val="24"/>
        </w:rPr>
        <w:t>元将</w:t>
      </w:r>
      <w:r w:rsidR="004679B4" w:rsidRPr="004A673D">
        <w:rPr>
          <w:rFonts w:ascii="Times New Roman" w:hAnsi="Times New Roman" w:hint="eastAsia"/>
          <w:sz w:val="24"/>
          <w:szCs w:val="24"/>
        </w:rPr>
        <w:t>按照</w:t>
      </w:r>
      <w:r w:rsidRPr="004A673D">
        <w:rPr>
          <w:rFonts w:ascii="Times New Roman" w:hAnsi="Times New Roman" w:hint="eastAsia"/>
          <w:sz w:val="24"/>
          <w:szCs w:val="24"/>
        </w:rPr>
        <w:t>基金份额持有人</w:t>
      </w:r>
      <w:r w:rsidR="004679B4" w:rsidRPr="004A673D">
        <w:rPr>
          <w:rFonts w:ascii="Times New Roman" w:hAnsi="Times New Roman" w:hint="eastAsia"/>
          <w:sz w:val="24"/>
          <w:szCs w:val="24"/>
        </w:rPr>
        <w:t>持有的基金份额比例进行二次</w:t>
      </w:r>
      <w:r w:rsidRPr="004A673D">
        <w:rPr>
          <w:rFonts w:ascii="Times New Roman" w:hAnsi="Times New Roman" w:hint="eastAsia"/>
          <w:sz w:val="24"/>
          <w:szCs w:val="24"/>
        </w:rPr>
        <w:t>分配。</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本基金最后运作日结算备付金为人民币</w:t>
      </w:r>
      <w:r w:rsidRPr="004A673D">
        <w:rPr>
          <w:rFonts w:ascii="Times New Roman" w:hAnsi="Times New Roman"/>
          <w:sz w:val="24"/>
          <w:szCs w:val="24"/>
        </w:rPr>
        <w:t>4,625,215.45</w:t>
      </w:r>
      <w:r w:rsidRPr="004A673D">
        <w:rPr>
          <w:rFonts w:ascii="Times New Roman" w:hAnsi="Times New Roman" w:hint="eastAsia"/>
          <w:sz w:val="24"/>
          <w:szCs w:val="24"/>
        </w:rPr>
        <w:t>元，已于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2</w:t>
      </w:r>
      <w:r w:rsidRPr="004A673D">
        <w:rPr>
          <w:rFonts w:ascii="Times New Roman" w:hAnsi="Times New Roman" w:hint="eastAsia"/>
          <w:sz w:val="24"/>
          <w:szCs w:val="24"/>
        </w:rPr>
        <w:t>日划入托管户。</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本基金最后运作日应收证券清算款为人民币</w:t>
      </w:r>
      <w:r w:rsidRPr="004A673D">
        <w:rPr>
          <w:rFonts w:ascii="Times New Roman" w:hAnsi="Times New Roman"/>
          <w:sz w:val="24"/>
          <w:szCs w:val="24"/>
        </w:rPr>
        <w:t>69,255,333.44</w:t>
      </w:r>
      <w:r w:rsidRPr="004A673D">
        <w:rPr>
          <w:rFonts w:ascii="Times New Roman" w:hAnsi="Times New Roman" w:hint="eastAsia"/>
          <w:sz w:val="24"/>
          <w:szCs w:val="24"/>
        </w:rPr>
        <w:t>元，已于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11</w:t>
      </w:r>
      <w:r w:rsidRPr="004A673D">
        <w:rPr>
          <w:rFonts w:ascii="Times New Roman" w:hAnsi="Times New Roman" w:hint="eastAsia"/>
          <w:sz w:val="24"/>
          <w:szCs w:val="24"/>
        </w:rPr>
        <w:t>月</w:t>
      </w:r>
      <w:r w:rsidRPr="004A673D">
        <w:rPr>
          <w:rFonts w:ascii="Times New Roman" w:hAnsi="Times New Roman"/>
          <w:sz w:val="24"/>
          <w:szCs w:val="24"/>
        </w:rPr>
        <w:t>17</w:t>
      </w:r>
      <w:r w:rsidRPr="004A673D">
        <w:rPr>
          <w:rFonts w:ascii="Times New Roman" w:hAnsi="Times New Roman" w:hint="eastAsia"/>
          <w:sz w:val="24"/>
          <w:szCs w:val="24"/>
        </w:rPr>
        <w:t>日划入托管户。</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本基金最后运作日持有的交易性金融资产为人民币</w:t>
      </w:r>
      <w:r w:rsidRPr="004A673D">
        <w:rPr>
          <w:rFonts w:ascii="Times New Roman" w:hAnsi="Times New Roman"/>
          <w:sz w:val="24"/>
          <w:szCs w:val="24"/>
        </w:rPr>
        <w:t>2,955,000.00</w:t>
      </w:r>
      <w:r w:rsidRPr="004A673D">
        <w:rPr>
          <w:rFonts w:ascii="Times New Roman" w:hAnsi="Times New Roman" w:hint="eastAsia"/>
          <w:sz w:val="24"/>
          <w:szCs w:val="24"/>
        </w:rPr>
        <w:t>元，其他资产为</w:t>
      </w:r>
      <w:r w:rsidRPr="004A673D">
        <w:rPr>
          <w:rFonts w:ascii="Times New Roman" w:hAnsi="Times New Roman"/>
          <w:sz w:val="24"/>
          <w:szCs w:val="24"/>
        </w:rPr>
        <w:t>14,458,220.00</w:t>
      </w:r>
      <w:r w:rsidRPr="004A673D">
        <w:rPr>
          <w:rFonts w:ascii="Times New Roman" w:hAnsi="Times New Roman" w:hint="eastAsia"/>
          <w:sz w:val="24"/>
          <w:szCs w:val="24"/>
        </w:rPr>
        <w:t>元，全部为债券投资，其中：</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3562DA" w:rsidRPr="004A673D" w:rsidRDefault="00E955B0"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a.</w:t>
      </w:r>
      <w:r w:rsidR="003562DA" w:rsidRPr="004A673D">
        <w:rPr>
          <w:rFonts w:ascii="Times New Roman" w:hAnsi="Times New Roman" w:hint="eastAsia"/>
          <w:sz w:val="24"/>
          <w:szCs w:val="24"/>
        </w:rPr>
        <w:t>因重大事项停牌而未能变现的流通受限债券人民币</w:t>
      </w:r>
      <w:r w:rsidR="003562DA" w:rsidRPr="004A673D">
        <w:rPr>
          <w:rFonts w:ascii="Times New Roman" w:hAnsi="Times New Roman"/>
          <w:sz w:val="24"/>
          <w:szCs w:val="24"/>
        </w:rPr>
        <w:t>14,458,220.00</w:t>
      </w:r>
      <w:r w:rsidR="003562DA" w:rsidRPr="004A673D">
        <w:rPr>
          <w:rFonts w:ascii="Times New Roman" w:hAnsi="Times New Roman" w:hint="eastAsia"/>
          <w:sz w:val="24"/>
          <w:szCs w:val="24"/>
        </w:rPr>
        <w:t>元，其明细如下：</w:t>
      </w:r>
    </w:p>
    <w:p w:rsidR="003562DA" w:rsidRPr="004A673D" w:rsidRDefault="003562DA" w:rsidP="003562DA">
      <w:pPr>
        <w:overflowPunct w:val="0"/>
        <w:autoSpaceDE w:val="0"/>
        <w:autoSpaceDN w:val="0"/>
        <w:snapToGrid w:val="0"/>
        <w:rPr>
          <w:rFonts w:ascii="黑体" w:eastAsia="黑体" w:hAnsi="黑体" w:cs="Arial"/>
          <w:sz w:val="22"/>
        </w:rPr>
      </w:pPr>
    </w:p>
    <w:p w:rsidR="003562DA" w:rsidRPr="004A673D" w:rsidRDefault="003562DA" w:rsidP="003562DA">
      <w:pPr>
        <w:ind w:left="1069" w:right="-4"/>
        <w:jc w:val="right"/>
        <w:rPr>
          <w:rFonts w:ascii="黑体" w:eastAsia="黑体" w:hAnsi="黑体"/>
        </w:rPr>
      </w:pPr>
      <w:r w:rsidRPr="004A673D">
        <w:rPr>
          <w:rFonts w:ascii="黑体" w:eastAsia="黑体" w:hAnsi="黑体" w:hint="eastAsia"/>
        </w:rPr>
        <w:t>金额单位</w:t>
      </w:r>
      <w:r w:rsidRPr="004A673D">
        <w:rPr>
          <w:rFonts w:ascii="黑体" w:eastAsia="黑体" w:hAnsi="黑体"/>
        </w:rPr>
        <w:t>：</w:t>
      </w:r>
      <w:r w:rsidRPr="004A673D">
        <w:rPr>
          <w:rFonts w:ascii="黑体" w:eastAsia="黑体" w:hAnsi="黑体" w:hint="eastAsia"/>
        </w:rPr>
        <w:t>人民币元</w:t>
      </w:r>
    </w:p>
    <w:tbl>
      <w:tblPr>
        <w:tblpPr w:leftFromText="180" w:rightFromText="180" w:vertAnchor="text" w:horzAnchor="margin" w:tblpXSpec="right"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1276"/>
        <w:gridCol w:w="1418"/>
      </w:tblGrid>
      <w:tr w:rsidR="003562DA" w:rsidRPr="004A673D" w:rsidTr="008E7214">
        <w:tc>
          <w:tcPr>
            <w:tcW w:w="2263" w:type="dxa"/>
            <w:vAlign w:val="center"/>
          </w:tcPr>
          <w:p w:rsidR="003562DA" w:rsidRPr="004A673D" w:rsidRDefault="003562DA" w:rsidP="008E7214">
            <w:pPr>
              <w:jc w:val="left"/>
              <w:rPr>
                <w:rFonts w:ascii="黑体" w:eastAsia="黑体" w:hAnsi="黑体"/>
                <w:sz w:val="18"/>
              </w:rPr>
            </w:pPr>
            <w:r w:rsidRPr="004A673D">
              <w:rPr>
                <w:rFonts w:ascii="黑体" w:eastAsia="黑体" w:hAnsi="黑体"/>
                <w:sz w:val="18"/>
              </w:rPr>
              <w:t>债券名称</w:t>
            </w:r>
          </w:p>
        </w:tc>
        <w:tc>
          <w:tcPr>
            <w:tcW w:w="1276" w:type="dxa"/>
            <w:vAlign w:val="center"/>
          </w:tcPr>
          <w:p w:rsidR="003562DA" w:rsidRPr="004A673D" w:rsidRDefault="003562DA" w:rsidP="008E7214">
            <w:pPr>
              <w:jc w:val="left"/>
              <w:rPr>
                <w:rFonts w:ascii="黑体" w:eastAsia="黑体" w:hAnsi="黑体"/>
                <w:sz w:val="18"/>
              </w:rPr>
            </w:pPr>
            <w:r w:rsidRPr="004A673D">
              <w:rPr>
                <w:rFonts w:ascii="黑体" w:eastAsia="黑体" w:hAnsi="黑体"/>
                <w:sz w:val="18"/>
              </w:rPr>
              <w:t>债券代码</w:t>
            </w:r>
          </w:p>
        </w:tc>
        <w:tc>
          <w:tcPr>
            <w:tcW w:w="1418" w:type="dxa"/>
            <w:shd w:val="clear" w:color="auto" w:fill="auto"/>
            <w:vAlign w:val="center"/>
          </w:tcPr>
          <w:p w:rsidR="003562DA" w:rsidRPr="004A673D" w:rsidRDefault="003562DA" w:rsidP="008E7214">
            <w:pPr>
              <w:jc w:val="right"/>
              <w:rPr>
                <w:rFonts w:ascii="黑体" w:eastAsia="黑体" w:hAnsi="黑体"/>
                <w:sz w:val="18"/>
              </w:rPr>
            </w:pPr>
            <w:r w:rsidRPr="004A673D">
              <w:rPr>
                <w:rFonts w:ascii="黑体" w:eastAsia="黑体" w:hAnsi="黑体"/>
                <w:sz w:val="18"/>
              </w:rPr>
              <w:t>最后运作日</w:t>
            </w:r>
          </w:p>
          <w:p w:rsidR="003562DA" w:rsidRPr="004A673D" w:rsidRDefault="003562DA" w:rsidP="008E7214">
            <w:pPr>
              <w:jc w:val="right"/>
              <w:rPr>
                <w:rFonts w:ascii="黑体" w:eastAsia="黑体" w:hAnsi="黑体"/>
                <w:sz w:val="18"/>
              </w:rPr>
            </w:pPr>
            <w:r w:rsidRPr="004A673D">
              <w:rPr>
                <w:rFonts w:ascii="黑体" w:eastAsia="黑体" w:hAnsi="黑体"/>
                <w:sz w:val="18"/>
              </w:rPr>
              <w:t>估值总额</w:t>
            </w:r>
          </w:p>
        </w:tc>
      </w:tr>
      <w:tr w:rsidR="003562DA" w:rsidRPr="004A673D" w:rsidTr="008E7214">
        <w:trPr>
          <w:trHeight w:val="275"/>
        </w:trPr>
        <w:tc>
          <w:tcPr>
            <w:tcW w:w="2263" w:type="dxa"/>
            <w:vAlign w:val="center"/>
          </w:tcPr>
          <w:p w:rsidR="003562DA" w:rsidRPr="004A673D" w:rsidRDefault="003562DA" w:rsidP="008E7214">
            <w:pPr>
              <w:rPr>
                <w:rFonts w:ascii="黑体" w:eastAsia="黑体" w:hAnsi="黑体"/>
                <w:sz w:val="18"/>
                <w:szCs w:val="21"/>
              </w:rPr>
            </w:pPr>
            <w:bookmarkStart w:id="0" w:name="_Hlk45722778"/>
            <w:r w:rsidRPr="004A673D">
              <w:rPr>
                <w:rFonts w:ascii="黑体" w:eastAsia="黑体" w:hAnsi="黑体" w:hint="eastAsia"/>
                <w:sz w:val="18"/>
                <w:szCs w:val="21"/>
              </w:rPr>
              <w:t>16</w:t>
            </w:r>
            <w:bookmarkEnd w:id="0"/>
            <w:r w:rsidRPr="004A673D">
              <w:rPr>
                <w:rFonts w:ascii="黑体" w:eastAsia="黑体" w:hAnsi="黑体" w:hint="eastAsia"/>
                <w:sz w:val="18"/>
                <w:szCs w:val="21"/>
              </w:rPr>
              <w:t>申信01</w:t>
            </w:r>
          </w:p>
        </w:tc>
        <w:tc>
          <w:tcPr>
            <w:tcW w:w="1276" w:type="dxa"/>
            <w:vAlign w:val="center"/>
          </w:tcPr>
          <w:p w:rsidR="003562DA" w:rsidRPr="004A673D" w:rsidRDefault="003562DA" w:rsidP="008E7214">
            <w:pPr>
              <w:rPr>
                <w:rFonts w:ascii="黑体" w:eastAsia="黑体" w:hAnsi="黑体"/>
                <w:sz w:val="18"/>
                <w:szCs w:val="18"/>
              </w:rPr>
            </w:pPr>
            <w:r w:rsidRPr="004A673D">
              <w:rPr>
                <w:rFonts w:ascii="黑体" w:eastAsia="黑体" w:hAnsi="黑体"/>
                <w:sz w:val="18"/>
                <w:szCs w:val="18"/>
              </w:rPr>
              <w:t>136698</w:t>
            </w:r>
          </w:p>
        </w:tc>
        <w:tc>
          <w:tcPr>
            <w:tcW w:w="1418" w:type="dxa"/>
            <w:shd w:val="clear" w:color="auto" w:fill="auto"/>
            <w:vAlign w:val="center"/>
          </w:tcPr>
          <w:p w:rsidR="003562DA" w:rsidRPr="004A673D" w:rsidRDefault="003562DA" w:rsidP="008E7214">
            <w:pPr>
              <w:jc w:val="right"/>
              <w:rPr>
                <w:rFonts w:ascii="黑体" w:eastAsia="黑体" w:hAnsi="黑体"/>
                <w:sz w:val="18"/>
                <w:szCs w:val="18"/>
              </w:rPr>
            </w:pPr>
            <w:r w:rsidRPr="004A673D">
              <w:rPr>
                <w:rFonts w:ascii="黑体" w:eastAsia="黑体" w:hAnsi="黑体"/>
                <w:sz w:val="18"/>
                <w:szCs w:val="18"/>
              </w:rPr>
              <w:t>378,000.00</w:t>
            </w:r>
          </w:p>
        </w:tc>
      </w:tr>
      <w:tr w:rsidR="003562DA" w:rsidRPr="004A673D" w:rsidTr="008E7214">
        <w:trPr>
          <w:trHeight w:val="275"/>
        </w:trPr>
        <w:tc>
          <w:tcPr>
            <w:tcW w:w="2263" w:type="dxa"/>
            <w:vAlign w:val="center"/>
          </w:tcPr>
          <w:p w:rsidR="003562DA" w:rsidRPr="004A673D" w:rsidRDefault="003562DA" w:rsidP="008E7214">
            <w:pPr>
              <w:rPr>
                <w:rFonts w:ascii="黑体" w:eastAsia="黑体" w:hAnsi="黑体"/>
                <w:sz w:val="18"/>
                <w:szCs w:val="21"/>
              </w:rPr>
            </w:pPr>
            <w:r w:rsidRPr="004A673D">
              <w:rPr>
                <w:rFonts w:ascii="黑体" w:eastAsia="黑体" w:hAnsi="黑体" w:hint="eastAsia"/>
                <w:sz w:val="18"/>
                <w:szCs w:val="21"/>
              </w:rPr>
              <w:t>16东旭光电MTN001B</w:t>
            </w:r>
          </w:p>
        </w:tc>
        <w:tc>
          <w:tcPr>
            <w:tcW w:w="1276" w:type="dxa"/>
            <w:vAlign w:val="center"/>
          </w:tcPr>
          <w:p w:rsidR="003562DA" w:rsidRPr="004A673D" w:rsidRDefault="003562DA" w:rsidP="008E7214">
            <w:pPr>
              <w:rPr>
                <w:rFonts w:ascii="黑体" w:eastAsia="黑体" w:hAnsi="黑体"/>
                <w:sz w:val="18"/>
                <w:szCs w:val="18"/>
              </w:rPr>
            </w:pPr>
            <w:r w:rsidRPr="004A673D">
              <w:rPr>
                <w:rFonts w:ascii="黑体" w:eastAsia="黑体" w:hAnsi="黑体" w:hint="eastAsia"/>
                <w:sz w:val="18"/>
                <w:szCs w:val="18"/>
              </w:rPr>
              <w:t>101659066</w:t>
            </w:r>
          </w:p>
        </w:tc>
        <w:tc>
          <w:tcPr>
            <w:tcW w:w="1418" w:type="dxa"/>
            <w:shd w:val="clear" w:color="auto" w:fill="auto"/>
            <w:vAlign w:val="center"/>
          </w:tcPr>
          <w:p w:rsidR="003562DA" w:rsidRPr="004A673D" w:rsidRDefault="003562DA" w:rsidP="008E7214">
            <w:pPr>
              <w:jc w:val="right"/>
              <w:rPr>
                <w:rFonts w:ascii="黑体" w:eastAsia="黑体" w:hAnsi="黑体"/>
                <w:sz w:val="18"/>
                <w:szCs w:val="18"/>
              </w:rPr>
            </w:pPr>
            <w:r w:rsidRPr="004A673D">
              <w:rPr>
                <w:rFonts w:ascii="黑体" w:eastAsia="黑体" w:hAnsi="黑体"/>
                <w:sz w:val="18"/>
                <w:szCs w:val="18"/>
              </w:rPr>
              <w:t>14,080,220.00</w:t>
            </w:r>
          </w:p>
        </w:tc>
      </w:tr>
    </w:tbl>
    <w:p w:rsidR="003562DA" w:rsidRPr="004A673D" w:rsidRDefault="003562DA" w:rsidP="003562DA">
      <w:pPr>
        <w:overflowPunct w:val="0"/>
        <w:autoSpaceDE w:val="0"/>
        <w:autoSpaceDN w:val="0"/>
        <w:snapToGrid w:val="0"/>
        <w:rPr>
          <w:rFonts w:ascii="黑体" w:eastAsia="黑体" w:hAnsi="黑体" w:cs="Arial"/>
          <w:sz w:val="22"/>
        </w:rPr>
      </w:pPr>
    </w:p>
    <w:p w:rsidR="003562DA" w:rsidRPr="004A673D" w:rsidRDefault="003562DA" w:rsidP="003562DA">
      <w:pPr>
        <w:overflowPunct w:val="0"/>
        <w:autoSpaceDE w:val="0"/>
        <w:autoSpaceDN w:val="0"/>
        <w:snapToGrid w:val="0"/>
        <w:rPr>
          <w:rFonts w:ascii="黑体" w:eastAsia="黑体" w:hAnsi="黑体" w:cs="Arial"/>
          <w:sz w:val="22"/>
        </w:rPr>
      </w:pPr>
    </w:p>
    <w:p w:rsidR="003562DA" w:rsidRPr="004A673D" w:rsidRDefault="003562DA" w:rsidP="003562DA">
      <w:pPr>
        <w:overflowPunct w:val="0"/>
        <w:autoSpaceDE w:val="0"/>
        <w:autoSpaceDN w:val="0"/>
        <w:snapToGrid w:val="0"/>
        <w:rPr>
          <w:rFonts w:ascii="黑体" w:eastAsia="黑体" w:hAnsi="黑体" w:cs="Arial"/>
          <w:sz w:val="22"/>
        </w:rPr>
      </w:pPr>
    </w:p>
    <w:p w:rsidR="003562DA" w:rsidRPr="004A673D" w:rsidRDefault="003562DA" w:rsidP="003562DA">
      <w:pPr>
        <w:overflowPunct w:val="0"/>
        <w:autoSpaceDE w:val="0"/>
        <w:autoSpaceDN w:val="0"/>
        <w:snapToGrid w:val="0"/>
        <w:rPr>
          <w:rFonts w:ascii="黑体" w:eastAsia="黑体" w:hAnsi="黑体" w:cs="Arial"/>
          <w:sz w:val="22"/>
        </w:rPr>
      </w:pPr>
    </w:p>
    <w:p w:rsidR="003562DA" w:rsidRPr="004A673D" w:rsidRDefault="003562DA" w:rsidP="003562DA">
      <w:pPr>
        <w:overflowPunct w:val="0"/>
        <w:autoSpaceDE w:val="0"/>
        <w:autoSpaceDN w:val="0"/>
        <w:snapToGrid w:val="0"/>
        <w:ind w:left="709"/>
        <w:rPr>
          <w:rFonts w:ascii="黑体" w:eastAsia="黑体" w:hAnsi="黑体" w:cs="Arial"/>
          <w:sz w:val="22"/>
        </w:rPr>
      </w:pPr>
    </w:p>
    <w:p w:rsidR="003562DA" w:rsidRPr="004A673D" w:rsidRDefault="003562DA" w:rsidP="003562DA">
      <w:pPr>
        <w:overflowPunct w:val="0"/>
        <w:autoSpaceDE w:val="0"/>
        <w:autoSpaceDN w:val="0"/>
        <w:snapToGrid w:val="0"/>
        <w:ind w:left="1069"/>
        <w:rPr>
          <w:rFonts w:ascii="黑体" w:eastAsia="黑体" w:hAnsi="黑体" w:cs="Arial"/>
          <w:sz w:val="22"/>
        </w:rPr>
      </w:pPr>
    </w:p>
    <w:p w:rsidR="003562DA" w:rsidRPr="004A673D" w:rsidRDefault="003562DA"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16</w:t>
      </w:r>
      <w:r w:rsidRPr="004A673D">
        <w:rPr>
          <w:rFonts w:ascii="Times New Roman" w:hAnsi="Times New Roman" w:hint="eastAsia"/>
          <w:sz w:val="24"/>
          <w:szCs w:val="24"/>
        </w:rPr>
        <w:t>申信</w:t>
      </w:r>
      <w:r w:rsidRPr="004A673D">
        <w:rPr>
          <w:rFonts w:ascii="Times New Roman" w:hAnsi="Times New Roman"/>
          <w:sz w:val="24"/>
          <w:szCs w:val="24"/>
        </w:rPr>
        <w:t>01</w:t>
      </w:r>
      <w:r w:rsidRPr="004A673D">
        <w:rPr>
          <w:rFonts w:ascii="Times New Roman" w:hAnsi="Times New Roman" w:hint="eastAsia"/>
          <w:sz w:val="24"/>
          <w:szCs w:val="24"/>
        </w:rPr>
        <w:t>于清算期间完成处置变现，实际变现金额为人民币</w:t>
      </w:r>
      <w:r w:rsidRPr="004A673D">
        <w:rPr>
          <w:rFonts w:ascii="Times New Roman" w:hAnsi="Times New Roman"/>
          <w:sz w:val="24"/>
          <w:szCs w:val="24"/>
        </w:rPr>
        <w:t>179,999.82</w:t>
      </w:r>
      <w:r w:rsidRPr="004A673D">
        <w:rPr>
          <w:rFonts w:ascii="Times New Roman" w:hAnsi="Times New Roman" w:hint="eastAsia"/>
          <w:sz w:val="24"/>
          <w:szCs w:val="24"/>
        </w:rPr>
        <w:t>元。</w:t>
      </w:r>
    </w:p>
    <w:p w:rsidR="003562DA" w:rsidRPr="004A673D" w:rsidRDefault="003562DA"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3562DA"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注：停牌债券最后运作日的估值金额与实际变现金额可能存在差异，实际变现金额存在不确定性。待停牌债券变现后，基金管理人将</w:t>
      </w:r>
      <w:r w:rsidR="009C67C7" w:rsidRPr="004A673D">
        <w:rPr>
          <w:rFonts w:ascii="Times New Roman" w:hAnsi="Times New Roman" w:hint="eastAsia"/>
          <w:sz w:val="24"/>
          <w:szCs w:val="24"/>
        </w:rPr>
        <w:t>按照</w:t>
      </w:r>
      <w:r w:rsidRPr="004A673D">
        <w:rPr>
          <w:rFonts w:ascii="Times New Roman" w:hAnsi="Times New Roman" w:hint="eastAsia"/>
          <w:sz w:val="24"/>
          <w:szCs w:val="24"/>
        </w:rPr>
        <w:t>基金份额持有人</w:t>
      </w:r>
      <w:r w:rsidR="009C67C7" w:rsidRPr="004A673D">
        <w:rPr>
          <w:rFonts w:ascii="Times New Roman" w:hAnsi="Times New Roman" w:hint="eastAsia"/>
          <w:sz w:val="24"/>
          <w:szCs w:val="24"/>
        </w:rPr>
        <w:t>持有的基金份额比例进行二次</w:t>
      </w:r>
      <w:r w:rsidRPr="004A673D">
        <w:rPr>
          <w:rFonts w:ascii="Times New Roman" w:hAnsi="Times New Roman" w:hint="eastAsia"/>
          <w:sz w:val="24"/>
          <w:szCs w:val="24"/>
        </w:rPr>
        <w:t>分配。于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3</w:t>
      </w:r>
      <w:r w:rsidRPr="004A673D">
        <w:rPr>
          <w:rFonts w:ascii="Times New Roman" w:hAnsi="Times New Roman"/>
          <w:sz w:val="24"/>
          <w:szCs w:val="24"/>
        </w:rPr>
        <w:t>日</w:t>
      </w:r>
      <w:r w:rsidRPr="004A673D">
        <w:rPr>
          <w:rFonts w:ascii="Times New Roman" w:hAnsi="Times New Roman" w:hint="eastAsia"/>
          <w:sz w:val="24"/>
          <w:szCs w:val="24"/>
        </w:rPr>
        <w:t>，本基金持有停牌债券尚未复牌。</w:t>
      </w:r>
    </w:p>
    <w:p w:rsidR="00E67240" w:rsidRPr="004A673D" w:rsidRDefault="00E67240"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E67240"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b.</w:t>
      </w:r>
      <w:r w:rsidR="00725CF5" w:rsidRPr="004A673D">
        <w:rPr>
          <w:rFonts w:ascii="Times New Roman" w:hAnsi="Times New Roman" w:hint="eastAsia"/>
          <w:sz w:val="24"/>
          <w:szCs w:val="24"/>
        </w:rPr>
        <w:t>本基金最后运作日持有非流通受限债券人民币</w:t>
      </w:r>
      <w:r w:rsidR="00725CF5" w:rsidRPr="004A673D">
        <w:rPr>
          <w:rFonts w:ascii="Times New Roman" w:hAnsi="Times New Roman"/>
          <w:sz w:val="24"/>
          <w:szCs w:val="24"/>
        </w:rPr>
        <w:t>2,955,000.00</w:t>
      </w:r>
      <w:r w:rsidR="00725CF5" w:rsidRPr="004A673D">
        <w:rPr>
          <w:rFonts w:ascii="Times New Roman" w:hAnsi="Times New Roman" w:hint="eastAsia"/>
          <w:sz w:val="24"/>
          <w:szCs w:val="24"/>
        </w:rPr>
        <w:t>元，其明细如下：</w:t>
      </w:r>
    </w:p>
    <w:p w:rsidR="00725CF5" w:rsidRPr="004A673D" w:rsidRDefault="00725CF5" w:rsidP="00725CF5">
      <w:pPr>
        <w:ind w:left="1069" w:right="-4"/>
        <w:jc w:val="right"/>
        <w:rPr>
          <w:rFonts w:ascii="黑体" w:eastAsia="黑体" w:hAnsi="黑体"/>
          <w:szCs w:val="24"/>
        </w:rPr>
      </w:pPr>
    </w:p>
    <w:p w:rsidR="00725CF5" w:rsidRPr="004A673D" w:rsidRDefault="00725CF5" w:rsidP="00725CF5">
      <w:pPr>
        <w:ind w:left="1069" w:right="-4"/>
        <w:jc w:val="right"/>
        <w:rPr>
          <w:rFonts w:ascii="黑体" w:eastAsia="黑体" w:hAnsi="黑体"/>
        </w:rPr>
      </w:pPr>
      <w:r w:rsidRPr="004A673D">
        <w:rPr>
          <w:rFonts w:ascii="黑体" w:eastAsia="黑体" w:hAnsi="黑体" w:hint="eastAsia"/>
        </w:rPr>
        <w:t>金额单位：人民币元</w:t>
      </w:r>
    </w:p>
    <w:tbl>
      <w:tblPr>
        <w:tblpPr w:leftFromText="180" w:rightFromText="180" w:vertAnchor="text" w:horzAnchor="margin" w:tblpXSpec="right"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1274"/>
        <w:gridCol w:w="1418"/>
      </w:tblGrid>
      <w:tr w:rsidR="003562DA" w:rsidRPr="004A673D" w:rsidTr="008E7214">
        <w:tc>
          <w:tcPr>
            <w:tcW w:w="2263" w:type="dxa"/>
            <w:vAlign w:val="center"/>
          </w:tcPr>
          <w:p w:rsidR="003562DA" w:rsidRPr="004A673D" w:rsidRDefault="003562DA" w:rsidP="008E7214">
            <w:pPr>
              <w:jc w:val="left"/>
              <w:rPr>
                <w:rFonts w:ascii="黑体" w:eastAsia="黑体" w:hAnsi="黑体"/>
                <w:sz w:val="18"/>
              </w:rPr>
            </w:pPr>
            <w:r w:rsidRPr="004A673D">
              <w:rPr>
                <w:rFonts w:ascii="黑体" w:eastAsia="黑体" w:hAnsi="黑体"/>
                <w:sz w:val="18"/>
              </w:rPr>
              <w:t>债券名称</w:t>
            </w:r>
          </w:p>
        </w:tc>
        <w:tc>
          <w:tcPr>
            <w:tcW w:w="1274" w:type="dxa"/>
            <w:vAlign w:val="center"/>
          </w:tcPr>
          <w:p w:rsidR="003562DA" w:rsidRPr="004A673D" w:rsidRDefault="003562DA" w:rsidP="008E7214">
            <w:pPr>
              <w:jc w:val="left"/>
              <w:rPr>
                <w:rFonts w:ascii="黑体" w:eastAsia="黑体" w:hAnsi="黑体"/>
                <w:sz w:val="18"/>
              </w:rPr>
            </w:pPr>
            <w:r w:rsidRPr="004A673D">
              <w:rPr>
                <w:rFonts w:ascii="黑体" w:eastAsia="黑体" w:hAnsi="黑体"/>
                <w:sz w:val="18"/>
              </w:rPr>
              <w:t>债券代码</w:t>
            </w:r>
          </w:p>
        </w:tc>
        <w:tc>
          <w:tcPr>
            <w:tcW w:w="1418" w:type="dxa"/>
            <w:shd w:val="clear" w:color="auto" w:fill="auto"/>
            <w:vAlign w:val="center"/>
          </w:tcPr>
          <w:p w:rsidR="003562DA" w:rsidRPr="004A673D" w:rsidRDefault="003562DA" w:rsidP="008E7214">
            <w:pPr>
              <w:jc w:val="right"/>
              <w:rPr>
                <w:rFonts w:ascii="黑体" w:eastAsia="黑体" w:hAnsi="黑体"/>
                <w:sz w:val="18"/>
              </w:rPr>
            </w:pPr>
            <w:r w:rsidRPr="004A673D">
              <w:rPr>
                <w:rFonts w:ascii="黑体" w:eastAsia="黑体" w:hAnsi="黑体"/>
                <w:sz w:val="18"/>
              </w:rPr>
              <w:t>最后运作日</w:t>
            </w:r>
          </w:p>
          <w:p w:rsidR="003562DA" w:rsidRPr="004A673D" w:rsidRDefault="003562DA" w:rsidP="008E7214">
            <w:pPr>
              <w:jc w:val="right"/>
              <w:rPr>
                <w:rFonts w:ascii="黑体" w:eastAsia="黑体" w:hAnsi="黑体"/>
                <w:sz w:val="18"/>
              </w:rPr>
            </w:pPr>
            <w:r w:rsidRPr="004A673D">
              <w:rPr>
                <w:rFonts w:ascii="黑体" w:eastAsia="黑体" w:hAnsi="黑体"/>
                <w:sz w:val="18"/>
              </w:rPr>
              <w:t>估值总额</w:t>
            </w:r>
          </w:p>
        </w:tc>
      </w:tr>
      <w:tr w:rsidR="003562DA" w:rsidRPr="004A673D" w:rsidTr="008E7214">
        <w:tc>
          <w:tcPr>
            <w:tcW w:w="2263" w:type="dxa"/>
          </w:tcPr>
          <w:p w:rsidR="003562DA" w:rsidRPr="004A673D" w:rsidRDefault="003562DA" w:rsidP="008E7214">
            <w:pPr>
              <w:rPr>
                <w:rFonts w:ascii="黑体" w:eastAsia="黑体" w:hAnsi="黑体"/>
                <w:sz w:val="18"/>
                <w:szCs w:val="21"/>
              </w:rPr>
            </w:pPr>
            <w:r w:rsidRPr="004A673D">
              <w:rPr>
                <w:rFonts w:ascii="黑体" w:eastAsia="黑体" w:hAnsi="黑体" w:hint="eastAsia"/>
                <w:sz w:val="18"/>
                <w:szCs w:val="21"/>
              </w:rPr>
              <w:t>万科11优</w:t>
            </w:r>
          </w:p>
        </w:tc>
        <w:tc>
          <w:tcPr>
            <w:tcW w:w="1274" w:type="dxa"/>
          </w:tcPr>
          <w:p w:rsidR="003562DA" w:rsidRPr="004A673D" w:rsidRDefault="003562DA" w:rsidP="008E7214">
            <w:pPr>
              <w:rPr>
                <w:rFonts w:ascii="黑体" w:eastAsia="黑体" w:hAnsi="黑体"/>
                <w:sz w:val="18"/>
                <w:szCs w:val="21"/>
              </w:rPr>
            </w:pPr>
            <w:r w:rsidRPr="004A673D">
              <w:rPr>
                <w:rFonts w:ascii="黑体" w:eastAsia="黑体" w:hAnsi="黑体"/>
                <w:sz w:val="18"/>
                <w:szCs w:val="21"/>
              </w:rPr>
              <w:t>138256</w:t>
            </w:r>
          </w:p>
        </w:tc>
        <w:tc>
          <w:tcPr>
            <w:tcW w:w="1418" w:type="dxa"/>
            <w:shd w:val="clear" w:color="auto" w:fill="auto"/>
          </w:tcPr>
          <w:p w:rsidR="003562DA" w:rsidRPr="004A673D" w:rsidRDefault="003562DA" w:rsidP="008E7214">
            <w:pPr>
              <w:jc w:val="right"/>
              <w:rPr>
                <w:rFonts w:ascii="黑体" w:eastAsia="黑体" w:hAnsi="黑体"/>
                <w:sz w:val="18"/>
                <w:szCs w:val="21"/>
              </w:rPr>
            </w:pPr>
            <w:r w:rsidRPr="004A673D">
              <w:rPr>
                <w:rFonts w:ascii="黑体" w:eastAsia="黑体" w:hAnsi="黑体"/>
                <w:sz w:val="18"/>
                <w:szCs w:val="21"/>
              </w:rPr>
              <w:t>2,955,000.00</w:t>
            </w:r>
          </w:p>
        </w:tc>
      </w:tr>
    </w:tbl>
    <w:p w:rsidR="00725CF5" w:rsidRPr="004A673D" w:rsidRDefault="00725CF5" w:rsidP="00725CF5">
      <w:pPr>
        <w:tabs>
          <w:tab w:val="left" w:pos="1276"/>
        </w:tabs>
        <w:overflowPunct w:val="0"/>
        <w:autoSpaceDE w:val="0"/>
        <w:autoSpaceDN w:val="0"/>
        <w:snapToGrid w:val="0"/>
        <w:ind w:left="1069" w:firstLine="23"/>
        <w:rPr>
          <w:rFonts w:ascii="黑体" w:eastAsia="黑体" w:hAnsi="黑体" w:cs="Arial"/>
          <w:sz w:val="22"/>
        </w:rPr>
      </w:pPr>
    </w:p>
    <w:p w:rsidR="00725CF5" w:rsidRPr="004A673D" w:rsidRDefault="00725CF5" w:rsidP="00725CF5">
      <w:pPr>
        <w:overflowPunct w:val="0"/>
        <w:autoSpaceDE w:val="0"/>
        <w:autoSpaceDN w:val="0"/>
        <w:snapToGrid w:val="0"/>
        <w:ind w:left="1069"/>
        <w:rPr>
          <w:rFonts w:ascii="黑体" w:eastAsia="黑体" w:hAnsi="黑体" w:cs="Arial"/>
          <w:sz w:val="22"/>
        </w:rPr>
      </w:pPr>
    </w:p>
    <w:p w:rsidR="00725CF5" w:rsidRPr="004A673D" w:rsidRDefault="00725CF5" w:rsidP="00725CF5">
      <w:pPr>
        <w:overflowPunct w:val="0"/>
        <w:autoSpaceDE w:val="0"/>
        <w:autoSpaceDN w:val="0"/>
        <w:snapToGrid w:val="0"/>
        <w:ind w:left="1069"/>
        <w:rPr>
          <w:rFonts w:ascii="黑体" w:eastAsia="黑体" w:hAnsi="黑体" w:cs="Arial"/>
          <w:sz w:val="22"/>
        </w:rPr>
      </w:pPr>
    </w:p>
    <w:p w:rsidR="00725CF5" w:rsidRPr="004A673D" w:rsidRDefault="00725CF5" w:rsidP="00725CF5">
      <w:pPr>
        <w:overflowPunct w:val="0"/>
        <w:autoSpaceDE w:val="0"/>
        <w:autoSpaceDN w:val="0"/>
        <w:snapToGrid w:val="0"/>
        <w:ind w:left="1069"/>
        <w:rPr>
          <w:rFonts w:ascii="黑体" w:eastAsia="黑体" w:hAnsi="黑体" w:cs="Arial"/>
          <w:sz w:val="22"/>
        </w:rPr>
      </w:pPr>
    </w:p>
    <w:p w:rsidR="00725CF5" w:rsidRPr="004A673D" w:rsidRDefault="00725CF5" w:rsidP="00725CF5">
      <w:pPr>
        <w:overflowPunct w:val="0"/>
        <w:autoSpaceDE w:val="0"/>
        <w:autoSpaceDN w:val="0"/>
        <w:snapToGrid w:val="0"/>
        <w:ind w:left="1069"/>
        <w:rPr>
          <w:rFonts w:ascii="黑体" w:eastAsia="黑体" w:hAnsi="黑体" w:cs="Arial"/>
          <w:sz w:val="22"/>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以上债券投资于清算期间完成处置变现，实际变现金额为人民币</w:t>
      </w:r>
      <w:r w:rsidRPr="004A673D">
        <w:rPr>
          <w:rFonts w:ascii="Times New Roman" w:hAnsi="Times New Roman"/>
          <w:sz w:val="24"/>
          <w:szCs w:val="24"/>
        </w:rPr>
        <w:t>2,960,945.58</w:t>
      </w:r>
      <w:r w:rsidRPr="004A673D">
        <w:rPr>
          <w:rFonts w:ascii="Times New Roman" w:hAnsi="Times New Roman" w:hint="eastAsia"/>
          <w:sz w:val="24"/>
          <w:szCs w:val="24"/>
        </w:rPr>
        <w:t>元。</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本基金最后运作日应收利息余额为人民币</w:t>
      </w:r>
      <w:r w:rsidRPr="004A673D">
        <w:rPr>
          <w:rFonts w:ascii="Times New Roman" w:hAnsi="Times New Roman"/>
          <w:sz w:val="24"/>
          <w:szCs w:val="24"/>
        </w:rPr>
        <w:t>182,529.73</w:t>
      </w:r>
      <w:r w:rsidRPr="004A673D">
        <w:rPr>
          <w:rFonts w:ascii="Times New Roman" w:hAnsi="Times New Roman" w:hint="eastAsia"/>
          <w:sz w:val="24"/>
          <w:szCs w:val="24"/>
        </w:rPr>
        <w:t>元，其中应收银行存款利息人民币</w:t>
      </w:r>
      <w:r w:rsidRPr="004A673D">
        <w:rPr>
          <w:rFonts w:ascii="Times New Roman" w:hAnsi="Times New Roman"/>
          <w:sz w:val="24"/>
          <w:szCs w:val="24"/>
        </w:rPr>
        <w:t>149,116.97</w:t>
      </w:r>
      <w:r w:rsidRPr="004A673D">
        <w:rPr>
          <w:rFonts w:ascii="Times New Roman" w:hAnsi="Times New Roman" w:hint="eastAsia"/>
          <w:sz w:val="24"/>
          <w:szCs w:val="24"/>
        </w:rPr>
        <w:t>元、应收备付金利息人民币</w:t>
      </w:r>
      <w:r w:rsidRPr="004A673D">
        <w:rPr>
          <w:rFonts w:ascii="Times New Roman" w:hAnsi="Times New Roman"/>
          <w:sz w:val="24"/>
          <w:szCs w:val="24"/>
        </w:rPr>
        <w:t>19,905.97</w:t>
      </w:r>
      <w:r w:rsidRPr="004A673D">
        <w:rPr>
          <w:rFonts w:ascii="Times New Roman" w:hAnsi="Times New Roman" w:hint="eastAsia"/>
          <w:sz w:val="24"/>
          <w:szCs w:val="24"/>
        </w:rPr>
        <w:t>元、应收保证金利息人民币</w:t>
      </w:r>
      <w:r w:rsidRPr="004A673D">
        <w:rPr>
          <w:rFonts w:ascii="Times New Roman" w:hAnsi="Times New Roman"/>
          <w:sz w:val="24"/>
          <w:szCs w:val="24"/>
        </w:rPr>
        <w:t>133.99</w:t>
      </w:r>
      <w:r w:rsidRPr="004A673D">
        <w:rPr>
          <w:rFonts w:ascii="Times New Roman" w:hAnsi="Times New Roman" w:hint="eastAsia"/>
          <w:sz w:val="24"/>
          <w:szCs w:val="24"/>
        </w:rPr>
        <w:t>元及</w:t>
      </w:r>
      <w:bookmarkStart w:id="1" w:name="_Hlk58420479"/>
      <w:r w:rsidRPr="004A673D">
        <w:rPr>
          <w:rFonts w:ascii="Times New Roman" w:hAnsi="Times New Roman" w:hint="eastAsia"/>
          <w:sz w:val="24"/>
          <w:szCs w:val="24"/>
        </w:rPr>
        <w:t>应收债券利息人民币</w:t>
      </w:r>
      <w:r w:rsidRPr="004A673D">
        <w:rPr>
          <w:rFonts w:ascii="Times New Roman" w:hAnsi="Times New Roman"/>
          <w:sz w:val="24"/>
          <w:szCs w:val="24"/>
        </w:rPr>
        <w:t>13,369.89</w:t>
      </w:r>
      <w:bookmarkEnd w:id="1"/>
      <w:r w:rsidRPr="004A673D">
        <w:rPr>
          <w:rFonts w:ascii="Times New Roman" w:hAnsi="Times New Roman" w:hint="eastAsia"/>
          <w:sz w:val="24"/>
          <w:szCs w:val="24"/>
        </w:rPr>
        <w:t>元，应收认申购款利息人民币</w:t>
      </w:r>
      <w:r w:rsidRPr="004A673D">
        <w:rPr>
          <w:rFonts w:ascii="Times New Roman" w:hAnsi="Times New Roman"/>
          <w:sz w:val="24"/>
          <w:szCs w:val="24"/>
        </w:rPr>
        <w:t>2.91</w:t>
      </w:r>
      <w:r w:rsidRPr="004A673D">
        <w:rPr>
          <w:rFonts w:ascii="Times New Roman" w:hAnsi="Times New Roman" w:hint="eastAsia"/>
          <w:sz w:val="24"/>
          <w:szCs w:val="24"/>
        </w:rPr>
        <w:t>元。截至</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3</w:t>
      </w:r>
      <w:r w:rsidRPr="004A673D">
        <w:rPr>
          <w:rFonts w:ascii="Times New Roman" w:hAnsi="Times New Roman" w:hint="eastAsia"/>
          <w:sz w:val="24"/>
          <w:szCs w:val="24"/>
        </w:rPr>
        <w:t>日，本基金应收利息余额为人民币</w:t>
      </w:r>
      <w:r w:rsidRPr="004A673D">
        <w:rPr>
          <w:rFonts w:ascii="Times New Roman" w:hAnsi="Times New Roman"/>
          <w:sz w:val="24"/>
          <w:szCs w:val="24"/>
        </w:rPr>
        <w:t>304,367.02</w:t>
      </w:r>
      <w:r w:rsidRPr="004A673D">
        <w:rPr>
          <w:rFonts w:ascii="Times New Roman" w:hAnsi="Times New Roman" w:hint="eastAsia"/>
          <w:sz w:val="24"/>
          <w:szCs w:val="24"/>
        </w:rPr>
        <w:t>元，其中应收银行存款利息人民币</w:t>
      </w:r>
      <w:r w:rsidRPr="004A673D">
        <w:rPr>
          <w:rFonts w:ascii="Times New Roman" w:hAnsi="Times New Roman"/>
          <w:sz w:val="24"/>
          <w:szCs w:val="24"/>
        </w:rPr>
        <w:t>280,947.85</w:t>
      </w:r>
      <w:r w:rsidRPr="004A673D">
        <w:rPr>
          <w:rFonts w:ascii="Times New Roman" w:hAnsi="Times New Roman" w:hint="eastAsia"/>
          <w:sz w:val="24"/>
          <w:szCs w:val="24"/>
        </w:rPr>
        <w:t>元、应收备付金利息人民币</w:t>
      </w:r>
      <w:r w:rsidRPr="004A673D">
        <w:rPr>
          <w:rFonts w:ascii="Times New Roman" w:hAnsi="Times New Roman"/>
          <w:sz w:val="24"/>
          <w:szCs w:val="24"/>
        </w:rPr>
        <w:t>23,236.05</w:t>
      </w:r>
      <w:r w:rsidRPr="004A673D">
        <w:rPr>
          <w:rFonts w:ascii="Times New Roman" w:hAnsi="Times New Roman" w:hint="eastAsia"/>
          <w:sz w:val="24"/>
          <w:szCs w:val="24"/>
        </w:rPr>
        <w:t>元和应收保证金利息人民币</w:t>
      </w:r>
      <w:r w:rsidRPr="004A673D">
        <w:rPr>
          <w:rFonts w:ascii="Times New Roman" w:hAnsi="Times New Roman"/>
          <w:sz w:val="24"/>
          <w:szCs w:val="24"/>
        </w:rPr>
        <w:t>183.12</w:t>
      </w:r>
      <w:r w:rsidRPr="004A673D">
        <w:rPr>
          <w:rFonts w:ascii="Times New Roman" w:hAnsi="Times New Roman" w:hint="eastAsia"/>
          <w:sz w:val="24"/>
          <w:szCs w:val="24"/>
        </w:rPr>
        <w:t>元将于结息后划入本基金托管账户并</w:t>
      </w:r>
      <w:r w:rsidR="0012728F" w:rsidRPr="004A673D">
        <w:rPr>
          <w:rFonts w:ascii="Times New Roman" w:hAnsi="Times New Roman" w:hint="eastAsia"/>
          <w:sz w:val="24"/>
          <w:szCs w:val="24"/>
        </w:rPr>
        <w:t>按照</w:t>
      </w:r>
      <w:r w:rsidRPr="004A673D">
        <w:rPr>
          <w:rFonts w:ascii="Times New Roman" w:hAnsi="Times New Roman" w:hint="eastAsia"/>
          <w:sz w:val="24"/>
          <w:szCs w:val="24"/>
        </w:rPr>
        <w:t>基金份额持有人</w:t>
      </w:r>
      <w:r w:rsidR="0012728F" w:rsidRPr="004A673D">
        <w:rPr>
          <w:rFonts w:ascii="Times New Roman" w:hAnsi="Times New Roman" w:hint="eastAsia"/>
          <w:sz w:val="24"/>
          <w:szCs w:val="24"/>
        </w:rPr>
        <w:t>持有的基金份额比例进行二次</w:t>
      </w:r>
      <w:r w:rsidRPr="004A673D">
        <w:rPr>
          <w:rFonts w:ascii="Times New Roman" w:hAnsi="Times New Roman" w:hint="eastAsia"/>
          <w:sz w:val="24"/>
          <w:szCs w:val="24"/>
        </w:rPr>
        <w:t>分配。</w:t>
      </w:r>
    </w:p>
    <w:p w:rsidR="00725CF5" w:rsidRPr="004A673D" w:rsidRDefault="00725CF5" w:rsidP="00434CBE">
      <w:pPr>
        <w:overflowPunct w:val="0"/>
        <w:autoSpaceDE w:val="0"/>
        <w:autoSpaceDN w:val="0"/>
        <w:snapToGrid w:val="0"/>
        <w:spacing w:line="360" w:lineRule="auto"/>
        <w:jc w:val="left"/>
        <w:rPr>
          <w:rFonts w:ascii="Times New Roman" w:hAnsi="Times New Roman"/>
          <w:sz w:val="24"/>
          <w:szCs w:val="24"/>
        </w:rPr>
      </w:pPr>
    </w:p>
    <w:p w:rsidR="00725CF5" w:rsidRPr="004A673D" w:rsidRDefault="00ED1427"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2</w:t>
      </w:r>
      <w:r w:rsidRPr="004A673D">
        <w:rPr>
          <w:rFonts w:ascii="Times New Roman" w:hAnsi="Times New Roman" w:hint="eastAsia"/>
          <w:sz w:val="24"/>
          <w:szCs w:val="24"/>
        </w:rPr>
        <w:t>、</w:t>
      </w:r>
      <w:r w:rsidRPr="004A673D">
        <w:rPr>
          <w:rFonts w:ascii="Times New Roman" w:hAnsi="Times New Roman" w:hint="eastAsia"/>
          <w:sz w:val="24"/>
          <w:szCs w:val="24"/>
        </w:rPr>
        <w:tab/>
      </w:r>
      <w:r w:rsidR="00725CF5" w:rsidRPr="004A673D">
        <w:rPr>
          <w:rFonts w:ascii="Times New Roman" w:hAnsi="Times New Roman" w:hint="eastAsia"/>
          <w:sz w:val="24"/>
          <w:szCs w:val="24"/>
        </w:rPr>
        <w:t>负债清偿情况</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本基金最后运作日应付交易费用为人民币</w:t>
      </w:r>
      <w:r w:rsidRPr="004A673D">
        <w:rPr>
          <w:rFonts w:ascii="Times New Roman" w:hAnsi="Times New Roman"/>
          <w:sz w:val="24"/>
          <w:szCs w:val="24"/>
        </w:rPr>
        <w:t>4,404.27</w:t>
      </w:r>
      <w:r w:rsidRPr="004A673D">
        <w:rPr>
          <w:rFonts w:ascii="Times New Roman" w:hAnsi="Times New Roman" w:hint="eastAsia"/>
          <w:sz w:val="24"/>
          <w:szCs w:val="24"/>
        </w:rPr>
        <w:t>元，其中人民币</w:t>
      </w:r>
      <w:r w:rsidRPr="004A673D">
        <w:rPr>
          <w:rFonts w:ascii="Times New Roman" w:hAnsi="Times New Roman"/>
          <w:sz w:val="24"/>
          <w:szCs w:val="24"/>
        </w:rPr>
        <w:t>1,520.00</w:t>
      </w:r>
      <w:r w:rsidRPr="004A673D">
        <w:rPr>
          <w:rFonts w:ascii="Times New Roman" w:hAnsi="Times New Roman" w:hint="eastAsia"/>
          <w:sz w:val="24"/>
          <w:szCs w:val="24"/>
        </w:rPr>
        <w:t>元已于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1</w:t>
      </w:r>
      <w:r w:rsidRPr="004A673D">
        <w:rPr>
          <w:rFonts w:ascii="Times New Roman" w:hAnsi="Times New Roman" w:hint="eastAsia"/>
          <w:sz w:val="24"/>
          <w:szCs w:val="24"/>
        </w:rPr>
        <w:t>日支付。截至</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3</w:t>
      </w:r>
      <w:r w:rsidRPr="004A673D">
        <w:rPr>
          <w:rFonts w:ascii="Times New Roman" w:hAnsi="Times New Roman" w:hint="eastAsia"/>
          <w:sz w:val="24"/>
          <w:szCs w:val="24"/>
        </w:rPr>
        <w:t>日，本基金应付交易费用为人民币</w:t>
      </w:r>
      <w:r w:rsidRPr="004A673D">
        <w:rPr>
          <w:rFonts w:ascii="Times New Roman" w:hAnsi="Times New Roman"/>
          <w:sz w:val="24"/>
          <w:szCs w:val="24"/>
        </w:rPr>
        <w:t>2,884.27</w:t>
      </w:r>
      <w:r w:rsidRPr="004A673D">
        <w:rPr>
          <w:rFonts w:ascii="Times New Roman" w:hAnsi="Times New Roman" w:hint="eastAsia"/>
          <w:sz w:val="24"/>
          <w:szCs w:val="24"/>
        </w:rPr>
        <w:t>元，将于二次</w:t>
      </w:r>
      <w:r w:rsidR="000D2F31" w:rsidRPr="004A673D">
        <w:rPr>
          <w:rFonts w:ascii="Times New Roman" w:hAnsi="Times New Roman"/>
          <w:sz w:val="24"/>
          <w:szCs w:val="24"/>
        </w:rPr>
        <w:t>分配</w:t>
      </w:r>
      <w:r w:rsidR="001F2A73" w:rsidRPr="004A673D">
        <w:rPr>
          <w:rFonts w:ascii="Times New Roman" w:hAnsi="Times New Roman"/>
          <w:sz w:val="24"/>
          <w:szCs w:val="24"/>
        </w:rPr>
        <w:t>前</w:t>
      </w:r>
      <w:r w:rsidRPr="004A673D">
        <w:rPr>
          <w:rFonts w:ascii="Times New Roman" w:hAnsi="Times New Roman" w:hint="eastAsia"/>
          <w:sz w:val="24"/>
          <w:szCs w:val="24"/>
        </w:rPr>
        <w:t>支付。</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本基金最后运作日应付赎回款为人民币</w:t>
      </w:r>
      <w:r w:rsidRPr="004A673D">
        <w:rPr>
          <w:rFonts w:ascii="Times New Roman" w:hAnsi="Times New Roman"/>
          <w:sz w:val="24"/>
          <w:szCs w:val="24"/>
        </w:rPr>
        <w:t>985,462.26</w:t>
      </w:r>
      <w:r w:rsidRPr="004A673D">
        <w:rPr>
          <w:rFonts w:ascii="Times New Roman" w:hAnsi="Times New Roman" w:hint="eastAsia"/>
          <w:sz w:val="24"/>
          <w:szCs w:val="24"/>
        </w:rPr>
        <w:t>元，该款项已于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11</w:t>
      </w:r>
      <w:r w:rsidRPr="004A673D">
        <w:rPr>
          <w:rFonts w:ascii="Times New Roman" w:hAnsi="Times New Roman" w:hint="eastAsia"/>
          <w:sz w:val="24"/>
          <w:szCs w:val="24"/>
        </w:rPr>
        <w:t>月</w:t>
      </w:r>
      <w:r w:rsidRPr="004A673D">
        <w:rPr>
          <w:rFonts w:ascii="Times New Roman" w:hAnsi="Times New Roman"/>
          <w:sz w:val="24"/>
          <w:szCs w:val="24"/>
        </w:rPr>
        <w:t>17</w:t>
      </w:r>
      <w:r w:rsidRPr="004A673D">
        <w:rPr>
          <w:rFonts w:ascii="Times New Roman" w:hAnsi="Times New Roman" w:hint="eastAsia"/>
          <w:sz w:val="24"/>
          <w:szCs w:val="24"/>
        </w:rPr>
        <w:t>日支付。</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本基金最后运作日应付管理人报酬为人民币</w:t>
      </w:r>
      <w:r w:rsidRPr="004A673D">
        <w:rPr>
          <w:rFonts w:ascii="Times New Roman" w:hAnsi="Times New Roman"/>
          <w:sz w:val="24"/>
          <w:szCs w:val="24"/>
        </w:rPr>
        <w:t>282,912.61</w:t>
      </w:r>
      <w:r w:rsidRPr="004A673D">
        <w:rPr>
          <w:rFonts w:ascii="Times New Roman" w:hAnsi="Times New Roman" w:hint="eastAsia"/>
          <w:sz w:val="24"/>
          <w:szCs w:val="24"/>
        </w:rPr>
        <w:t>元，该款项已于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2</w:t>
      </w:r>
      <w:r w:rsidRPr="004A673D">
        <w:rPr>
          <w:rFonts w:ascii="Times New Roman" w:hAnsi="Times New Roman" w:hint="eastAsia"/>
          <w:sz w:val="24"/>
          <w:szCs w:val="24"/>
        </w:rPr>
        <w:t>日支付。</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本基金最后运作日应付托管费为人民币</w:t>
      </w:r>
      <w:r w:rsidRPr="004A673D">
        <w:rPr>
          <w:rFonts w:ascii="Times New Roman" w:hAnsi="Times New Roman"/>
          <w:sz w:val="24"/>
          <w:szCs w:val="24"/>
        </w:rPr>
        <w:t>80,832.18</w:t>
      </w:r>
      <w:r w:rsidRPr="004A673D">
        <w:rPr>
          <w:rFonts w:ascii="Times New Roman" w:hAnsi="Times New Roman" w:hint="eastAsia"/>
          <w:sz w:val="24"/>
          <w:szCs w:val="24"/>
        </w:rPr>
        <w:t>元，该款项已于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2</w:t>
      </w:r>
      <w:r w:rsidRPr="004A673D">
        <w:rPr>
          <w:rFonts w:ascii="Times New Roman" w:hAnsi="Times New Roman" w:hint="eastAsia"/>
          <w:sz w:val="24"/>
          <w:szCs w:val="24"/>
        </w:rPr>
        <w:t>日支付。</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本基金最后运作日应交税费为人民币</w:t>
      </w:r>
      <w:r w:rsidRPr="004A673D">
        <w:rPr>
          <w:rFonts w:ascii="Times New Roman" w:hAnsi="Times New Roman"/>
          <w:sz w:val="24"/>
          <w:szCs w:val="24"/>
        </w:rPr>
        <w:t>13,342.71</w:t>
      </w:r>
      <w:r w:rsidRPr="004A673D">
        <w:rPr>
          <w:rFonts w:ascii="Times New Roman" w:hAnsi="Times New Roman" w:hint="eastAsia"/>
          <w:sz w:val="24"/>
          <w:szCs w:val="24"/>
        </w:rPr>
        <w:t>元，清算期间计提应交税费人民币</w:t>
      </w:r>
      <w:r w:rsidRPr="004A673D">
        <w:rPr>
          <w:rFonts w:ascii="Times New Roman" w:hAnsi="Times New Roman"/>
          <w:sz w:val="24"/>
          <w:szCs w:val="24"/>
        </w:rPr>
        <w:t>15.58</w:t>
      </w:r>
      <w:r w:rsidRPr="004A673D">
        <w:rPr>
          <w:rFonts w:ascii="Times New Roman" w:hAnsi="Times New Roman" w:hint="eastAsia"/>
          <w:sz w:val="24"/>
          <w:szCs w:val="24"/>
        </w:rPr>
        <w:t>元，其中人民币</w:t>
      </w:r>
      <w:r w:rsidRPr="004A673D">
        <w:rPr>
          <w:rFonts w:ascii="Times New Roman" w:hAnsi="Times New Roman"/>
          <w:sz w:val="24"/>
          <w:szCs w:val="24"/>
        </w:rPr>
        <w:t>167.29</w:t>
      </w:r>
      <w:r w:rsidRPr="004A673D">
        <w:rPr>
          <w:rFonts w:ascii="Times New Roman" w:hAnsi="Times New Roman" w:hint="eastAsia"/>
          <w:sz w:val="24"/>
          <w:szCs w:val="24"/>
        </w:rPr>
        <w:t>元已于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3</w:t>
      </w:r>
      <w:r w:rsidRPr="004A673D">
        <w:rPr>
          <w:rFonts w:ascii="Times New Roman" w:hAnsi="Times New Roman" w:hint="eastAsia"/>
          <w:sz w:val="24"/>
          <w:szCs w:val="24"/>
        </w:rPr>
        <w:t>日支付，剩余的人民币</w:t>
      </w:r>
      <w:r w:rsidRPr="004A673D">
        <w:rPr>
          <w:rFonts w:ascii="Times New Roman" w:hAnsi="Times New Roman"/>
          <w:sz w:val="24"/>
          <w:szCs w:val="24"/>
        </w:rPr>
        <w:t>13,191.00</w:t>
      </w:r>
      <w:r w:rsidRPr="004A673D">
        <w:rPr>
          <w:rFonts w:ascii="Times New Roman" w:hAnsi="Times New Roman" w:hint="eastAsia"/>
          <w:sz w:val="24"/>
          <w:szCs w:val="24"/>
        </w:rPr>
        <w:t>元将留存于本基金托管户中待缴付至税务机关。</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本基金最后运作日其他负债为人民币</w:t>
      </w:r>
      <w:r w:rsidRPr="004A673D">
        <w:rPr>
          <w:rFonts w:ascii="Times New Roman" w:hAnsi="Times New Roman"/>
          <w:sz w:val="24"/>
          <w:szCs w:val="24"/>
        </w:rPr>
        <w:t>169,597.54</w:t>
      </w:r>
      <w:r w:rsidRPr="004A673D">
        <w:rPr>
          <w:rFonts w:ascii="Times New Roman" w:hAnsi="Times New Roman" w:hint="eastAsia"/>
          <w:sz w:val="24"/>
          <w:szCs w:val="24"/>
        </w:rPr>
        <w:t>元，为应付账户维护费人民币</w:t>
      </w:r>
      <w:r w:rsidRPr="004A673D">
        <w:rPr>
          <w:rFonts w:ascii="Times New Roman" w:hAnsi="Times New Roman"/>
          <w:sz w:val="24"/>
          <w:szCs w:val="24"/>
        </w:rPr>
        <w:t>4,597.54</w:t>
      </w:r>
      <w:r w:rsidRPr="004A673D">
        <w:rPr>
          <w:rFonts w:ascii="Times New Roman" w:hAnsi="Times New Roman" w:hint="eastAsia"/>
          <w:sz w:val="24"/>
          <w:szCs w:val="24"/>
        </w:rPr>
        <w:t>元，应付信息披露费人民币</w:t>
      </w:r>
      <w:r w:rsidRPr="004A673D">
        <w:rPr>
          <w:rFonts w:ascii="Times New Roman" w:hAnsi="Times New Roman"/>
          <w:sz w:val="24"/>
          <w:szCs w:val="24"/>
        </w:rPr>
        <w:t>110,000.00</w:t>
      </w:r>
      <w:r w:rsidRPr="004A673D">
        <w:rPr>
          <w:rFonts w:ascii="Times New Roman" w:hAnsi="Times New Roman" w:hint="eastAsia"/>
          <w:sz w:val="24"/>
          <w:szCs w:val="24"/>
        </w:rPr>
        <w:t>元，应付上市年费人民币</w:t>
      </w:r>
      <w:r w:rsidRPr="004A673D">
        <w:rPr>
          <w:rFonts w:ascii="Times New Roman" w:hAnsi="Times New Roman"/>
          <w:sz w:val="24"/>
          <w:szCs w:val="24"/>
        </w:rPr>
        <w:t>55,000.00</w:t>
      </w:r>
      <w:r w:rsidRPr="004A673D">
        <w:rPr>
          <w:rFonts w:ascii="Times New Roman" w:hAnsi="Times New Roman" w:hint="eastAsia"/>
          <w:sz w:val="24"/>
          <w:szCs w:val="24"/>
        </w:rPr>
        <w:t>元。其中，应付账户维护费人民币</w:t>
      </w:r>
      <w:r w:rsidRPr="004A673D">
        <w:rPr>
          <w:rFonts w:ascii="Times New Roman" w:hAnsi="Times New Roman"/>
          <w:sz w:val="24"/>
          <w:szCs w:val="24"/>
        </w:rPr>
        <w:t>2,298.77</w:t>
      </w:r>
      <w:r w:rsidRPr="004A673D">
        <w:rPr>
          <w:rFonts w:ascii="Times New Roman" w:hAnsi="Times New Roman" w:hint="eastAsia"/>
          <w:sz w:val="24"/>
          <w:szCs w:val="24"/>
        </w:rPr>
        <w:t>元已于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1</w:t>
      </w:r>
      <w:r w:rsidRPr="004A673D">
        <w:rPr>
          <w:rFonts w:ascii="Times New Roman" w:hAnsi="Times New Roman" w:hint="eastAsia"/>
          <w:sz w:val="24"/>
          <w:szCs w:val="24"/>
        </w:rPr>
        <w:t>日支付，应付信息披露费已于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11</w:t>
      </w:r>
      <w:r w:rsidRPr="004A673D">
        <w:rPr>
          <w:rFonts w:ascii="Times New Roman" w:hAnsi="Times New Roman" w:hint="eastAsia"/>
          <w:sz w:val="24"/>
          <w:szCs w:val="24"/>
        </w:rPr>
        <w:t>月</w:t>
      </w:r>
      <w:r w:rsidRPr="004A673D">
        <w:rPr>
          <w:rFonts w:ascii="Times New Roman" w:hAnsi="Times New Roman"/>
          <w:sz w:val="24"/>
          <w:szCs w:val="24"/>
        </w:rPr>
        <w:t>30</w:t>
      </w:r>
      <w:r w:rsidRPr="004A673D">
        <w:rPr>
          <w:rFonts w:ascii="Times New Roman" w:hAnsi="Times New Roman" w:hint="eastAsia"/>
          <w:sz w:val="24"/>
          <w:szCs w:val="24"/>
        </w:rPr>
        <w:t>日支付，应付上市年费已于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11</w:t>
      </w:r>
      <w:r w:rsidRPr="004A673D">
        <w:rPr>
          <w:rFonts w:ascii="Times New Roman" w:hAnsi="Times New Roman" w:hint="eastAsia"/>
          <w:sz w:val="24"/>
          <w:szCs w:val="24"/>
        </w:rPr>
        <w:t>月</w:t>
      </w:r>
      <w:r w:rsidRPr="004A673D">
        <w:rPr>
          <w:rFonts w:ascii="Times New Roman" w:hAnsi="Times New Roman"/>
          <w:sz w:val="24"/>
          <w:szCs w:val="24"/>
        </w:rPr>
        <w:t>26</w:t>
      </w:r>
      <w:r w:rsidRPr="004A673D">
        <w:rPr>
          <w:rFonts w:ascii="Times New Roman" w:hAnsi="Times New Roman" w:hint="eastAsia"/>
          <w:sz w:val="24"/>
          <w:szCs w:val="24"/>
        </w:rPr>
        <w:t>日支付。截至</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3</w:t>
      </w:r>
      <w:r w:rsidRPr="004A673D">
        <w:rPr>
          <w:rFonts w:ascii="Times New Roman" w:hAnsi="Times New Roman" w:hint="eastAsia"/>
          <w:sz w:val="24"/>
          <w:szCs w:val="24"/>
        </w:rPr>
        <w:t>日，本基金其他负债余额为人民币</w:t>
      </w:r>
      <w:r w:rsidRPr="004A673D">
        <w:rPr>
          <w:rFonts w:ascii="Times New Roman" w:hAnsi="Times New Roman"/>
          <w:sz w:val="24"/>
          <w:szCs w:val="24"/>
        </w:rPr>
        <w:t>3,130.24</w:t>
      </w:r>
      <w:r w:rsidRPr="004A673D">
        <w:rPr>
          <w:rFonts w:ascii="Times New Roman" w:hAnsi="Times New Roman" w:hint="eastAsia"/>
          <w:sz w:val="24"/>
          <w:szCs w:val="24"/>
        </w:rPr>
        <w:t>元，其中应付账户维护费人民币</w:t>
      </w:r>
      <w:r w:rsidRPr="004A673D">
        <w:rPr>
          <w:rFonts w:ascii="Times New Roman" w:hAnsi="Times New Roman"/>
          <w:sz w:val="24"/>
          <w:szCs w:val="24"/>
        </w:rPr>
        <w:t>3,130.24</w:t>
      </w:r>
      <w:r w:rsidRPr="004A673D">
        <w:rPr>
          <w:rFonts w:ascii="Times New Roman" w:hAnsi="Times New Roman" w:hint="eastAsia"/>
          <w:sz w:val="24"/>
          <w:szCs w:val="24"/>
        </w:rPr>
        <w:t>元，将于二次</w:t>
      </w:r>
      <w:r w:rsidR="001F2A73" w:rsidRPr="004A673D">
        <w:rPr>
          <w:rFonts w:ascii="Times New Roman" w:hAnsi="Times New Roman" w:hint="eastAsia"/>
          <w:sz w:val="24"/>
          <w:szCs w:val="24"/>
        </w:rPr>
        <w:t>分配前</w:t>
      </w:r>
      <w:r w:rsidRPr="004A673D">
        <w:rPr>
          <w:rFonts w:ascii="Times New Roman" w:hAnsi="Times New Roman" w:hint="eastAsia"/>
          <w:sz w:val="24"/>
          <w:szCs w:val="24"/>
        </w:rPr>
        <w:t>支付。</w:t>
      </w: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3</w:t>
      </w:r>
      <w:r w:rsidRPr="004A673D">
        <w:rPr>
          <w:rFonts w:ascii="Times New Roman" w:hAnsi="Times New Roman" w:hint="eastAsia"/>
          <w:sz w:val="24"/>
          <w:szCs w:val="24"/>
        </w:rPr>
        <w:t>、</w:t>
      </w:r>
      <w:r w:rsidRPr="004A673D">
        <w:rPr>
          <w:rFonts w:ascii="Times New Roman" w:hAnsi="Times New Roman"/>
          <w:sz w:val="24"/>
          <w:szCs w:val="24"/>
        </w:rPr>
        <w:tab/>
      </w:r>
      <w:r w:rsidRPr="004A673D">
        <w:rPr>
          <w:rFonts w:ascii="Times New Roman" w:hAnsi="Times New Roman" w:hint="eastAsia"/>
          <w:sz w:val="24"/>
          <w:szCs w:val="24"/>
        </w:rPr>
        <w:t>清算期间的清算损益情况</w:t>
      </w:r>
    </w:p>
    <w:p w:rsidR="00725CF5" w:rsidRPr="004A673D" w:rsidRDefault="00725CF5" w:rsidP="00725CF5">
      <w:pPr>
        <w:overflowPunct w:val="0"/>
        <w:autoSpaceDE w:val="0"/>
        <w:autoSpaceDN w:val="0"/>
        <w:snapToGrid w:val="0"/>
        <w:jc w:val="left"/>
        <w:rPr>
          <w:rFonts w:ascii="黑体" w:eastAsia="黑体" w:hAnsi="黑体" w:cs="Arial"/>
          <w:sz w:val="22"/>
        </w:rPr>
      </w:pPr>
    </w:p>
    <w:tbl>
      <w:tblPr>
        <w:tblW w:w="8476" w:type="dxa"/>
        <w:tblInd w:w="675" w:type="dxa"/>
        <w:tblLook w:val="04A0"/>
      </w:tblPr>
      <w:tblGrid>
        <w:gridCol w:w="5739"/>
        <w:gridCol w:w="2737"/>
      </w:tblGrid>
      <w:tr w:rsidR="00725CF5" w:rsidRPr="004A673D" w:rsidTr="00725CF5">
        <w:trPr>
          <w:trHeight w:val="80"/>
        </w:trPr>
        <w:tc>
          <w:tcPr>
            <w:tcW w:w="5739" w:type="dxa"/>
            <w:noWrap/>
            <w:vAlign w:val="bottom"/>
            <w:hideMark/>
          </w:tcPr>
          <w:p w:rsidR="00725CF5" w:rsidRPr="004A673D" w:rsidRDefault="00725CF5">
            <w:pPr>
              <w:overflowPunct w:val="0"/>
              <w:autoSpaceDE w:val="0"/>
              <w:autoSpaceDN w:val="0"/>
              <w:snapToGrid w:val="0"/>
              <w:ind w:left="34"/>
              <w:jc w:val="left"/>
              <w:rPr>
                <w:rFonts w:ascii="黑体" w:eastAsia="黑体" w:hAnsi="黑体" w:cs="Arial"/>
                <w:sz w:val="22"/>
                <w:szCs w:val="24"/>
              </w:rPr>
            </w:pPr>
            <w:r w:rsidRPr="004A673D">
              <w:rPr>
                <w:rFonts w:ascii="黑体" w:eastAsia="黑体" w:hAnsi="黑体" w:cs="Arial" w:hint="eastAsia"/>
                <w:sz w:val="22"/>
              </w:rPr>
              <w:t>项目</w:t>
            </w:r>
          </w:p>
        </w:tc>
        <w:tc>
          <w:tcPr>
            <w:tcW w:w="2737" w:type="dxa"/>
            <w:noWrap/>
            <w:vAlign w:val="bottom"/>
            <w:hideMark/>
          </w:tcPr>
          <w:p w:rsidR="00725CF5" w:rsidRPr="004A673D" w:rsidRDefault="00725CF5">
            <w:pPr>
              <w:overflowPunct w:val="0"/>
              <w:autoSpaceDE w:val="0"/>
              <w:autoSpaceDN w:val="0"/>
              <w:snapToGrid w:val="0"/>
              <w:jc w:val="right"/>
              <w:rPr>
                <w:rFonts w:ascii="黑体" w:eastAsia="黑体" w:hAnsi="黑体" w:cs="Arial"/>
                <w:sz w:val="22"/>
              </w:rPr>
            </w:pPr>
            <w:r w:rsidRPr="004A673D">
              <w:rPr>
                <w:rFonts w:ascii="黑体" w:eastAsia="黑体" w:hAnsi="黑体" w:cs="Arial" w:hint="eastAsia"/>
                <w:sz w:val="22"/>
              </w:rPr>
              <w:t>自2020年11月17日</w:t>
            </w:r>
          </w:p>
          <w:p w:rsidR="00725CF5" w:rsidRPr="004A673D" w:rsidRDefault="00725CF5">
            <w:pPr>
              <w:tabs>
                <w:tab w:val="left" w:pos="2517"/>
              </w:tabs>
              <w:overflowPunct w:val="0"/>
              <w:autoSpaceDE w:val="0"/>
              <w:autoSpaceDN w:val="0"/>
              <w:snapToGrid w:val="0"/>
              <w:jc w:val="right"/>
              <w:rPr>
                <w:rFonts w:ascii="黑体" w:eastAsia="黑体" w:hAnsi="黑体" w:cs="Arial"/>
                <w:sz w:val="22"/>
              </w:rPr>
            </w:pPr>
            <w:r w:rsidRPr="004A673D">
              <w:rPr>
                <w:rFonts w:ascii="黑体" w:eastAsia="黑体" w:hAnsi="黑体" w:cs="Arial" w:hint="eastAsia"/>
                <w:sz w:val="22"/>
              </w:rPr>
              <w:t>至2020年12月3日</w:t>
            </w:r>
          </w:p>
          <w:p w:rsidR="00725CF5" w:rsidRPr="004A673D" w:rsidRDefault="00725CF5">
            <w:pPr>
              <w:overflowPunct w:val="0"/>
              <w:autoSpaceDE w:val="0"/>
              <w:autoSpaceDN w:val="0"/>
              <w:snapToGrid w:val="0"/>
              <w:jc w:val="right"/>
              <w:rPr>
                <w:rFonts w:ascii="黑体" w:eastAsia="黑体" w:hAnsi="黑体" w:cs="Arial"/>
                <w:sz w:val="22"/>
                <w:szCs w:val="24"/>
              </w:rPr>
            </w:pPr>
            <w:r w:rsidRPr="004A673D">
              <w:rPr>
                <w:rFonts w:ascii="黑体" w:eastAsia="黑体" w:hAnsi="黑体" w:cs="Arial" w:hint="eastAsia"/>
                <w:sz w:val="22"/>
              </w:rPr>
              <w:t>止清算期间</w:t>
            </w:r>
          </w:p>
        </w:tc>
      </w:tr>
      <w:tr w:rsidR="00725CF5" w:rsidRPr="004A673D" w:rsidTr="00725CF5">
        <w:trPr>
          <w:trHeight w:val="271"/>
        </w:trPr>
        <w:tc>
          <w:tcPr>
            <w:tcW w:w="5739" w:type="dxa"/>
            <w:noWrap/>
            <w:vAlign w:val="bottom"/>
            <w:hideMark/>
          </w:tcPr>
          <w:p w:rsidR="00725CF5" w:rsidRPr="004A673D" w:rsidRDefault="00725CF5">
            <w:pPr>
              <w:overflowPunct w:val="0"/>
              <w:autoSpaceDE w:val="0"/>
              <w:autoSpaceDN w:val="0"/>
              <w:snapToGrid w:val="0"/>
              <w:ind w:left="34"/>
              <w:jc w:val="left"/>
              <w:rPr>
                <w:rFonts w:ascii="黑体" w:eastAsia="黑体" w:hAnsi="黑体" w:cs="Arial"/>
                <w:sz w:val="22"/>
              </w:rPr>
            </w:pPr>
            <w:r w:rsidRPr="004A673D">
              <w:rPr>
                <w:rFonts w:ascii="黑体" w:eastAsia="黑体" w:hAnsi="黑体" w:cs="Arial" w:hint="eastAsia"/>
                <w:sz w:val="22"/>
              </w:rPr>
              <w:t>一、收益</w:t>
            </w:r>
          </w:p>
        </w:tc>
        <w:tc>
          <w:tcPr>
            <w:tcW w:w="2737" w:type="dxa"/>
            <w:noWrap/>
            <w:vAlign w:val="bottom"/>
          </w:tcPr>
          <w:p w:rsidR="00725CF5" w:rsidRPr="004A673D" w:rsidRDefault="00725CF5">
            <w:pPr>
              <w:overflowPunct w:val="0"/>
              <w:autoSpaceDE w:val="0"/>
              <w:autoSpaceDN w:val="0"/>
              <w:snapToGrid w:val="0"/>
              <w:jc w:val="right"/>
              <w:rPr>
                <w:rFonts w:ascii="黑体" w:eastAsia="黑体" w:hAnsi="黑体" w:cs="Arial"/>
                <w:sz w:val="22"/>
              </w:rPr>
            </w:pPr>
          </w:p>
        </w:tc>
      </w:tr>
      <w:tr w:rsidR="00725CF5" w:rsidRPr="004A673D" w:rsidTr="00725CF5">
        <w:trPr>
          <w:trHeight w:val="80"/>
        </w:trPr>
        <w:tc>
          <w:tcPr>
            <w:tcW w:w="5739" w:type="dxa"/>
            <w:noWrap/>
            <w:vAlign w:val="bottom"/>
            <w:hideMark/>
          </w:tcPr>
          <w:p w:rsidR="00725CF5" w:rsidRPr="004A673D" w:rsidRDefault="00725CF5" w:rsidP="00C41A7B">
            <w:pPr>
              <w:numPr>
                <w:ilvl w:val="0"/>
                <w:numId w:val="5"/>
              </w:numPr>
              <w:overflowPunct w:val="0"/>
              <w:autoSpaceDE w:val="0"/>
              <w:autoSpaceDN w:val="0"/>
              <w:snapToGrid w:val="0"/>
              <w:jc w:val="left"/>
              <w:rPr>
                <w:rFonts w:ascii="黑体" w:eastAsia="黑体" w:hAnsi="黑体" w:cs="Arial"/>
                <w:sz w:val="22"/>
              </w:rPr>
            </w:pPr>
            <w:r w:rsidRPr="004A673D">
              <w:rPr>
                <w:rFonts w:ascii="黑体" w:eastAsia="黑体" w:hAnsi="黑体" w:cs="Arial" w:hint="eastAsia"/>
                <w:sz w:val="22"/>
              </w:rPr>
              <w:t>利息收入（注1）</w:t>
            </w:r>
          </w:p>
        </w:tc>
        <w:tc>
          <w:tcPr>
            <w:tcW w:w="2737" w:type="dxa"/>
            <w:noWrap/>
            <w:hideMark/>
          </w:tcPr>
          <w:p w:rsidR="00725CF5" w:rsidRPr="004A673D" w:rsidRDefault="00725CF5">
            <w:pPr>
              <w:overflowPunct w:val="0"/>
              <w:autoSpaceDE w:val="0"/>
              <w:autoSpaceDN w:val="0"/>
              <w:snapToGrid w:val="0"/>
              <w:jc w:val="right"/>
              <w:rPr>
                <w:rFonts w:ascii="黑体" w:eastAsia="黑体" w:hAnsi="黑体" w:cs="Arial"/>
                <w:sz w:val="24"/>
                <w:szCs w:val="24"/>
              </w:rPr>
            </w:pPr>
            <w:r w:rsidRPr="004A673D">
              <w:rPr>
                <w:rFonts w:ascii="黑体" w:eastAsia="黑体" w:hAnsi="黑体" w:cs="Arial" w:hint="eastAsia"/>
                <w:sz w:val="24"/>
              </w:rPr>
              <w:t xml:space="preserve"> 135,673.69 </w:t>
            </w:r>
          </w:p>
        </w:tc>
      </w:tr>
      <w:tr w:rsidR="00725CF5" w:rsidRPr="004A673D" w:rsidTr="00725CF5">
        <w:trPr>
          <w:trHeight w:val="80"/>
        </w:trPr>
        <w:tc>
          <w:tcPr>
            <w:tcW w:w="5739" w:type="dxa"/>
            <w:noWrap/>
            <w:vAlign w:val="bottom"/>
            <w:hideMark/>
          </w:tcPr>
          <w:p w:rsidR="00725CF5" w:rsidRPr="004A673D" w:rsidRDefault="00725CF5" w:rsidP="00C41A7B">
            <w:pPr>
              <w:numPr>
                <w:ilvl w:val="0"/>
                <w:numId w:val="5"/>
              </w:numPr>
              <w:overflowPunct w:val="0"/>
              <w:autoSpaceDE w:val="0"/>
              <w:autoSpaceDN w:val="0"/>
              <w:snapToGrid w:val="0"/>
              <w:jc w:val="left"/>
              <w:rPr>
                <w:rFonts w:ascii="黑体" w:eastAsia="黑体" w:hAnsi="黑体" w:cs="Arial"/>
                <w:sz w:val="22"/>
              </w:rPr>
            </w:pPr>
            <w:r w:rsidRPr="004A673D">
              <w:rPr>
                <w:rFonts w:ascii="黑体" w:eastAsia="黑体" w:hAnsi="黑体" w:cs="Arial" w:hint="eastAsia"/>
                <w:sz w:val="22"/>
              </w:rPr>
              <w:t>投资收益</w:t>
            </w:r>
          </w:p>
        </w:tc>
        <w:tc>
          <w:tcPr>
            <w:tcW w:w="2737" w:type="dxa"/>
            <w:noWrap/>
            <w:hideMark/>
          </w:tcPr>
          <w:p w:rsidR="00725CF5" w:rsidRPr="004A673D" w:rsidRDefault="00725CF5">
            <w:pPr>
              <w:overflowPunct w:val="0"/>
              <w:autoSpaceDE w:val="0"/>
              <w:autoSpaceDN w:val="0"/>
              <w:snapToGrid w:val="0"/>
              <w:jc w:val="right"/>
              <w:rPr>
                <w:rFonts w:ascii="黑体" w:eastAsia="黑体" w:hAnsi="黑体" w:cs="Arial"/>
                <w:sz w:val="24"/>
                <w:szCs w:val="24"/>
              </w:rPr>
            </w:pPr>
            <w:r w:rsidRPr="004A673D">
              <w:rPr>
                <w:rFonts w:ascii="黑体" w:eastAsia="黑体" w:hAnsi="黑体" w:cs="Arial" w:hint="eastAsia"/>
                <w:sz w:val="24"/>
              </w:rPr>
              <w:t xml:space="preserve"> -61,859,705.47 </w:t>
            </w:r>
          </w:p>
        </w:tc>
      </w:tr>
      <w:tr w:rsidR="00725CF5" w:rsidRPr="004A673D" w:rsidTr="00725CF5">
        <w:trPr>
          <w:trHeight w:val="80"/>
        </w:trPr>
        <w:tc>
          <w:tcPr>
            <w:tcW w:w="5739" w:type="dxa"/>
            <w:noWrap/>
            <w:vAlign w:val="bottom"/>
            <w:hideMark/>
          </w:tcPr>
          <w:p w:rsidR="00725CF5" w:rsidRPr="004A673D" w:rsidRDefault="00725CF5" w:rsidP="00C41A7B">
            <w:pPr>
              <w:numPr>
                <w:ilvl w:val="0"/>
                <w:numId w:val="5"/>
              </w:numPr>
              <w:overflowPunct w:val="0"/>
              <w:autoSpaceDE w:val="0"/>
              <w:autoSpaceDN w:val="0"/>
              <w:snapToGrid w:val="0"/>
              <w:jc w:val="left"/>
              <w:rPr>
                <w:rFonts w:ascii="黑体" w:eastAsia="黑体" w:hAnsi="黑体" w:cs="Arial"/>
                <w:sz w:val="22"/>
              </w:rPr>
            </w:pPr>
            <w:r w:rsidRPr="004A673D">
              <w:rPr>
                <w:rFonts w:ascii="黑体" w:eastAsia="黑体" w:hAnsi="黑体" w:cs="Arial" w:hint="eastAsia"/>
                <w:sz w:val="22"/>
              </w:rPr>
              <w:t>公允价值变动损益</w:t>
            </w:r>
          </w:p>
        </w:tc>
        <w:tc>
          <w:tcPr>
            <w:tcW w:w="2737" w:type="dxa"/>
            <w:noWrap/>
            <w:hideMark/>
          </w:tcPr>
          <w:p w:rsidR="00725CF5" w:rsidRPr="004A673D" w:rsidRDefault="00725CF5">
            <w:pPr>
              <w:overflowPunct w:val="0"/>
              <w:autoSpaceDE w:val="0"/>
              <w:autoSpaceDN w:val="0"/>
              <w:snapToGrid w:val="0"/>
              <w:jc w:val="right"/>
              <w:rPr>
                <w:rFonts w:ascii="黑体" w:eastAsia="黑体" w:hAnsi="黑体" w:cs="Arial"/>
                <w:sz w:val="24"/>
                <w:szCs w:val="24"/>
              </w:rPr>
            </w:pPr>
            <w:r w:rsidRPr="004A673D">
              <w:rPr>
                <w:rFonts w:ascii="黑体" w:eastAsia="黑体" w:hAnsi="黑体" w:cs="Arial" w:hint="eastAsia"/>
                <w:sz w:val="24"/>
              </w:rPr>
              <w:t xml:space="preserve"> 61,653,858.08 </w:t>
            </w:r>
          </w:p>
        </w:tc>
      </w:tr>
      <w:tr w:rsidR="00725CF5" w:rsidRPr="004A673D" w:rsidTr="00725CF5">
        <w:trPr>
          <w:trHeight w:val="80"/>
        </w:trPr>
        <w:tc>
          <w:tcPr>
            <w:tcW w:w="5739" w:type="dxa"/>
            <w:noWrap/>
            <w:vAlign w:val="bottom"/>
            <w:hideMark/>
          </w:tcPr>
          <w:p w:rsidR="00725CF5" w:rsidRPr="004A673D" w:rsidRDefault="00725CF5" w:rsidP="00C41A7B">
            <w:pPr>
              <w:numPr>
                <w:ilvl w:val="0"/>
                <w:numId w:val="5"/>
              </w:numPr>
              <w:overflowPunct w:val="0"/>
              <w:autoSpaceDE w:val="0"/>
              <w:autoSpaceDN w:val="0"/>
              <w:snapToGrid w:val="0"/>
              <w:jc w:val="left"/>
              <w:rPr>
                <w:rFonts w:ascii="黑体" w:eastAsia="黑体" w:hAnsi="黑体" w:cs="Arial"/>
                <w:sz w:val="22"/>
              </w:rPr>
            </w:pPr>
            <w:r w:rsidRPr="004A673D">
              <w:rPr>
                <w:rFonts w:ascii="黑体" w:eastAsia="黑体" w:hAnsi="黑体" w:cs="Arial" w:hint="eastAsia"/>
                <w:sz w:val="22"/>
              </w:rPr>
              <w:t>赎回费收入</w:t>
            </w:r>
          </w:p>
        </w:tc>
        <w:tc>
          <w:tcPr>
            <w:tcW w:w="2737" w:type="dxa"/>
            <w:noWrap/>
            <w:hideMark/>
          </w:tcPr>
          <w:p w:rsidR="00725CF5" w:rsidRPr="004A673D" w:rsidRDefault="00725CF5">
            <w:pPr>
              <w:overflowPunct w:val="0"/>
              <w:autoSpaceDE w:val="0"/>
              <w:autoSpaceDN w:val="0"/>
              <w:snapToGrid w:val="0"/>
              <w:jc w:val="right"/>
              <w:rPr>
                <w:rFonts w:ascii="黑体" w:eastAsia="黑体" w:hAnsi="黑体" w:cs="Arial"/>
                <w:sz w:val="24"/>
                <w:szCs w:val="24"/>
              </w:rPr>
            </w:pPr>
            <w:r w:rsidRPr="004A673D">
              <w:rPr>
                <w:rFonts w:ascii="黑体" w:eastAsia="黑体" w:hAnsi="黑体" w:cs="Arial" w:hint="eastAsia"/>
                <w:sz w:val="24"/>
              </w:rPr>
              <w:t xml:space="preserve"> -   </w:t>
            </w:r>
          </w:p>
        </w:tc>
      </w:tr>
      <w:tr w:rsidR="00725CF5" w:rsidRPr="004A673D" w:rsidTr="00725CF5">
        <w:trPr>
          <w:trHeight w:val="80"/>
        </w:trPr>
        <w:tc>
          <w:tcPr>
            <w:tcW w:w="5739" w:type="dxa"/>
            <w:noWrap/>
            <w:vAlign w:val="bottom"/>
            <w:hideMark/>
          </w:tcPr>
          <w:p w:rsidR="00725CF5" w:rsidRPr="004A673D" w:rsidRDefault="00725CF5">
            <w:pPr>
              <w:overflowPunct w:val="0"/>
              <w:autoSpaceDE w:val="0"/>
              <w:autoSpaceDN w:val="0"/>
              <w:snapToGrid w:val="0"/>
              <w:ind w:left="459"/>
              <w:jc w:val="left"/>
              <w:rPr>
                <w:rFonts w:ascii="黑体" w:eastAsia="黑体" w:hAnsi="黑体" w:cs="Arial"/>
                <w:sz w:val="22"/>
              </w:rPr>
            </w:pPr>
            <w:r w:rsidRPr="004A673D">
              <w:rPr>
                <w:rFonts w:ascii="黑体" w:eastAsia="黑体" w:hAnsi="黑体" w:cs="Arial" w:hint="eastAsia"/>
                <w:sz w:val="22"/>
              </w:rPr>
              <w:t>收益小计</w:t>
            </w:r>
          </w:p>
        </w:tc>
        <w:tc>
          <w:tcPr>
            <w:tcW w:w="2737" w:type="dxa"/>
            <w:noWrap/>
            <w:hideMark/>
          </w:tcPr>
          <w:p w:rsidR="00725CF5" w:rsidRPr="004A673D" w:rsidRDefault="00725CF5">
            <w:pPr>
              <w:pBdr>
                <w:bottom w:val="single" w:sz="4" w:space="1" w:color="auto"/>
              </w:pBdr>
              <w:overflowPunct w:val="0"/>
              <w:autoSpaceDE w:val="0"/>
              <w:autoSpaceDN w:val="0"/>
              <w:snapToGrid w:val="0"/>
              <w:jc w:val="right"/>
              <w:rPr>
                <w:rFonts w:ascii="黑体" w:eastAsia="黑体" w:hAnsi="黑体" w:cs="Arial"/>
                <w:sz w:val="24"/>
              </w:rPr>
            </w:pPr>
            <w:r w:rsidRPr="004A673D">
              <w:rPr>
                <w:rFonts w:ascii="黑体" w:eastAsia="黑体" w:hAnsi="黑体" w:cs="Arial" w:hint="eastAsia"/>
                <w:sz w:val="24"/>
              </w:rPr>
              <w:t xml:space="preserve"> -70,173.70 </w:t>
            </w:r>
          </w:p>
        </w:tc>
      </w:tr>
      <w:tr w:rsidR="00725CF5" w:rsidRPr="004A673D" w:rsidTr="00725CF5">
        <w:trPr>
          <w:trHeight w:val="80"/>
        </w:trPr>
        <w:tc>
          <w:tcPr>
            <w:tcW w:w="5739" w:type="dxa"/>
            <w:noWrap/>
            <w:vAlign w:val="bottom"/>
          </w:tcPr>
          <w:p w:rsidR="00725CF5" w:rsidRPr="004A673D" w:rsidRDefault="00725CF5">
            <w:pPr>
              <w:overflowPunct w:val="0"/>
              <w:autoSpaceDE w:val="0"/>
              <w:autoSpaceDN w:val="0"/>
              <w:snapToGrid w:val="0"/>
              <w:jc w:val="left"/>
              <w:rPr>
                <w:rFonts w:ascii="黑体" w:eastAsia="黑体" w:hAnsi="黑体" w:cs="Arial"/>
                <w:sz w:val="22"/>
              </w:rPr>
            </w:pPr>
          </w:p>
        </w:tc>
        <w:tc>
          <w:tcPr>
            <w:tcW w:w="2737" w:type="dxa"/>
            <w:noWrap/>
            <w:vAlign w:val="bottom"/>
          </w:tcPr>
          <w:p w:rsidR="00725CF5" w:rsidRPr="004A673D" w:rsidRDefault="00725CF5">
            <w:pPr>
              <w:overflowPunct w:val="0"/>
              <w:autoSpaceDE w:val="0"/>
              <w:autoSpaceDN w:val="0"/>
              <w:snapToGrid w:val="0"/>
              <w:ind w:left="1026"/>
              <w:jc w:val="right"/>
              <w:rPr>
                <w:rFonts w:ascii="黑体" w:eastAsia="黑体" w:hAnsi="黑体" w:cs="Arial"/>
                <w:sz w:val="22"/>
                <w:u w:val="single"/>
              </w:rPr>
            </w:pPr>
          </w:p>
        </w:tc>
      </w:tr>
      <w:tr w:rsidR="00725CF5" w:rsidRPr="004A673D" w:rsidTr="00725CF5">
        <w:trPr>
          <w:trHeight w:val="80"/>
        </w:trPr>
        <w:tc>
          <w:tcPr>
            <w:tcW w:w="5739" w:type="dxa"/>
            <w:noWrap/>
            <w:vAlign w:val="bottom"/>
            <w:hideMark/>
          </w:tcPr>
          <w:p w:rsidR="00725CF5" w:rsidRPr="004A673D" w:rsidRDefault="00725CF5">
            <w:pPr>
              <w:overflowPunct w:val="0"/>
              <w:autoSpaceDE w:val="0"/>
              <w:autoSpaceDN w:val="0"/>
              <w:snapToGrid w:val="0"/>
              <w:ind w:left="34"/>
              <w:jc w:val="left"/>
              <w:rPr>
                <w:rFonts w:ascii="黑体" w:eastAsia="黑体" w:hAnsi="黑体" w:cs="Arial"/>
                <w:sz w:val="22"/>
              </w:rPr>
            </w:pPr>
            <w:r w:rsidRPr="004A673D">
              <w:rPr>
                <w:rFonts w:ascii="黑体" w:eastAsia="黑体" w:hAnsi="黑体" w:cs="Arial" w:hint="eastAsia"/>
                <w:sz w:val="22"/>
              </w:rPr>
              <w:t>二、费用（注2）</w:t>
            </w:r>
          </w:p>
        </w:tc>
        <w:tc>
          <w:tcPr>
            <w:tcW w:w="2737" w:type="dxa"/>
            <w:noWrap/>
            <w:vAlign w:val="bottom"/>
          </w:tcPr>
          <w:p w:rsidR="00725CF5" w:rsidRPr="004A673D" w:rsidRDefault="00725CF5">
            <w:pPr>
              <w:overflowPunct w:val="0"/>
              <w:autoSpaceDE w:val="0"/>
              <w:autoSpaceDN w:val="0"/>
              <w:snapToGrid w:val="0"/>
              <w:ind w:left="1026"/>
              <w:jc w:val="right"/>
              <w:rPr>
                <w:rFonts w:ascii="黑体" w:eastAsia="黑体" w:hAnsi="黑体" w:cs="Arial"/>
                <w:sz w:val="22"/>
              </w:rPr>
            </w:pPr>
          </w:p>
        </w:tc>
      </w:tr>
      <w:tr w:rsidR="00725CF5" w:rsidRPr="004A673D" w:rsidTr="00725CF5">
        <w:trPr>
          <w:trHeight w:val="80"/>
        </w:trPr>
        <w:tc>
          <w:tcPr>
            <w:tcW w:w="5739" w:type="dxa"/>
            <w:noWrap/>
            <w:vAlign w:val="bottom"/>
            <w:hideMark/>
          </w:tcPr>
          <w:p w:rsidR="00725CF5" w:rsidRPr="004A673D" w:rsidRDefault="00725CF5">
            <w:pPr>
              <w:overflowPunct w:val="0"/>
              <w:autoSpaceDE w:val="0"/>
              <w:autoSpaceDN w:val="0"/>
              <w:snapToGrid w:val="0"/>
              <w:ind w:left="459"/>
              <w:jc w:val="left"/>
              <w:rPr>
                <w:rFonts w:ascii="黑体" w:eastAsia="黑体" w:hAnsi="黑体" w:cs="Arial"/>
                <w:sz w:val="22"/>
              </w:rPr>
            </w:pPr>
            <w:r w:rsidRPr="004A673D">
              <w:rPr>
                <w:rFonts w:ascii="黑体" w:eastAsia="黑体" w:hAnsi="黑体" w:cs="Arial" w:hint="eastAsia"/>
                <w:sz w:val="22"/>
              </w:rPr>
              <w:t>1、交易费用</w:t>
            </w:r>
          </w:p>
        </w:tc>
        <w:tc>
          <w:tcPr>
            <w:tcW w:w="2737" w:type="dxa"/>
            <w:noWrap/>
            <w:hideMark/>
          </w:tcPr>
          <w:p w:rsidR="00725CF5" w:rsidRPr="004A673D" w:rsidRDefault="00725CF5">
            <w:pPr>
              <w:overflowPunct w:val="0"/>
              <w:autoSpaceDE w:val="0"/>
              <w:autoSpaceDN w:val="0"/>
              <w:snapToGrid w:val="0"/>
              <w:jc w:val="right"/>
              <w:rPr>
                <w:rFonts w:ascii="黑体" w:eastAsia="黑体" w:hAnsi="黑体" w:cs="Arial"/>
                <w:sz w:val="24"/>
              </w:rPr>
            </w:pPr>
            <w:r w:rsidRPr="004A673D">
              <w:rPr>
                <w:rFonts w:ascii="黑体" w:eastAsia="黑体" w:hAnsi="黑体" w:cs="Arial" w:hint="eastAsia"/>
                <w:sz w:val="24"/>
              </w:rPr>
              <w:t xml:space="preserve"> 54.60 </w:t>
            </w:r>
          </w:p>
        </w:tc>
      </w:tr>
      <w:tr w:rsidR="00725CF5" w:rsidRPr="004A673D" w:rsidTr="00725CF5">
        <w:trPr>
          <w:trHeight w:val="80"/>
        </w:trPr>
        <w:tc>
          <w:tcPr>
            <w:tcW w:w="5739" w:type="dxa"/>
            <w:noWrap/>
            <w:vAlign w:val="bottom"/>
            <w:hideMark/>
          </w:tcPr>
          <w:p w:rsidR="00725CF5" w:rsidRPr="004A673D" w:rsidRDefault="00725CF5">
            <w:pPr>
              <w:overflowPunct w:val="0"/>
              <w:autoSpaceDE w:val="0"/>
              <w:autoSpaceDN w:val="0"/>
              <w:snapToGrid w:val="0"/>
              <w:ind w:left="459"/>
              <w:jc w:val="left"/>
              <w:rPr>
                <w:rFonts w:ascii="黑体" w:eastAsia="黑体" w:hAnsi="黑体" w:cs="Arial"/>
                <w:sz w:val="22"/>
              </w:rPr>
            </w:pPr>
            <w:r w:rsidRPr="004A673D">
              <w:rPr>
                <w:rFonts w:ascii="黑体" w:eastAsia="黑体" w:hAnsi="黑体" w:cs="Arial" w:hint="eastAsia"/>
                <w:sz w:val="22"/>
              </w:rPr>
              <w:t>2、银行汇划费</w:t>
            </w:r>
          </w:p>
        </w:tc>
        <w:tc>
          <w:tcPr>
            <w:tcW w:w="2737" w:type="dxa"/>
            <w:noWrap/>
            <w:hideMark/>
          </w:tcPr>
          <w:p w:rsidR="00725CF5" w:rsidRPr="004A673D" w:rsidRDefault="00725CF5">
            <w:pPr>
              <w:overflowPunct w:val="0"/>
              <w:autoSpaceDE w:val="0"/>
              <w:autoSpaceDN w:val="0"/>
              <w:snapToGrid w:val="0"/>
              <w:jc w:val="right"/>
              <w:rPr>
                <w:rFonts w:ascii="黑体" w:eastAsia="黑体" w:hAnsi="黑体" w:cs="Arial"/>
                <w:sz w:val="24"/>
              </w:rPr>
            </w:pPr>
            <w:r w:rsidRPr="004A673D">
              <w:rPr>
                <w:rFonts w:ascii="黑体" w:eastAsia="黑体" w:hAnsi="黑体" w:cs="Arial" w:hint="eastAsia"/>
                <w:sz w:val="24"/>
              </w:rPr>
              <w:t xml:space="preserve"> 76.00 </w:t>
            </w:r>
          </w:p>
        </w:tc>
      </w:tr>
      <w:tr w:rsidR="00725CF5" w:rsidRPr="004A673D" w:rsidTr="00725CF5">
        <w:trPr>
          <w:trHeight w:val="80"/>
        </w:trPr>
        <w:tc>
          <w:tcPr>
            <w:tcW w:w="5739" w:type="dxa"/>
            <w:noWrap/>
            <w:vAlign w:val="bottom"/>
            <w:hideMark/>
          </w:tcPr>
          <w:p w:rsidR="00725CF5" w:rsidRPr="004A673D" w:rsidRDefault="00725CF5">
            <w:pPr>
              <w:overflowPunct w:val="0"/>
              <w:autoSpaceDE w:val="0"/>
              <w:autoSpaceDN w:val="0"/>
              <w:snapToGrid w:val="0"/>
              <w:ind w:left="459"/>
              <w:jc w:val="left"/>
              <w:rPr>
                <w:rFonts w:ascii="黑体" w:eastAsia="黑体" w:hAnsi="黑体" w:cs="Arial"/>
                <w:sz w:val="22"/>
              </w:rPr>
            </w:pPr>
            <w:r w:rsidRPr="004A673D">
              <w:rPr>
                <w:rFonts w:ascii="黑体" w:eastAsia="黑体" w:hAnsi="黑体" w:cs="Arial" w:hint="eastAsia"/>
                <w:sz w:val="22"/>
              </w:rPr>
              <w:t>3、账户维护费</w:t>
            </w:r>
          </w:p>
        </w:tc>
        <w:tc>
          <w:tcPr>
            <w:tcW w:w="2737" w:type="dxa"/>
            <w:noWrap/>
            <w:hideMark/>
          </w:tcPr>
          <w:p w:rsidR="00725CF5" w:rsidRPr="004A673D" w:rsidRDefault="00725CF5">
            <w:pPr>
              <w:overflowPunct w:val="0"/>
              <w:autoSpaceDE w:val="0"/>
              <w:autoSpaceDN w:val="0"/>
              <w:snapToGrid w:val="0"/>
              <w:jc w:val="right"/>
              <w:rPr>
                <w:rFonts w:ascii="黑体" w:eastAsia="黑体" w:hAnsi="黑体" w:cs="Arial"/>
                <w:sz w:val="24"/>
                <w:szCs w:val="24"/>
              </w:rPr>
            </w:pPr>
            <w:r w:rsidRPr="004A673D">
              <w:rPr>
                <w:rFonts w:ascii="黑体" w:eastAsia="黑体" w:hAnsi="黑体" w:cs="Arial" w:hint="eastAsia"/>
                <w:sz w:val="24"/>
              </w:rPr>
              <w:t>1532.7</w:t>
            </w:r>
          </w:p>
        </w:tc>
      </w:tr>
      <w:tr w:rsidR="00725CF5" w:rsidRPr="004A673D" w:rsidTr="00725CF5">
        <w:trPr>
          <w:trHeight w:val="80"/>
        </w:trPr>
        <w:tc>
          <w:tcPr>
            <w:tcW w:w="5739" w:type="dxa"/>
            <w:noWrap/>
            <w:vAlign w:val="bottom"/>
            <w:hideMark/>
          </w:tcPr>
          <w:p w:rsidR="00725CF5" w:rsidRPr="004A673D" w:rsidRDefault="00725CF5">
            <w:pPr>
              <w:overflowPunct w:val="0"/>
              <w:autoSpaceDE w:val="0"/>
              <w:autoSpaceDN w:val="0"/>
              <w:snapToGrid w:val="0"/>
              <w:ind w:left="459"/>
              <w:jc w:val="left"/>
              <w:rPr>
                <w:rFonts w:ascii="黑体" w:eastAsia="黑体" w:hAnsi="黑体" w:cs="Arial"/>
                <w:sz w:val="22"/>
              </w:rPr>
            </w:pPr>
            <w:r w:rsidRPr="004A673D">
              <w:rPr>
                <w:rFonts w:ascii="黑体" w:eastAsia="黑体" w:hAnsi="黑体" w:cs="Arial" w:hint="eastAsia"/>
                <w:sz w:val="22"/>
              </w:rPr>
              <w:t>4、清算期间费用</w:t>
            </w:r>
          </w:p>
        </w:tc>
        <w:tc>
          <w:tcPr>
            <w:tcW w:w="2737" w:type="dxa"/>
            <w:noWrap/>
            <w:hideMark/>
          </w:tcPr>
          <w:p w:rsidR="00725CF5" w:rsidRPr="004A673D" w:rsidRDefault="00725CF5">
            <w:pPr>
              <w:overflowPunct w:val="0"/>
              <w:autoSpaceDE w:val="0"/>
              <w:autoSpaceDN w:val="0"/>
              <w:snapToGrid w:val="0"/>
              <w:jc w:val="right"/>
              <w:rPr>
                <w:rFonts w:ascii="黑体" w:eastAsia="黑体" w:hAnsi="黑体" w:cs="Arial"/>
                <w:sz w:val="24"/>
                <w:szCs w:val="24"/>
              </w:rPr>
            </w:pPr>
            <w:r w:rsidRPr="004A673D">
              <w:rPr>
                <w:rFonts w:ascii="黑体" w:eastAsia="黑体" w:hAnsi="黑体" w:cs="Arial" w:hint="eastAsia"/>
                <w:sz w:val="24"/>
              </w:rPr>
              <w:t xml:space="preserve"> 45,000.00 </w:t>
            </w:r>
          </w:p>
        </w:tc>
      </w:tr>
      <w:tr w:rsidR="00725CF5" w:rsidRPr="004A673D" w:rsidTr="00725CF5">
        <w:trPr>
          <w:trHeight w:val="80"/>
        </w:trPr>
        <w:tc>
          <w:tcPr>
            <w:tcW w:w="5739" w:type="dxa"/>
            <w:noWrap/>
            <w:vAlign w:val="bottom"/>
            <w:hideMark/>
          </w:tcPr>
          <w:p w:rsidR="00725CF5" w:rsidRPr="004A673D" w:rsidRDefault="00725CF5">
            <w:pPr>
              <w:overflowPunct w:val="0"/>
              <w:autoSpaceDE w:val="0"/>
              <w:autoSpaceDN w:val="0"/>
              <w:snapToGrid w:val="0"/>
              <w:ind w:left="459"/>
              <w:jc w:val="left"/>
              <w:rPr>
                <w:rFonts w:ascii="黑体" w:eastAsia="黑体" w:hAnsi="黑体" w:cs="Arial"/>
                <w:sz w:val="22"/>
              </w:rPr>
            </w:pPr>
            <w:r w:rsidRPr="004A673D">
              <w:rPr>
                <w:rFonts w:ascii="黑体" w:eastAsia="黑体" w:hAnsi="黑体" w:cs="Arial" w:hint="eastAsia"/>
                <w:sz w:val="22"/>
              </w:rPr>
              <w:t>5、税金及附加</w:t>
            </w:r>
          </w:p>
        </w:tc>
        <w:tc>
          <w:tcPr>
            <w:tcW w:w="2737" w:type="dxa"/>
            <w:noWrap/>
            <w:hideMark/>
          </w:tcPr>
          <w:p w:rsidR="00725CF5" w:rsidRPr="004A673D" w:rsidRDefault="00725CF5">
            <w:pPr>
              <w:overflowPunct w:val="0"/>
              <w:autoSpaceDE w:val="0"/>
              <w:autoSpaceDN w:val="0"/>
              <w:snapToGrid w:val="0"/>
              <w:jc w:val="right"/>
              <w:rPr>
                <w:rFonts w:ascii="黑体" w:eastAsia="黑体" w:hAnsi="黑体" w:cs="Arial"/>
                <w:sz w:val="24"/>
                <w:szCs w:val="24"/>
              </w:rPr>
            </w:pPr>
            <w:r w:rsidRPr="004A673D">
              <w:rPr>
                <w:rFonts w:ascii="黑体" w:eastAsia="黑体" w:hAnsi="黑体" w:cs="Arial" w:hint="eastAsia"/>
                <w:sz w:val="24"/>
              </w:rPr>
              <w:t xml:space="preserve">  1.68  </w:t>
            </w:r>
          </w:p>
        </w:tc>
      </w:tr>
      <w:tr w:rsidR="00725CF5" w:rsidRPr="004A673D" w:rsidTr="00725CF5">
        <w:trPr>
          <w:trHeight w:val="80"/>
        </w:trPr>
        <w:tc>
          <w:tcPr>
            <w:tcW w:w="5739" w:type="dxa"/>
            <w:noWrap/>
            <w:vAlign w:val="bottom"/>
            <w:hideMark/>
          </w:tcPr>
          <w:p w:rsidR="00725CF5" w:rsidRPr="004A673D" w:rsidRDefault="00725CF5">
            <w:pPr>
              <w:overflowPunct w:val="0"/>
              <w:autoSpaceDE w:val="0"/>
              <w:autoSpaceDN w:val="0"/>
              <w:snapToGrid w:val="0"/>
              <w:ind w:left="459"/>
              <w:jc w:val="left"/>
              <w:rPr>
                <w:rFonts w:ascii="黑体" w:eastAsia="黑体" w:hAnsi="黑体" w:cs="Arial"/>
                <w:sz w:val="22"/>
              </w:rPr>
            </w:pPr>
            <w:r w:rsidRPr="004A673D">
              <w:rPr>
                <w:rFonts w:ascii="黑体" w:eastAsia="黑体" w:hAnsi="黑体" w:cs="Arial" w:hint="eastAsia"/>
                <w:sz w:val="22"/>
              </w:rPr>
              <w:t>费用小计</w:t>
            </w:r>
          </w:p>
        </w:tc>
        <w:tc>
          <w:tcPr>
            <w:tcW w:w="2737" w:type="dxa"/>
            <w:noWrap/>
            <w:hideMark/>
          </w:tcPr>
          <w:p w:rsidR="00725CF5" w:rsidRPr="004A673D" w:rsidRDefault="00725CF5">
            <w:pPr>
              <w:pBdr>
                <w:bottom w:val="single" w:sz="4" w:space="1" w:color="auto"/>
              </w:pBdr>
              <w:overflowPunct w:val="0"/>
              <w:autoSpaceDE w:val="0"/>
              <w:autoSpaceDN w:val="0"/>
              <w:snapToGrid w:val="0"/>
              <w:jc w:val="right"/>
              <w:rPr>
                <w:rFonts w:ascii="黑体" w:eastAsia="黑体" w:hAnsi="黑体" w:cs="Arial"/>
                <w:sz w:val="24"/>
              </w:rPr>
            </w:pPr>
            <w:r w:rsidRPr="004A673D">
              <w:rPr>
                <w:rFonts w:ascii="黑体" w:eastAsia="黑体" w:hAnsi="黑体" w:cs="Arial" w:hint="eastAsia"/>
                <w:sz w:val="24"/>
              </w:rPr>
              <w:t xml:space="preserve">46,664.98  </w:t>
            </w:r>
          </w:p>
        </w:tc>
      </w:tr>
      <w:tr w:rsidR="00725CF5" w:rsidRPr="004A673D" w:rsidTr="00725CF5">
        <w:trPr>
          <w:trHeight w:val="80"/>
        </w:trPr>
        <w:tc>
          <w:tcPr>
            <w:tcW w:w="5739" w:type="dxa"/>
            <w:noWrap/>
            <w:vAlign w:val="bottom"/>
          </w:tcPr>
          <w:p w:rsidR="00725CF5" w:rsidRPr="004A673D" w:rsidRDefault="00725CF5">
            <w:pPr>
              <w:overflowPunct w:val="0"/>
              <w:autoSpaceDE w:val="0"/>
              <w:autoSpaceDN w:val="0"/>
              <w:snapToGrid w:val="0"/>
              <w:ind w:left="459"/>
              <w:jc w:val="left"/>
              <w:rPr>
                <w:rFonts w:ascii="黑体" w:eastAsia="黑体" w:hAnsi="黑体" w:cs="Arial"/>
                <w:sz w:val="22"/>
              </w:rPr>
            </w:pPr>
          </w:p>
          <w:p w:rsidR="00725CF5" w:rsidRPr="004A673D" w:rsidRDefault="00725CF5">
            <w:pPr>
              <w:overflowPunct w:val="0"/>
              <w:autoSpaceDE w:val="0"/>
              <w:autoSpaceDN w:val="0"/>
              <w:snapToGrid w:val="0"/>
              <w:ind w:left="459"/>
              <w:jc w:val="left"/>
              <w:rPr>
                <w:rFonts w:ascii="黑体" w:eastAsia="黑体" w:hAnsi="黑体" w:cs="Arial"/>
                <w:sz w:val="22"/>
              </w:rPr>
            </w:pPr>
          </w:p>
        </w:tc>
        <w:tc>
          <w:tcPr>
            <w:tcW w:w="2737" w:type="dxa"/>
            <w:noWrap/>
            <w:vAlign w:val="bottom"/>
          </w:tcPr>
          <w:p w:rsidR="00725CF5" w:rsidRPr="004A673D" w:rsidRDefault="00725CF5">
            <w:pPr>
              <w:overflowPunct w:val="0"/>
              <w:autoSpaceDE w:val="0"/>
              <w:autoSpaceDN w:val="0"/>
              <w:snapToGrid w:val="0"/>
              <w:ind w:left="1026"/>
              <w:jc w:val="right"/>
              <w:rPr>
                <w:rFonts w:ascii="黑体" w:eastAsia="黑体" w:hAnsi="黑体" w:cs="Arial"/>
                <w:sz w:val="22"/>
                <w:szCs w:val="24"/>
              </w:rPr>
            </w:pPr>
          </w:p>
        </w:tc>
      </w:tr>
    </w:tbl>
    <w:p w:rsidR="00725CF5" w:rsidRPr="004A673D" w:rsidRDefault="00725CF5" w:rsidP="00725CF5">
      <w:pPr>
        <w:tabs>
          <w:tab w:val="left" w:pos="7461"/>
          <w:tab w:val="right" w:pos="9015"/>
        </w:tabs>
        <w:overflowPunct w:val="0"/>
        <w:autoSpaceDE w:val="0"/>
        <w:autoSpaceDN w:val="0"/>
        <w:snapToGrid w:val="0"/>
        <w:ind w:left="459" w:firstLineChars="100" w:firstLine="220"/>
        <w:jc w:val="left"/>
        <w:rPr>
          <w:rFonts w:ascii="黑体" w:eastAsia="黑体" w:hAnsi="黑体" w:cs="Arial"/>
          <w:sz w:val="22"/>
        </w:rPr>
      </w:pPr>
      <w:r w:rsidRPr="004A673D">
        <w:rPr>
          <w:rFonts w:ascii="黑体" w:eastAsia="黑体" w:hAnsi="黑体" w:cs="Arial" w:hint="eastAsia"/>
          <w:sz w:val="22"/>
        </w:rPr>
        <w:t>三、清算期间净损益</w:t>
      </w:r>
      <w:r w:rsidRPr="004A673D">
        <w:rPr>
          <w:rFonts w:ascii="黑体" w:eastAsia="黑体" w:hAnsi="黑体" w:cs="Arial" w:hint="eastAsia"/>
          <w:sz w:val="22"/>
        </w:rPr>
        <w:tab/>
      </w:r>
      <w:r w:rsidRPr="004A673D">
        <w:rPr>
          <w:rFonts w:ascii="黑体" w:eastAsia="黑体" w:hAnsi="黑体" w:cs="Arial" w:hint="eastAsia"/>
          <w:sz w:val="24"/>
          <w:u w:val="double"/>
        </w:rPr>
        <w:tab/>
        <w:t>-116,838.68</w:t>
      </w:r>
    </w:p>
    <w:p w:rsidR="00725CF5" w:rsidRPr="004A673D" w:rsidRDefault="00725CF5" w:rsidP="00725CF5">
      <w:pPr>
        <w:tabs>
          <w:tab w:val="left" w:pos="7461"/>
          <w:tab w:val="right" w:pos="9070"/>
        </w:tabs>
        <w:overflowPunct w:val="0"/>
        <w:autoSpaceDE w:val="0"/>
        <w:autoSpaceDN w:val="0"/>
        <w:snapToGrid w:val="0"/>
        <w:jc w:val="left"/>
        <w:rPr>
          <w:rFonts w:ascii="黑体" w:eastAsia="黑体" w:hAnsi="黑体" w:cs="Arial"/>
          <w:sz w:val="22"/>
        </w:rPr>
      </w:pPr>
    </w:p>
    <w:p w:rsidR="00725CF5" w:rsidRPr="004A673D" w:rsidRDefault="00725CF5"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注：利息收入系计提的自</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11</w:t>
      </w:r>
      <w:r w:rsidRPr="004A673D">
        <w:rPr>
          <w:rFonts w:ascii="Times New Roman" w:hAnsi="Times New Roman" w:hint="eastAsia"/>
          <w:sz w:val="24"/>
          <w:szCs w:val="24"/>
        </w:rPr>
        <w:t>月</w:t>
      </w:r>
      <w:r w:rsidRPr="004A673D">
        <w:rPr>
          <w:rFonts w:ascii="Times New Roman" w:hAnsi="Times New Roman"/>
          <w:sz w:val="24"/>
          <w:szCs w:val="24"/>
        </w:rPr>
        <w:t>17</w:t>
      </w:r>
      <w:r w:rsidRPr="004A673D">
        <w:rPr>
          <w:rFonts w:ascii="Times New Roman" w:hAnsi="Times New Roman" w:hint="eastAsia"/>
          <w:sz w:val="24"/>
          <w:szCs w:val="24"/>
        </w:rPr>
        <w:t>日至</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3</w:t>
      </w:r>
      <w:r w:rsidRPr="004A673D">
        <w:rPr>
          <w:rFonts w:ascii="Times New Roman" w:hAnsi="Times New Roman" w:hint="eastAsia"/>
          <w:sz w:val="24"/>
          <w:szCs w:val="24"/>
        </w:rPr>
        <w:t>日止清算期间的银行存款利息收入、结算备付金利息收入及债券投资利息收入。</w:t>
      </w:r>
      <w:r w:rsidRPr="004A673D">
        <w:rPr>
          <w:rFonts w:ascii="Times New Roman" w:hAnsi="Times New Roman"/>
          <w:sz w:val="24"/>
          <w:szCs w:val="24"/>
        </w:rPr>
        <w:t xml:space="preserve"> </w:t>
      </w:r>
    </w:p>
    <w:p w:rsidR="00E67240" w:rsidRPr="004A673D" w:rsidRDefault="00E67240"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E67240" w:rsidRPr="004A673D" w:rsidRDefault="00E67240"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4</w:t>
      </w:r>
      <w:r w:rsidRPr="004A673D">
        <w:rPr>
          <w:rFonts w:ascii="Times New Roman" w:hAnsi="Times New Roman" w:hint="eastAsia"/>
          <w:sz w:val="24"/>
          <w:szCs w:val="24"/>
        </w:rPr>
        <w:t>、</w:t>
      </w:r>
      <w:r w:rsidRPr="004A673D">
        <w:rPr>
          <w:rFonts w:ascii="Times New Roman" w:hAnsi="Times New Roman"/>
          <w:sz w:val="24"/>
          <w:szCs w:val="24"/>
        </w:rPr>
        <w:tab/>
      </w:r>
      <w:r w:rsidRPr="004A673D">
        <w:rPr>
          <w:rFonts w:ascii="Times New Roman" w:hAnsi="Times New Roman" w:hint="eastAsia"/>
          <w:sz w:val="24"/>
          <w:szCs w:val="24"/>
        </w:rPr>
        <w:t>资产处置及负债清偿后的剩余资产分配情况</w:t>
      </w:r>
    </w:p>
    <w:p w:rsidR="00E67240" w:rsidRPr="004A673D" w:rsidRDefault="00E67240" w:rsidP="00E67240">
      <w:pPr>
        <w:overflowPunct w:val="0"/>
        <w:autoSpaceDE w:val="0"/>
        <w:autoSpaceDN w:val="0"/>
        <w:snapToGrid w:val="0"/>
        <w:rPr>
          <w:rFonts w:ascii="黑体" w:eastAsia="黑体" w:hAnsi="黑体" w:cs="Arial"/>
          <w:b/>
          <w:sz w:val="22"/>
        </w:rPr>
      </w:pPr>
    </w:p>
    <w:p w:rsidR="00E67240" w:rsidRPr="004A673D" w:rsidRDefault="00E67240" w:rsidP="00434CBE">
      <w:pPr>
        <w:overflowPunct w:val="0"/>
        <w:autoSpaceDE w:val="0"/>
        <w:autoSpaceDN w:val="0"/>
        <w:snapToGrid w:val="0"/>
        <w:ind w:left="6480"/>
        <w:rPr>
          <w:rFonts w:ascii="黑体" w:eastAsia="黑体" w:hAnsi="黑体" w:cs="Arial"/>
          <w:b/>
          <w:sz w:val="22"/>
        </w:rPr>
      </w:pPr>
      <w:r w:rsidRPr="004A673D">
        <w:rPr>
          <w:rFonts w:ascii="黑体" w:eastAsia="黑体" w:hAnsi="黑体" w:hint="eastAsia"/>
          <w:sz w:val="22"/>
        </w:rPr>
        <w:t>单位：人民币元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5"/>
        <w:gridCol w:w="1832"/>
      </w:tblGrid>
      <w:tr w:rsidR="00E67240" w:rsidRPr="004A673D" w:rsidTr="00E67240">
        <w:tc>
          <w:tcPr>
            <w:tcW w:w="6663"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jc w:val="left"/>
              <w:rPr>
                <w:rFonts w:ascii="黑体" w:eastAsia="黑体" w:hAnsi="黑体" w:cs="Arial"/>
                <w:sz w:val="22"/>
              </w:rPr>
            </w:pPr>
            <w:r w:rsidRPr="004A673D">
              <w:rPr>
                <w:rFonts w:ascii="黑体" w:eastAsia="黑体" w:hAnsi="黑体" w:cs="Arial" w:hint="eastAsia"/>
                <w:sz w:val="22"/>
              </w:rPr>
              <w:t>项目</w:t>
            </w:r>
          </w:p>
        </w:tc>
        <w:tc>
          <w:tcPr>
            <w:tcW w:w="1841"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jc w:val="right"/>
              <w:rPr>
                <w:rFonts w:ascii="黑体" w:eastAsia="黑体" w:hAnsi="黑体" w:cs="Arial"/>
                <w:sz w:val="22"/>
              </w:rPr>
            </w:pPr>
            <w:r w:rsidRPr="004A673D">
              <w:rPr>
                <w:rFonts w:ascii="黑体" w:eastAsia="黑体" w:hAnsi="黑体" w:cs="Arial" w:hint="eastAsia"/>
                <w:sz w:val="22"/>
              </w:rPr>
              <w:t>金额</w:t>
            </w:r>
          </w:p>
        </w:tc>
      </w:tr>
      <w:tr w:rsidR="00E67240" w:rsidRPr="004A673D" w:rsidTr="00E67240">
        <w:tc>
          <w:tcPr>
            <w:tcW w:w="6663"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rPr>
                <w:rFonts w:ascii="黑体" w:eastAsia="黑体" w:hAnsi="黑体" w:cs="Arial"/>
                <w:sz w:val="22"/>
              </w:rPr>
            </w:pPr>
            <w:r w:rsidRPr="004A673D">
              <w:rPr>
                <w:rFonts w:ascii="黑体" w:eastAsia="黑体" w:hAnsi="黑体" w:cs="Arial" w:hint="eastAsia"/>
                <w:sz w:val="22"/>
              </w:rPr>
              <w:t>一、最后运作日2020年11月16日基金净资产</w:t>
            </w:r>
          </w:p>
        </w:tc>
        <w:tc>
          <w:tcPr>
            <w:tcW w:w="1841"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jc w:val="right"/>
              <w:rPr>
                <w:rFonts w:ascii="黑体" w:eastAsia="黑体" w:hAnsi="黑体" w:cs="Arial"/>
                <w:sz w:val="22"/>
              </w:rPr>
            </w:pPr>
            <w:r w:rsidRPr="004A673D">
              <w:rPr>
                <w:rFonts w:ascii="黑体" w:eastAsia="黑体" w:hAnsi="黑体" w:cs="Arial" w:hint="eastAsia"/>
                <w:sz w:val="22"/>
              </w:rPr>
              <w:t>820,420,016.66</w:t>
            </w:r>
          </w:p>
        </w:tc>
      </w:tr>
      <w:tr w:rsidR="00E67240" w:rsidRPr="004A673D" w:rsidTr="00E67240">
        <w:tc>
          <w:tcPr>
            <w:tcW w:w="6663"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rPr>
                <w:rFonts w:ascii="黑体" w:eastAsia="黑体" w:hAnsi="黑体" w:cs="Arial"/>
                <w:sz w:val="22"/>
              </w:rPr>
            </w:pPr>
            <w:r w:rsidRPr="004A673D">
              <w:rPr>
                <w:rFonts w:ascii="黑体" w:eastAsia="黑体" w:hAnsi="黑体" w:cs="Arial" w:hint="eastAsia"/>
                <w:sz w:val="22"/>
              </w:rPr>
              <w:t>加：自2020年11月17日至2020年12月3日止清算期间净收益</w:t>
            </w:r>
          </w:p>
        </w:tc>
        <w:tc>
          <w:tcPr>
            <w:tcW w:w="1841"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jc w:val="right"/>
              <w:rPr>
                <w:rFonts w:ascii="黑体" w:eastAsia="黑体" w:hAnsi="黑体" w:cs="Arial"/>
                <w:sz w:val="22"/>
              </w:rPr>
            </w:pPr>
            <w:r w:rsidRPr="004A673D">
              <w:rPr>
                <w:rFonts w:ascii="黑体" w:eastAsia="黑体" w:hAnsi="黑体" w:cs="Arial" w:hint="eastAsia"/>
                <w:sz w:val="22"/>
              </w:rPr>
              <w:t>-116,838.68</w:t>
            </w:r>
          </w:p>
        </w:tc>
      </w:tr>
      <w:tr w:rsidR="00E67240" w:rsidRPr="004A673D" w:rsidTr="00E67240">
        <w:tc>
          <w:tcPr>
            <w:tcW w:w="6663"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rPr>
                <w:rFonts w:ascii="黑体" w:eastAsia="黑体" w:hAnsi="黑体" w:cs="Arial"/>
                <w:sz w:val="22"/>
              </w:rPr>
            </w:pPr>
            <w:r w:rsidRPr="004A673D">
              <w:rPr>
                <w:rFonts w:ascii="黑体" w:eastAsia="黑体" w:hAnsi="黑体" w:cs="Arial" w:hint="eastAsia"/>
                <w:sz w:val="22"/>
              </w:rPr>
              <w:t>减：自2020年11月17日至2020年12月3日止清算期间支付赎回、转出款</w:t>
            </w:r>
          </w:p>
        </w:tc>
        <w:tc>
          <w:tcPr>
            <w:tcW w:w="1841"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jc w:val="right"/>
              <w:rPr>
                <w:rFonts w:ascii="黑体" w:eastAsia="黑体" w:hAnsi="黑体" w:cs="Arial"/>
                <w:sz w:val="22"/>
              </w:rPr>
            </w:pPr>
            <w:r w:rsidRPr="004A673D">
              <w:rPr>
                <w:rFonts w:ascii="黑体" w:eastAsia="黑体" w:hAnsi="黑体" w:cs="Arial" w:hint="eastAsia"/>
                <w:sz w:val="22"/>
              </w:rPr>
              <w:t>0.00</w:t>
            </w:r>
          </w:p>
        </w:tc>
      </w:tr>
      <w:tr w:rsidR="00E67240" w:rsidRPr="004A673D" w:rsidTr="00E67240">
        <w:trPr>
          <w:trHeight w:val="101"/>
        </w:trPr>
        <w:tc>
          <w:tcPr>
            <w:tcW w:w="6663"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rPr>
                <w:rFonts w:ascii="黑体" w:eastAsia="黑体" w:hAnsi="黑体" w:cs="Arial"/>
                <w:sz w:val="22"/>
              </w:rPr>
            </w:pPr>
            <w:r w:rsidRPr="004A673D">
              <w:rPr>
                <w:rFonts w:ascii="黑体" w:eastAsia="黑体" w:hAnsi="黑体" w:cs="Arial" w:hint="eastAsia"/>
                <w:sz w:val="22"/>
              </w:rPr>
              <w:t>二、2020年12月3日基金净资产</w:t>
            </w:r>
          </w:p>
        </w:tc>
        <w:tc>
          <w:tcPr>
            <w:tcW w:w="1841" w:type="dxa"/>
            <w:tcBorders>
              <w:top w:val="single" w:sz="4" w:space="0" w:color="auto"/>
              <w:left w:val="single" w:sz="4" w:space="0" w:color="auto"/>
              <w:bottom w:val="single" w:sz="4" w:space="0" w:color="auto"/>
              <w:right w:val="single" w:sz="4" w:space="0" w:color="auto"/>
            </w:tcBorders>
            <w:hideMark/>
          </w:tcPr>
          <w:p w:rsidR="00E67240" w:rsidRPr="004A673D" w:rsidRDefault="00E67240">
            <w:pPr>
              <w:overflowPunct w:val="0"/>
              <w:autoSpaceDE w:val="0"/>
              <w:autoSpaceDN w:val="0"/>
              <w:snapToGrid w:val="0"/>
              <w:jc w:val="right"/>
              <w:rPr>
                <w:rFonts w:ascii="黑体" w:eastAsia="黑体" w:hAnsi="黑体" w:cs="Arial"/>
                <w:sz w:val="22"/>
              </w:rPr>
            </w:pPr>
            <w:r w:rsidRPr="004A673D">
              <w:rPr>
                <w:rFonts w:ascii="黑体" w:eastAsia="黑体" w:hAnsi="黑体" w:cs="Arial" w:hint="eastAsia"/>
                <w:sz w:val="22"/>
              </w:rPr>
              <w:t>820,303,177.98</w:t>
            </w:r>
          </w:p>
        </w:tc>
      </w:tr>
    </w:tbl>
    <w:p w:rsidR="00E67240" w:rsidRPr="004A673D" w:rsidRDefault="00E67240" w:rsidP="00E67240">
      <w:pPr>
        <w:overflowPunct w:val="0"/>
        <w:autoSpaceDE w:val="0"/>
        <w:autoSpaceDN w:val="0"/>
        <w:snapToGrid w:val="0"/>
        <w:rPr>
          <w:rFonts w:ascii="黑体" w:eastAsia="黑体" w:hAnsi="黑体" w:cs="Arial"/>
          <w:b/>
          <w:sz w:val="22"/>
        </w:rPr>
      </w:pPr>
    </w:p>
    <w:p w:rsidR="00E67240" w:rsidRPr="004A673D" w:rsidRDefault="00E67240"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hint="eastAsia"/>
          <w:sz w:val="24"/>
          <w:szCs w:val="24"/>
        </w:rPr>
        <w:t>根据本基金的《基金合同》约定，依据基金财产清算的分配方案，将基金财产清算后的全部剩余资产扣除基金财产清算费用、交纳所欠税款并清偿基金债务后，按基金份额持有人持有的基金份额比例进行分配。</w:t>
      </w:r>
    </w:p>
    <w:p w:rsidR="00E67240" w:rsidRPr="004A673D" w:rsidRDefault="00E67240"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E67240" w:rsidRPr="004A673D" w:rsidRDefault="00E67240" w:rsidP="00434CBE">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3</w:t>
      </w:r>
      <w:r w:rsidRPr="004A673D">
        <w:rPr>
          <w:rFonts w:ascii="Times New Roman" w:hAnsi="Times New Roman" w:hint="eastAsia"/>
          <w:sz w:val="24"/>
          <w:szCs w:val="24"/>
        </w:rPr>
        <w:t>日本基金剩余财产为人民币</w:t>
      </w:r>
      <w:r w:rsidRPr="004A673D">
        <w:rPr>
          <w:rFonts w:ascii="Times New Roman" w:hAnsi="Times New Roman"/>
          <w:sz w:val="24"/>
          <w:szCs w:val="24"/>
        </w:rPr>
        <w:t>820,303,177.98</w:t>
      </w:r>
      <w:r w:rsidRPr="004A673D">
        <w:rPr>
          <w:rFonts w:ascii="Times New Roman" w:hAnsi="Times New Roman" w:hint="eastAsia"/>
          <w:sz w:val="24"/>
          <w:szCs w:val="24"/>
        </w:rPr>
        <w:t>元，其中非受限基金净资产金额人民币</w:t>
      </w:r>
      <w:r w:rsidRPr="004A673D">
        <w:rPr>
          <w:rFonts w:ascii="Times New Roman" w:hAnsi="Times New Roman"/>
          <w:sz w:val="24"/>
          <w:szCs w:val="24"/>
        </w:rPr>
        <w:t>806,222,957.98</w:t>
      </w:r>
      <w:r w:rsidRPr="004A673D">
        <w:rPr>
          <w:rFonts w:ascii="Times New Roman" w:hAnsi="Times New Roman" w:hint="eastAsia"/>
          <w:sz w:val="24"/>
          <w:szCs w:val="24"/>
        </w:rPr>
        <w:t>元，其中：银行存款金额为人民币</w:t>
      </w:r>
      <w:r w:rsidRPr="004A673D">
        <w:rPr>
          <w:rFonts w:ascii="Times New Roman" w:hAnsi="Times New Roman"/>
          <w:sz w:val="24"/>
          <w:szCs w:val="24"/>
        </w:rPr>
        <w:t>805,877,116.46</w:t>
      </w:r>
      <w:r w:rsidRPr="004A673D">
        <w:rPr>
          <w:rFonts w:ascii="Times New Roman" w:hAnsi="Times New Roman" w:hint="eastAsia"/>
          <w:sz w:val="24"/>
          <w:szCs w:val="24"/>
        </w:rPr>
        <w:t>元，将</w:t>
      </w:r>
      <w:r w:rsidR="008C30E0" w:rsidRPr="004A673D">
        <w:rPr>
          <w:rFonts w:ascii="Times New Roman" w:hAnsi="Times New Roman" w:hint="eastAsia"/>
          <w:sz w:val="24"/>
          <w:szCs w:val="24"/>
        </w:rPr>
        <w:t>在</w:t>
      </w:r>
      <w:r w:rsidRPr="004A673D">
        <w:rPr>
          <w:rFonts w:ascii="Times New Roman" w:hAnsi="Times New Roman" w:hint="eastAsia"/>
          <w:sz w:val="24"/>
          <w:szCs w:val="24"/>
        </w:rPr>
        <w:t>扣除银行汇划费后按基金份额持有人持有的基金份额比例进行分配；存出保证金为人民币</w:t>
      </w:r>
      <w:r w:rsidRPr="004A673D">
        <w:rPr>
          <w:rFonts w:ascii="Times New Roman" w:hAnsi="Times New Roman"/>
          <w:sz w:val="24"/>
          <w:szCs w:val="24"/>
        </w:rPr>
        <w:t>60,680.01</w:t>
      </w:r>
      <w:r w:rsidRPr="004A673D">
        <w:rPr>
          <w:rFonts w:ascii="Times New Roman" w:hAnsi="Times New Roman" w:hint="eastAsia"/>
          <w:sz w:val="24"/>
          <w:szCs w:val="24"/>
        </w:rPr>
        <w:t>元、应收活期银行存款利息人民币</w:t>
      </w:r>
      <w:r w:rsidRPr="004A673D">
        <w:rPr>
          <w:rFonts w:ascii="Times New Roman" w:hAnsi="Times New Roman"/>
          <w:sz w:val="24"/>
          <w:szCs w:val="24"/>
        </w:rPr>
        <w:t>280,947.85</w:t>
      </w:r>
      <w:r w:rsidRPr="004A673D">
        <w:rPr>
          <w:rFonts w:ascii="Times New Roman" w:hAnsi="Times New Roman" w:hint="eastAsia"/>
          <w:sz w:val="24"/>
          <w:szCs w:val="24"/>
        </w:rPr>
        <w:t>元、应收备付金利息人民币</w:t>
      </w:r>
      <w:r w:rsidRPr="004A673D">
        <w:rPr>
          <w:rFonts w:ascii="Times New Roman" w:hAnsi="Times New Roman"/>
          <w:sz w:val="24"/>
          <w:szCs w:val="24"/>
        </w:rPr>
        <w:t>23,236.05</w:t>
      </w:r>
      <w:r w:rsidRPr="004A673D">
        <w:rPr>
          <w:rFonts w:ascii="Times New Roman" w:hAnsi="Times New Roman" w:hint="eastAsia"/>
          <w:sz w:val="24"/>
          <w:szCs w:val="24"/>
        </w:rPr>
        <w:t>元、应收保证金利息人民币</w:t>
      </w:r>
      <w:r w:rsidRPr="004A673D">
        <w:rPr>
          <w:rFonts w:ascii="Times New Roman" w:hAnsi="Times New Roman"/>
          <w:sz w:val="24"/>
          <w:szCs w:val="24"/>
        </w:rPr>
        <w:t>183.12</w:t>
      </w:r>
      <w:r w:rsidRPr="004A673D">
        <w:rPr>
          <w:rFonts w:ascii="Times New Roman" w:hAnsi="Times New Roman" w:hint="eastAsia"/>
          <w:sz w:val="24"/>
          <w:szCs w:val="24"/>
        </w:rPr>
        <w:t>元，将</w:t>
      </w:r>
      <w:r w:rsidR="008C30E0" w:rsidRPr="004A673D">
        <w:rPr>
          <w:rFonts w:ascii="Times New Roman" w:hAnsi="Times New Roman" w:hint="eastAsia"/>
          <w:sz w:val="24"/>
          <w:szCs w:val="24"/>
        </w:rPr>
        <w:t>按照</w:t>
      </w:r>
      <w:r w:rsidRPr="004A673D">
        <w:rPr>
          <w:rFonts w:ascii="Times New Roman" w:hAnsi="Times New Roman" w:hint="eastAsia"/>
          <w:sz w:val="24"/>
          <w:szCs w:val="24"/>
        </w:rPr>
        <w:t>基金份额持有人</w:t>
      </w:r>
      <w:r w:rsidR="008C30E0" w:rsidRPr="004A673D">
        <w:rPr>
          <w:rFonts w:ascii="Times New Roman" w:hAnsi="Times New Roman" w:hint="eastAsia"/>
          <w:sz w:val="24"/>
          <w:szCs w:val="24"/>
        </w:rPr>
        <w:t>持有的基金份额比例进行二次</w:t>
      </w:r>
      <w:r w:rsidRPr="004A673D">
        <w:rPr>
          <w:rFonts w:ascii="Times New Roman" w:hAnsi="Times New Roman" w:hint="eastAsia"/>
          <w:sz w:val="24"/>
          <w:szCs w:val="24"/>
        </w:rPr>
        <w:t>分配；应付交易费用为人民币</w:t>
      </w:r>
      <w:r w:rsidRPr="004A673D">
        <w:rPr>
          <w:rFonts w:ascii="Times New Roman" w:hAnsi="Times New Roman"/>
          <w:sz w:val="24"/>
          <w:szCs w:val="24"/>
        </w:rPr>
        <w:t>2,884.27</w:t>
      </w:r>
      <w:r w:rsidRPr="004A673D">
        <w:rPr>
          <w:rFonts w:ascii="Times New Roman" w:hAnsi="Times New Roman" w:hint="eastAsia"/>
          <w:sz w:val="24"/>
          <w:szCs w:val="24"/>
        </w:rPr>
        <w:t>元，应付税费为</w:t>
      </w:r>
      <w:r w:rsidRPr="004A673D">
        <w:rPr>
          <w:rFonts w:ascii="Times New Roman" w:hAnsi="Times New Roman"/>
          <w:sz w:val="24"/>
          <w:szCs w:val="24"/>
        </w:rPr>
        <w:t>13,191.00</w:t>
      </w:r>
      <w:r w:rsidRPr="004A673D">
        <w:rPr>
          <w:rFonts w:ascii="Times New Roman" w:hAnsi="Times New Roman" w:hint="eastAsia"/>
          <w:sz w:val="24"/>
          <w:szCs w:val="24"/>
        </w:rPr>
        <w:t>元，其他负债为</w:t>
      </w:r>
      <w:r w:rsidRPr="004A673D">
        <w:rPr>
          <w:rFonts w:ascii="Times New Roman" w:hAnsi="Times New Roman"/>
          <w:sz w:val="24"/>
          <w:szCs w:val="24"/>
        </w:rPr>
        <w:t>3,130.24</w:t>
      </w:r>
      <w:r w:rsidRPr="004A673D">
        <w:rPr>
          <w:rFonts w:ascii="Times New Roman" w:hAnsi="Times New Roman" w:hint="eastAsia"/>
          <w:sz w:val="24"/>
          <w:szCs w:val="24"/>
        </w:rPr>
        <w:t>元，将于二次</w:t>
      </w:r>
      <w:r w:rsidR="00B57895" w:rsidRPr="004A673D">
        <w:rPr>
          <w:rFonts w:ascii="Times New Roman" w:hAnsi="Times New Roman" w:hint="eastAsia"/>
          <w:sz w:val="24"/>
          <w:szCs w:val="24"/>
        </w:rPr>
        <w:t>分配前</w:t>
      </w:r>
      <w:r w:rsidRPr="004A673D">
        <w:rPr>
          <w:rFonts w:ascii="Times New Roman" w:hAnsi="Times New Roman" w:hint="eastAsia"/>
          <w:sz w:val="24"/>
          <w:szCs w:val="24"/>
        </w:rPr>
        <w:t>进行支付。其中受限基金净资产金额人民币</w:t>
      </w:r>
      <w:r w:rsidRPr="004A673D">
        <w:rPr>
          <w:rFonts w:ascii="Times New Roman" w:hAnsi="Times New Roman"/>
          <w:sz w:val="24"/>
          <w:szCs w:val="24"/>
        </w:rPr>
        <w:t>14,080,220.00</w:t>
      </w:r>
      <w:r w:rsidRPr="004A673D">
        <w:rPr>
          <w:rFonts w:ascii="Times New Roman" w:hAnsi="Times New Roman" w:hint="eastAsia"/>
          <w:sz w:val="24"/>
          <w:szCs w:val="24"/>
        </w:rPr>
        <w:t>元，系其他资产人民币</w:t>
      </w:r>
      <w:r w:rsidRPr="004A673D">
        <w:rPr>
          <w:rFonts w:ascii="Times New Roman" w:hAnsi="Times New Roman"/>
          <w:sz w:val="24"/>
          <w:szCs w:val="24"/>
        </w:rPr>
        <w:t>14,080,220.00</w:t>
      </w:r>
      <w:r w:rsidRPr="004A673D">
        <w:rPr>
          <w:rFonts w:ascii="Times New Roman" w:hAnsi="Times New Roman" w:hint="eastAsia"/>
          <w:sz w:val="24"/>
          <w:szCs w:val="24"/>
        </w:rPr>
        <w:t>元（该金额为</w:t>
      </w:r>
      <w:r w:rsidR="003562DA" w:rsidRPr="004A673D">
        <w:rPr>
          <w:rFonts w:ascii="Times New Roman" w:hAnsi="Times New Roman" w:hint="eastAsia"/>
          <w:sz w:val="24"/>
          <w:szCs w:val="24"/>
        </w:rPr>
        <w:t>停牌债券</w:t>
      </w:r>
      <w:r w:rsidRPr="004A673D">
        <w:rPr>
          <w:rFonts w:ascii="Times New Roman" w:hAnsi="Times New Roman" w:hint="eastAsia"/>
          <w:sz w:val="24"/>
          <w:szCs w:val="24"/>
        </w:rPr>
        <w:t>于</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3</w:t>
      </w:r>
      <w:r w:rsidRPr="004A673D">
        <w:rPr>
          <w:rFonts w:ascii="Times New Roman" w:hAnsi="Times New Roman" w:hint="eastAsia"/>
          <w:sz w:val="24"/>
          <w:szCs w:val="24"/>
        </w:rPr>
        <w:t>日的估值金额），上述资产实际变现金额可能存在差异，将根据变现情况</w:t>
      </w:r>
      <w:r w:rsidR="00F749DD" w:rsidRPr="004A673D">
        <w:rPr>
          <w:rFonts w:ascii="Times New Roman" w:hAnsi="Times New Roman"/>
          <w:sz w:val="24"/>
          <w:szCs w:val="24"/>
        </w:rPr>
        <w:t>按照</w:t>
      </w:r>
      <w:r w:rsidRPr="004A673D">
        <w:rPr>
          <w:rFonts w:ascii="Times New Roman" w:hAnsi="Times New Roman" w:hint="eastAsia"/>
          <w:sz w:val="24"/>
          <w:szCs w:val="24"/>
        </w:rPr>
        <w:t>基金份额持有人持有的基金份额比例进行</w:t>
      </w:r>
      <w:r w:rsidR="00F749DD" w:rsidRPr="004A673D">
        <w:rPr>
          <w:rFonts w:ascii="Times New Roman" w:hAnsi="Times New Roman" w:hint="eastAsia"/>
          <w:sz w:val="24"/>
          <w:szCs w:val="24"/>
        </w:rPr>
        <w:t>二次</w:t>
      </w:r>
      <w:r w:rsidRPr="004A673D">
        <w:rPr>
          <w:rFonts w:ascii="Times New Roman" w:hAnsi="Times New Roman" w:hint="eastAsia"/>
          <w:sz w:val="24"/>
          <w:szCs w:val="24"/>
        </w:rPr>
        <w:t>分配。</w:t>
      </w:r>
    </w:p>
    <w:p w:rsidR="00E67240" w:rsidRPr="004A673D" w:rsidRDefault="00E67240" w:rsidP="00434CBE">
      <w:pPr>
        <w:overflowPunct w:val="0"/>
        <w:autoSpaceDE w:val="0"/>
        <w:autoSpaceDN w:val="0"/>
        <w:snapToGrid w:val="0"/>
        <w:spacing w:line="360" w:lineRule="auto"/>
        <w:ind w:firstLineChars="200" w:firstLine="480"/>
        <w:jc w:val="left"/>
        <w:rPr>
          <w:rFonts w:ascii="Times New Roman" w:hAnsi="Times New Roman"/>
          <w:sz w:val="24"/>
          <w:szCs w:val="24"/>
        </w:rPr>
      </w:pPr>
    </w:p>
    <w:p w:rsidR="00E67240" w:rsidRPr="004A673D" w:rsidRDefault="00E67240" w:rsidP="00434CBE">
      <w:pPr>
        <w:overflowPunct w:val="0"/>
        <w:autoSpaceDE w:val="0"/>
        <w:autoSpaceDN w:val="0"/>
        <w:snapToGrid w:val="0"/>
        <w:spacing w:line="360" w:lineRule="auto"/>
        <w:ind w:firstLineChars="200" w:firstLine="480"/>
        <w:jc w:val="left"/>
        <w:rPr>
          <w:rFonts w:ascii="Times New Roman" w:hAnsi="Times New Roman"/>
          <w:sz w:val="24"/>
          <w:szCs w:val="24"/>
        </w:rPr>
      </w:pPr>
      <w:bookmarkStart w:id="2" w:name="_Hlk46234001"/>
      <w:r w:rsidRPr="004A673D">
        <w:rPr>
          <w:rFonts w:ascii="Times New Roman" w:hAnsi="Times New Roman" w:hint="eastAsia"/>
          <w:sz w:val="24"/>
          <w:szCs w:val="24"/>
        </w:rPr>
        <w:t>自本次清算期结束日次日</w:t>
      </w:r>
      <w:r w:rsidRPr="004A673D">
        <w:rPr>
          <w:rFonts w:ascii="Times New Roman" w:hAnsi="Times New Roman"/>
          <w:sz w:val="24"/>
          <w:szCs w:val="24"/>
        </w:rPr>
        <w:t>2020</w:t>
      </w:r>
      <w:r w:rsidRPr="004A673D">
        <w:rPr>
          <w:rFonts w:ascii="Times New Roman" w:hAnsi="Times New Roman" w:hint="eastAsia"/>
          <w:sz w:val="24"/>
          <w:szCs w:val="24"/>
        </w:rPr>
        <w:t>年</w:t>
      </w:r>
      <w:r w:rsidRPr="004A673D">
        <w:rPr>
          <w:rFonts w:ascii="Times New Roman" w:hAnsi="Times New Roman"/>
          <w:sz w:val="24"/>
          <w:szCs w:val="24"/>
        </w:rPr>
        <w:t>12</w:t>
      </w:r>
      <w:r w:rsidRPr="004A673D">
        <w:rPr>
          <w:rFonts w:ascii="Times New Roman" w:hAnsi="Times New Roman" w:hint="eastAsia"/>
          <w:sz w:val="24"/>
          <w:szCs w:val="24"/>
        </w:rPr>
        <w:t>月</w:t>
      </w:r>
      <w:r w:rsidRPr="004A673D">
        <w:rPr>
          <w:rFonts w:ascii="Times New Roman" w:hAnsi="Times New Roman"/>
          <w:sz w:val="24"/>
          <w:szCs w:val="24"/>
        </w:rPr>
        <w:t>4</w:t>
      </w:r>
      <w:r w:rsidRPr="004A673D">
        <w:rPr>
          <w:rFonts w:ascii="Times New Roman" w:hAnsi="Times New Roman" w:hint="eastAsia"/>
          <w:sz w:val="24"/>
          <w:szCs w:val="24"/>
        </w:rPr>
        <w:t>日至二次</w:t>
      </w:r>
      <w:r w:rsidR="007255B2" w:rsidRPr="004A673D">
        <w:rPr>
          <w:rFonts w:ascii="Times New Roman" w:hAnsi="Times New Roman" w:hint="eastAsia"/>
          <w:sz w:val="24"/>
          <w:szCs w:val="24"/>
        </w:rPr>
        <w:t>分配</w:t>
      </w:r>
      <w:r w:rsidRPr="004A673D">
        <w:rPr>
          <w:rFonts w:ascii="Times New Roman" w:hAnsi="Times New Roman" w:hint="eastAsia"/>
          <w:sz w:val="24"/>
          <w:szCs w:val="24"/>
        </w:rPr>
        <w:t>清算款划出前一日的银行存款、结算备付金产生的利息亦归基金份额持有人所有，后续产生的各类划付手续费由投资者承担。</w:t>
      </w:r>
      <w:bookmarkEnd w:id="2"/>
    </w:p>
    <w:p w:rsidR="00E67240" w:rsidRPr="004A673D" w:rsidRDefault="00E67240" w:rsidP="00E67240">
      <w:pPr>
        <w:overflowPunct w:val="0"/>
        <w:autoSpaceDE w:val="0"/>
        <w:autoSpaceDN w:val="0"/>
        <w:snapToGrid w:val="0"/>
        <w:ind w:leftChars="273" w:left="573"/>
        <w:rPr>
          <w:rFonts w:ascii="黑体" w:eastAsia="黑体" w:hAnsi="黑体" w:cs="Arial"/>
          <w:sz w:val="22"/>
        </w:rPr>
      </w:pPr>
    </w:p>
    <w:p w:rsidR="009E7B78" w:rsidRPr="004A673D" w:rsidRDefault="009E7B78" w:rsidP="002443EE">
      <w:pPr>
        <w:overflowPunct w:val="0"/>
        <w:autoSpaceDE w:val="0"/>
        <w:autoSpaceDN w:val="0"/>
        <w:snapToGrid w:val="0"/>
        <w:spacing w:line="360" w:lineRule="auto"/>
        <w:ind w:firstLineChars="200" w:firstLine="480"/>
        <w:jc w:val="left"/>
        <w:rPr>
          <w:rFonts w:ascii="Times New Roman" w:hAnsi="Times New Roman"/>
          <w:sz w:val="24"/>
          <w:szCs w:val="24"/>
        </w:rPr>
      </w:pPr>
    </w:p>
    <w:p w:rsidR="009E7B78" w:rsidRPr="004A673D" w:rsidRDefault="009E7B78" w:rsidP="009E7B78">
      <w:pPr>
        <w:overflowPunct w:val="0"/>
        <w:autoSpaceDE w:val="0"/>
        <w:autoSpaceDN w:val="0"/>
        <w:snapToGrid w:val="0"/>
        <w:ind w:leftChars="273" w:left="573"/>
        <w:rPr>
          <w:rFonts w:ascii="黑体" w:eastAsia="黑体" w:hAnsi="黑体" w:cs="Arial"/>
          <w:sz w:val="22"/>
        </w:rPr>
      </w:pPr>
    </w:p>
    <w:p w:rsidR="009059F9" w:rsidRPr="004A673D" w:rsidRDefault="003C14D1" w:rsidP="009876AD">
      <w:pPr>
        <w:spacing w:line="360" w:lineRule="auto"/>
        <w:contextualSpacing/>
        <w:jc w:val="center"/>
        <w:rPr>
          <w:rFonts w:ascii="Times New Roman" w:hAnsi="Times New Roman"/>
          <w:b/>
          <w:sz w:val="24"/>
          <w:szCs w:val="24"/>
        </w:rPr>
      </w:pPr>
      <w:r w:rsidRPr="004A673D">
        <w:rPr>
          <w:rFonts w:ascii="Times New Roman" w:hAnsi="Times New Roman" w:hint="eastAsia"/>
          <w:b/>
          <w:sz w:val="24"/>
          <w:szCs w:val="24"/>
        </w:rPr>
        <w:t>七</w:t>
      </w:r>
      <w:r w:rsidR="009059F9" w:rsidRPr="004A673D">
        <w:rPr>
          <w:rFonts w:ascii="Times New Roman" w:hAnsi="Times New Roman"/>
          <w:b/>
          <w:sz w:val="24"/>
          <w:szCs w:val="24"/>
        </w:rPr>
        <w:t>、备查文件</w:t>
      </w:r>
    </w:p>
    <w:p w:rsidR="009059F9" w:rsidRPr="004A673D"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1</w:t>
      </w:r>
      <w:r w:rsidRPr="004A673D">
        <w:rPr>
          <w:rFonts w:ascii="Times New Roman" w:hAnsi="Times New Roman"/>
          <w:sz w:val="24"/>
          <w:szCs w:val="24"/>
        </w:rPr>
        <w:t>、备查文件目录</w:t>
      </w:r>
    </w:p>
    <w:p w:rsidR="009059F9" w:rsidRPr="004A673D" w:rsidRDefault="009B1385"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w:t>
      </w:r>
      <w:r w:rsidRPr="004A673D">
        <w:rPr>
          <w:rFonts w:ascii="Times New Roman" w:hAnsi="Times New Roman"/>
          <w:sz w:val="24"/>
          <w:szCs w:val="24"/>
        </w:rPr>
        <w:t>1</w:t>
      </w:r>
      <w:r w:rsidRPr="004A673D">
        <w:rPr>
          <w:rFonts w:ascii="Times New Roman" w:hAnsi="Times New Roman"/>
          <w:sz w:val="24"/>
          <w:szCs w:val="24"/>
        </w:rPr>
        <w:t>）《</w:t>
      </w:r>
      <w:r w:rsidR="0046093D" w:rsidRPr="004A673D">
        <w:rPr>
          <w:rFonts w:ascii="Times New Roman" w:hAnsi="Times New Roman"/>
          <w:sz w:val="24"/>
          <w:szCs w:val="24"/>
        </w:rPr>
        <w:t>中银盛利纯债一年定期开放债券型证券投资基金（</w:t>
      </w:r>
      <w:r w:rsidR="0046093D" w:rsidRPr="004A673D">
        <w:rPr>
          <w:rFonts w:ascii="Times New Roman" w:hAnsi="Times New Roman"/>
          <w:sz w:val="24"/>
          <w:szCs w:val="24"/>
        </w:rPr>
        <w:t>LOF</w:t>
      </w:r>
      <w:r w:rsidR="0046093D" w:rsidRPr="004A673D">
        <w:rPr>
          <w:rFonts w:ascii="Times New Roman" w:hAnsi="Times New Roman"/>
          <w:sz w:val="24"/>
          <w:szCs w:val="24"/>
        </w:rPr>
        <w:t>）</w:t>
      </w:r>
      <w:r w:rsidRPr="004A673D">
        <w:rPr>
          <w:rFonts w:ascii="Times New Roman" w:hAnsi="Times New Roman"/>
          <w:sz w:val="24"/>
          <w:szCs w:val="24"/>
        </w:rPr>
        <w:t>清算审计报告》</w:t>
      </w:r>
    </w:p>
    <w:p w:rsidR="009059F9" w:rsidRPr="004A673D"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w:t>
      </w:r>
      <w:r w:rsidRPr="004A673D">
        <w:rPr>
          <w:rFonts w:ascii="Times New Roman" w:hAnsi="Times New Roman"/>
          <w:sz w:val="24"/>
          <w:szCs w:val="24"/>
        </w:rPr>
        <w:t>2</w:t>
      </w:r>
      <w:r w:rsidRPr="004A673D">
        <w:rPr>
          <w:rFonts w:ascii="Times New Roman" w:hAnsi="Times New Roman"/>
          <w:sz w:val="24"/>
          <w:szCs w:val="24"/>
        </w:rPr>
        <w:t>）</w:t>
      </w:r>
      <w:r w:rsidR="00F24FF7" w:rsidRPr="004A673D">
        <w:rPr>
          <w:rFonts w:ascii="Times New Roman" w:hAnsi="Times New Roman"/>
          <w:sz w:val="24"/>
          <w:szCs w:val="24"/>
        </w:rPr>
        <w:t>关于</w:t>
      </w:r>
      <w:r w:rsidRPr="004A673D">
        <w:rPr>
          <w:rFonts w:ascii="Times New Roman" w:hAnsi="Times New Roman"/>
          <w:sz w:val="24"/>
          <w:szCs w:val="24"/>
        </w:rPr>
        <w:t>《</w:t>
      </w:r>
      <w:r w:rsidR="0046093D" w:rsidRPr="004A673D">
        <w:rPr>
          <w:rFonts w:ascii="Times New Roman" w:hAnsi="Times New Roman"/>
          <w:sz w:val="24"/>
          <w:szCs w:val="24"/>
        </w:rPr>
        <w:t>中银盛利纯债一年定期开放债券型证券投资基金（</w:t>
      </w:r>
      <w:r w:rsidR="0046093D" w:rsidRPr="004A673D">
        <w:rPr>
          <w:rFonts w:ascii="Times New Roman" w:hAnsi="Times New Roman"/>
          <w:sz w:val="24"/>
          <w:szCs w:val="24"/>
        </w:rPr>
        <w:t>LOF</w:t>
      </w:r>
      <w:r w:rsidR="0046093D" w:rsidRPr="004A673D">
        <w:rPr>
          <w:rFonts w:ascii="Times New Roman" w:hAnsi="Times New Roman"/>
          <w:sz w:val="24"/>
          <w:szCs w:val="24"/>
        </w:rPr>
        <w:t>）</w:t>
      </w:r>
      <w:r w:rsidRPr="004A673D">
        <w:rPr>
          <w:rFonts w:ascii="Times New Roman" w:hAnsi="Times New Roman"/>
          <w:sz w:val="24"/>
          <w:szCs w:val="24"/>
        </w:rPr>
        <w:t>清算报告》的法律意见</w:t>
      </w:r>
    </w:p>
    <w:p w:rsidR="009059F9" w:rsidRPr="004A673D"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2</w:t>
      </w:r>
      <w:r w:rsidRPr="004A673D">
        <w:rPr>
          <w:rFonts w:ascii="Times New Roman" w:hAnsi="Times New Roman"/>
          <w:sz w:val="24"/>
          <w:szCs w:val="24"/>
        </w:rPr>
        <w:t>、存放地点</w:t>
      </w:r>
    </w:p>
    <w:p w:rsidR="009059F9" w:rsidRPr="004A673D"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基金管理人的办公场所。</w:t>
      </w:r>
    </w:p>
    <w:p w:rsidR="009059F9" w:rsidRPr="004A673D"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3</w:t>
      </w:r>
      <w:r w:rsidRPr="004A673D">
        <w:rPr>
          <w:rFonts w:ascii="Times New Roman" w:hAnsi="Times New Roman"/>
          <w:sz w:val="24"/>
          <w:szCs w:val="24"/>
        </w:rPr>
        <w:t>、查阅方式</w:t>
      </w:r>
    </w:p>
    <w:p w:rsidR="009059F9" w:rsidRPr="004A673D" w:rsidRDefault="009059F9" w:rsidP="00D759A3">
      <w:pPr>
        <w:overflowPunct w:val="0"/>
        <w:autoSpaceDE w:val="0"/>
        <w:autoSpaceDN w:val="0"/>
        <w:snapToGrid w:val="0"/>
        <w:spacing w:line="360" w:lineRule="auto"/>
        <w:ind w:firstLineChars="200" w:firstLine="480"/>
        <w:jc w:val="left"/>
        <w:rPr>
          <w:rFonts w:ascii="Times New Roman" w:hAnsi="Times New Roman"/>
          <w:sz w:val="24"/>
          <w:szCs w:val="24"/>
        </w:rPr>
      </w:pPr>
      <w:r w:rsidRPr="004A673D">
        <w:rPr>
          <w:rFonts w:ascii="Times New Roman" w:hAnsi="Times New Roman"/>
          <w:sz w:val="24"/>
          <w:szCs w:val="24"/>
        </w:rPr>
        <w:t>投资者可在营业时间内至基金管理人的办公场所免费查阅。</w:t>
      </w:r>
    </w:p>
    <w:p w:rsidR="00ED6A1F" w:rsidRPr="004A673D" w:rsidRDefault="00ED6A1F" w:rsidP="009876AD">
      <w:pPr>
        <w:spacing w:line="360" w:lineRule="auto"/>
        <w:ind w:firstLineChars="200" w:firstLine="480"/>
        <w:contextualSpacing/>
        <w:rPr>
          <w:rFonts w:ascii="Times New Roman" w:hAnsi="Times New Roman"/>
          <w:sz w:val="24"/>
          <w:szCs w:val="24"/>
        </w:rPr>
      </w:pPr>
    </w:p>
    <w:p w:rsidR="005A6DA7" w:rsidRPr="004A673D" w:rsidRDefault="005A6DA7" w:rsidP="009876AD">
      <w:pPr>
        <w:spacing w:line="360" w:lineRule="auto"/>
        <w:ind w:firstLineChars="200" w:firstLine="480"/>
        <w:contextualSpacing/>
        <w:rPr>
          <w:rFonts w:ascii="Times New Roman" w:hAnsi="Times New Roman"/>
          <w:sz w:val="24"/>
          <w:szCs w:val="24"/>
        </w:rPr>
      </w:pPr>
    </w:p>
    <w:p w:rsidR="009059F9" w:rsidRPr="004A673D" w:rsidRDefault="0046093D" w:rsidP="001E1857">
      <w:pPr>
        <w:spacing w:line="360" w:lineRule="auto"/>
        <w:ind w:firstLineChars="200" w:firstLine="480"/>
        <w:contextualSpacing/>
        <w:jc w:val="right"/>
        <w:rPr>
          <w:rFonts w:ascii="Times New Roman" w:hAnsi="Times New Roman"/>
          <w:sz w:val="24"/>
          <w:szCs w:val="24"/>
        </w:rPr>
      </w:pPr>
      <w:r w:rsidRPr="004A673D">
        <w:rPr>
          <w:rFonts w:ascii="Times New Roman" w:hAnsi="Times New Roman"/>
          <w:sz w:val="24"/>
          <w:szCs w:val="24"/>
        </w:rPr>
        <w:t>中银盛利纯债一年定期开放债券型证券投资基金（</w:t>
      </w:r>
      <w:r w:rsidRPr="004A673D">
        <w:rPr>
          <w:rFonts w:ascii="Times New Roman" w:hAnsi="Times New Roman"/>
          <w:sz w:val="24"/>
          <w:szCs w:val="24"/>
        </w:rPr>
        <w:t>LOF</w:t>
      </w:r>
      <w:r w:rsidRPr="004A673D">
        <w:rPr>
          <w:rFonts w:ascii="Times New Roman" w:hAnsi="Times New Roman"/>
          <w:sz w:val="24"/>
          <w:szCs w:val="24"/>
        </w:rPr>
        <w:t>）</w:t>
      </w:r>
      <w:r w:rsidR="009059F9" w:rsidRPr="004A673D">
        <w:rPr>
          <w:rFonts w:ascii="Times New Roman" w:hAnsi="Times New Roman"/>
          <w:sz w:val="24"/>
          <w:szCs w:val="24"/>
        </w:rPr>
        <w:t>基金财产清算小组</w:t>
      </w:r>
    </w:p>
    <w:p w:rsidR="009059F9" w:rsidRPr="00BF3856" w:rsidRDefault="00AE6FE2" w:rsidP="001E1857">
      <w:pPr>
        <w:spacing w:line="360" w:lineRule="auto"/>
        <w:ind w:firstLineChars="200" w:firstLine="480"/>
        <w:contextualSpacing/>
        <w:jc w:val="right"/>
        <w:rPr>
          <w:rFonts w:ascii="Times New Roman" w:hAnsi="Times New Roman"/>
          <w:sz w:val="24"/>
          <w:szCs w:val="24"/>
        </w:rPr>
      </w:pPr>
      <w:r w:rsidRPr="004A673D">
        <w:rPr>
          <w:rFonts w:ascii="Times New Roman" w:hAnsi="Times New Roman" w:hint="eastAsia"/>
          <w:sz w:val="24"/>
          <w:szCs w:val="24"/>
        </w:rPr>
        <w:t>2020</w:t>
      </w:r>
      <w:r w:rsidR="00AE1292" w:rsidRPr="004A673D">
        <w:rPr>
          <w:rFonts w:ascii="Times New Roman" w:hAnsi="Times New Roman"/>
          <w:sz w:val="24"/>
          <w:szCs w:val="24"/>
        </w:rPr>
        <w:t>年</w:t>
      </w:r>
      <w:r w:rsidR="00706FAF" w:rsidRPr="004A673D">
        <w:rPr>
          <w:rFonts w:ascii="Times New Roman" w:hAnsi="Times New Roman"/>
          <w:sz w:val="24"/>
          <w:szCs w:val="24"/>
        </w:rPr>
        <w:t>12</w:t>
      </w:r>
      <w:r w:rsidR="004B0B75" w:rsidRPr="004A673D">
        <w:rPr>
          <w:rFonts w:ascii="Times New Roman" w:hAnsi="Times New Roman"/>
          <w:sz w:val="24"/>
          <w:szCs w:val="24"/>
        </w:rPr>
        <w:t>月</w:t>
      </w:r>
      <w:r w:rsidR="004A673D" w:rsidRPr="004A673D">
        <w:rPr>
          <w:rFonts w:ascii="Times New Roman" w:hAnsi="Times New Roman" w:hint="eastAsia"/>
          <w:sz w:val="24"/>
          <w:szCs w:val="24"/>
        </w:rPr>
        <w:t>17</w:t>
      </w:r>
      <w:r w:rsidR="009059F9" w:rsidRPr="004A673D">
        <w:rPr>
          <w:rFonts w:ascii="Times New Roman" w:hAnsi="Times New Roman"/>
          <w:sz w:val="24"/>
          <w:szCs w:val="24"/>
        </w:rPr>
        <w:t>日</w:t>
      </w:r>
      <w:bookmarkStart w:id="3" w:name="_GoBack"/>
      <w:bookmarkEnd w:id="3"/>
    </w:p>
    <w:p w:rsidR="009D2462" w:rsidRPr="001E1857" w:rsidRDefault="009D2462" w:rsidP="00E04678">
      <w:pPr>
        <w:spacing w:line="360" w:lineRule="auto"/>
        <w:ind w:firstLineChars="177" w:firstLine="425"/>
        <w:contextualSpacing/>
        <w:jc w:val="right"/>
        <w:rPr>
          <w:rFonts w:ascii="Times New Roman" w:hAnsi="Times New Roman"/>
          <w:sz w:val="24"/>
          <w:szCs w:val="24"/>
        </w:rPr>
      </w:pPr>
    </w:p>
    <w:sectPr w:rsidR="009D2462" w:rsidRPr="001E1857" w:rsidSect="009D2462">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4E7618" w15:done="0"/>
  <w15:commentEx w15:paraId="7EDE56DE" w15:done="0"/>
  <w15:commentEx w15:paraId="02FFD3AC" w15:done="0"/>
  <w15:commentEx w15:paraId="2D436362" w15:done="0"/>
  <w15:commentEx w15:paraId="55C0487D" w15:done="0"/>
  <w15:commentEx w15:paraId="0972F711" w15:paraIdParent="55C0487D" w15:done="0"/>
  <w15:commentEx w15:paraId="57CF0A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79" w:rsidRDefault="00022479" w:rsidP="002B4B0B">
      <w:r>
        <w:separator/>
      </w:r>
    </w:p>
  </w:endnote>
  <w:endnote w:type="continuationSeparator" w:id="0">
    <w:p w:rsidR="00022479" w:rsidRDefault="00022479" w:rsidP="002B4B0B">
      <w:r>
        <w:continuationSeparator/>
      </w:r>
    </w:p>
  </w:endnote>
  <w:endnote w:type="continuationNotice" w:id="1">
    <w:p w:rsidR="00022479" w:rsidRDefault="000224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E2" w:rsidRDefault="00F50100" w:rsidP="003F0531">
    <w:pPr>
      <w:pStyle w:val="a4"/>
      <w:jc w:val="center"/>
    </w:pPr>
    <w:r>
      <w:fldChar w:fldCharType="begin"/>
    </w:r>
    <w:r w:rsidR="00AE6FE2">
      <w:instrText>PAGE   \* MERGEFORMAT</w:instrText>
    </w:r>
    <w:r>
      <w:fldChar w:fldCharType="separate"/>
    </w:r>
    <w:r w:rsidR="00A75C8F" w:rsidRPr="00A75C8F">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79" w:rsidRDefault="00022479" w:rsidP="002B4B0B">
      <w:r>
        <w:separator/>
      </w:r>
    </w:p>
  </w:footnote>
  <w:footnote w:type="continuationSeparator" w:id="0">
    <w:p w:rsidR="00022479" w:rsidRDefault="00022479" w:rsidP="002B4B0B">
      <w:r>
        <w:continuationSeparator/>
      </w:r>
    </w:p>
  </w:footnote>
  <w:footnote w:type="continuationNotice" w:id="1">
    <w:p w:rsidR="00022479" w:rsidRDefault="000224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34BC"/>
    <w:multiLevelType w:val="hybridMultilevel"/>
    <w:tmpl w:val="4C0E2D56"/>
    <w:lvl w:ilvl="0" w:tplc="B19C2BA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C4881"/>
    <w:multiLevelType w:val="hybridMultilevel"/>
    <w:tmpl w:val="2618AC7E"/>
    <w:lvl w:ilvl="0" w:tplc="4DB0ED16">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2E2E4BF6"/>
    <w:multiLevelType w:val="hybridMultilevel"/>
    <w:tmpl w:val="2B467218"/>
    <w:lvl w:ilvl="0" w:tplc="D50CDCB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50488A"/>
    <w:multiLevelType w:val="hybridMultilevel"/>
    <w:tmpl w:val="09E85C42"/>
    <w:lvl w:ilvl="0" w:tplc="9C5E3CA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4D74FC2"/>
    <w:multiLevelType w:val="hybridMultilevel"/>
    <w:tmpl w:val="378C65C8"/>
    <w:lvl w:ilvl="0" w:tplc="FEBE7A26">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FDA5B95"/>
    <w:multiLevelType w:val="hybridMultilevel"/>
    <w:tmpl w:val="929852BE"/>
    <w:lvl w:ilvl="0" w:tplc="D2083A50">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FA81C55"/>
    <w:multiLevelType w:val="hybridMultilevel"/>
    <w:tmpl w:val="4E626E80"/>
    <w:lvl w:ilvl="0" w:tplc="B6B491A0">
      <w:start w:val="1"/>
      <w:numFmt w:val="decimal"/>
      <w:lvlText w:val="%1、"/>
      <w:lvlJc w:val="left"/>
      <w:pPr>
        <w:ind w:left="819" w:hanging="360"/>
      </w:pPr>
    </w:lvl>
    <w:lvl w:ilvl="1" w:tplc="04090019">
      <w:start w:val="1"/>
      <w:numFmt w:val="lowerLetter"/>
      <w:lvlText w:val="%2)"/>
      <w:lvlJc w:val="left"/>
      <w:pPr>
        <w:ind w:left="1299" w:hanging="420"/>
      </w:pPr>
    </w:lvl>
    <w:lvl w:ilvl="2" w:tplc="0409001B">
      <w:start w:val="1"/>
      <w:numFmt w:val="lowerRoman"/>
      <w:lvlText w:val="%3."/>
      <w:lvlJc w:val="right"/>
      <w:pPr>
        <w:ind w:left="1719" w:hanging="420"/>
      </w:pPr>
    </w:lvl>
    <w:lvl w:ilvl="3" w:tplc="0409000F">
      <w:start w:val="1"/>
      <w:numFmt w:val="decimal"/>
      <w:lvlText w:val="%4."/>
      <w:lvlJc w:val="left"/>
      <w:pPr>
        <w:ind w:left="2139" w:hanging="420"/>
      </w:pPr>
    </w:lvl>
    <w:lvl w:ilvl="4" w:tplc="04090019">
      <w:start w:val="1"/>
      <w:numFmt w:val="lowerLetter"/>
      <w:lvlText w:val="%5)"/>
      <w:lvlJc w:val="left"/>
      <w:pPr>
        <w:ind w:left="2559" w:hanging="420"/>
      </w:pPr>
    </w:lvl>
    <w:lvl w:ilvl="5" w:tplc="0409001B">
      <w:start w:val="1"/>
      <w:numFmt w:val="lowerRoman"/>
      <w:lvlText w:val="%6."/>
      <w:lvlJc w:val="right"/>
      <w:pPr>
        <w:ind w:left="2979" w:hanging="420"/>
      </w:pPr>
    </w:lvl>
    <w:lvl w:ilvl="6" w:tplc="0409000F">
      <w:start w:val="1"/>
      <w:numFmt w:val="decimal"/>
      <w:lvlText w:val="%7."/>
      <w:lvlJc w:val="left"/>
      <w:pPr>
        <w:ind w:left="3399" w:hanging="420"/>
      </w:pPr>
    </w:lvl>
    <w:lvl w:ilvl="7" w:tplc="04090019">
      <w:start w:val="1"/>
      <w:numFmt w:val="lowerLetter"/>
      <w:lvlText w:val="%8)"/>
      <w:lvlJc w:val="left"/>
      <w:pPr>
        <w:ind w:left="3819" w:hanging="420"/>
      </w:pPr>
    </w:lvl>
    <w:lvl w:ilvl="8" w:tplc="0409001B">
      <w:start w:val="1"/>
      <w:numFmt w:val="lowerRoman"/>
      <w:lvlText w:val="%9."/>
      <w:lvlJc w:val="right"/>
      <w:pPr>
        <w:ind w:left="4239" w:hanging="420"/>
      </w:pPr>
    </w:lvl>
  </w:abstractNum>
  <w:abstractNum w:abstractNumId="7">
    <w:nsid w:val="66BD30A5"/>
    <w:multiLevelType w:val="hybridMultilevel"/>
    <w:tmpl w:val="894EDBFA"/>
    <w:lvl w:ilvl="0" w:tplc="1646B906">
      <w:start w:val="1"/>
      <w:numFmt w:val="decimal"/>
      <w:lvlText w:val="(%1)"/>
      <w:lvlJc w:val="left"/>
      <w:pPr>
        <w:ind w:left="1069" w:hanging="360"/>
      </w:pPr>
      <w:rPr>
        <w:rFonts w:ascii="Arial" w:hint="default"/>
      </w:rPr>
    </w:lvl>
    <w:lvl w:ilvl="1" w:tplc="93A47D46">
      <w:start w:val="1"/>
      <w:numFmt w:val="lowerLetter"/>
      <w:lvlText w:val="%2."/>
      <w:lvlJc w:val="left"/>
      <w:pPr>
        <w:ind w:left="1789" w:hanging="360"/>
      </w:pPr>
      <w:rPr>
        <w:rFonts w:hint="eastAsia"/>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4262CE6"/>
    <w:multiLevelType w:val="hybridMultilevel"/>
    <w:tmpl w:val="14988C3C"/>
    <w:lvl w:ilvl="0" w:tplc="1646B906">
      <w:start w:val="1"/>
      <w:numFmt w:val="decimal"/>
      <w:lvlText w:val="(%1)"/>
      <w:lvlJc w:val="left"/>
      <w:pPr>
        <w:ind w:left="1069" w:hanging="360"/>
      </w:pPr>
      <w:rPr>
        <w:rFonts w:ascii="Arial" w:hAnsi="Times New Roman" w:cs="Times New Roman"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nsid w:val="75FD4498"/>
    <w:multiLevelType w:val="hybridMultilevel"/>
    <w:tmpl w:val="B8262676"/>
    <w:lvl w:ilvl="0" w:tplc="ADB2029E">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6"/>
  </w:num>
  <w:num w:numId="10">
    <w:abstractNumId w:val="5"/>
  </w:num>
  <w:num w:numId="11">
    <w:abstractNumId w:val="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rson w15:author="张艳蓉_BOCIM">
    <w15:presenceInfo w15:providerId="None" w15:userId="张艳蓉_BOCIM"/>
  </w15:person>
  <w15:person w15:author="申忠波">
    <w15:presenceInfo w15:providerId="AD" w15:userId="S-1-5-21-2438351479-4167062362-180561726-4622"/>
  </w15:person>
  <w15:person w15:author="Chris HY Wang">
    <w15:presenceInfo w15:providerId="AD" w15:userId="S::Chris.HY.Wang@cn.ey.com::6476bb65-d3e6-475c-8cd1-5a4f50a7a2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4B0B"/>
    <w:rsid w:val="000014EA"/>
    <w:rsid w:val="00004B34"/>
    <w:rsid w:val="00007798"/>
    <w:rsid w:val="0001071D"/>
    <w:rsid w:val="00011FEA"/>
    <w:rsid w:val="0001576E"/>
    <w:rsid w:val="00022479"/>
    <w:rsid w:val="00022FD4"/>
    <w:rsid w:val="00023C40"/>
    <w:rsid w:val="000341E9"/>
    <w:rsid w:val="00037579"/>
    <w:rsid w:val="00037844"/>
    <w:rsid w:val="00040152"/>
    <w:rsid w:val="00042C17"/>
    <w:rsid w:val="000438DB"/>
    <w:rsid w:val="000469E0"/>
    <w:rsid w:val="00054041"/>
    <w:rsid w:val="00054782"/>
    <w:rsid w:val="000568C4"/>
    <w:rsid w:val="0006138B"/>
    <w:rsid w:val="000622D4"/>
    <w:rsid w:val="000677F5"/>
    <w:rsid w:val="000769EA"/>
    <w:rsid w:val="00084375"/>
    <w:rsid w:val="00085655"/>
    <w:rsid w:val="00087A1E"/>
    <w:rsid w:val="00093499"/>
    <w:rsid w:val="000960FF"/>
    <w:rsid w:val="00097438"/>
    <w:rsid w:val="000976A4"/>
    <w:rsid w:val="000A36E3"/>
    <w:rsid w:val="000A506D"/>
    <w:rsid w:val="000B28BC"/>
    <w:rsid w:val="000B34DB"/>
    <w:rsid w:val="000C07E2"/>
    <w:rsid w:val="000C1DA7"/>
    <w:rsid w:val="000D16E9"/>
    <w:rsid w:val="000D2F31"/>
    <w:rsid w:val="000D4D44"/>
    <w:rsid w:val="000E1BF7"/>
    <w:rsid w:val="000E39CE"/>
    <w:rsid w:val="000E5EDE"/>
    <w:rsid w:val="000E7C2A"/>
    <w:rsid w:val="000E7FD4"/>
    <w:rsid w:val="000F05C2"/>
    <w:rsid w:val="000F7493"/>
    <w:rsid w:val="00101DA3"/>
    <w:rsid w:val="00104870"/>
    <w:rsid w:val="00106DCB"/>
    <w:rsid w:val="00110975"/>
    <w:rsid w:val="00113607"/>
    <w:rsid w:val="00115441"/>
    <w:rsid w:val="0011591D"/>
    <w:rsid w:val="0012728F"/>
    <w:rsid w:val="00127BCA"/>
    <w:rsid w:val="00141A3D"/>
    <w:rsid w:val="00141B30"/>
    <w:rsid w:val="00150E31"/>
    <w:rsid w:val="00151532"/>
    <w:rsid w:val="00154017"/>
    <w:rsid w:val="00155995"/>
    <w:rsid w:val="00156920"/>
    <w:rsid w:val="001571E1"/>
    <w:rsid w:val="00160124"/>
    <w:rsid w:val="00160FE3"/>
    <w:rsid w:val="00163774"/>
    <w:rsid w:val="00163ADD"/>
    <w:rsid w:val="00170087"/>
    <w:rsid w:val="001741BC"/>
    <w:rsid w:val="00180C25"/>
    <w:rsid w:val="00184378"/>
    <w:rsid w:val="0018693E"/>
    <w:rsid w:val="00192AE4"/>
    <w:rsid w:val="00194DE5"/>
    <w:rsid w:val="001B5954"/>
    <w:rsid w:val="001D0025"/>
    <w:rsid w:val="001D4CBA"/>
    <w:rsid w:val="001D4D7D"/>
    <w:rsid w:val="001E1857"/>
    <w:rsid w:val="001E4DDF"/>
    <w:rsid w:val="001E555A"/>
    <w:rsid w:val="001F131C"/>
    <w:rsid w:val="001F1828"/>
    <w:rsid w:val="001F2A73"/>
    <w:rsid w:val="001F43AB"/>
    <w:rsid w:val="001F6EBC"/>
    <w:rsid w:val="00203979"/>
    <w:rsid w:val="00203E56"/>
    <w:rsid w:val="00204200"/>
    <w:rsid w:val="00207480"/>
    <w:rsid w:val="00207EFC"/>
    <w:rsid w:val="0021015C"/>
    <w:rsid w:val="002126EE"/>
    <w:rsid w:val="00213FBB"/>
    <w:rsid w:val="002175FC"/>
    <w:rsid w:val="002222E3"/>
    <w:rsid w:val="0022278A"/>
    <w:rsid w:val="00233E9D"/>
    <w:rsid w:val="002413BB"/>
    <w:rsid w:val="0024275D"/>
    <w:rsid w:val="002443EE"/>
    <w:rsid w:val="00245939"/>
    <w:rsid w:val="002515C4"/>
    <w:rsid w:val="002522F0"/>
    <w:rsid w:val="00255B2A"/>
    <w:rsid w:val="002621FB"/>
    <w:rsid w:val="0026228D"/>
    <w:rsid w:val="00263B4B"/>
    <w:rsid w:val="00265AA7"/>
    <w:rsid w:val="00265D79"/>
    <w:rsid w:val="0027101D"/>
    <w:rsid w:val="00271CD4"/>
    <w:rsid w:val="00273487"/>
    <w:rsid w:val="00277EE0"/>
    <w:rsid w:val="00280E8B"/>
    <w:rsid w:val="002837B4"/>
    <w:rsid w:val="002966F0"/>
    <w:rsid w:val="002A08FB"/>
    <w:rsid w:val="002A4B01"/>
    <w:rsid w:val="002A590D"/>
    <w:rsid w:val="002A72CD"/>
    <w:rsid w:val="002B4B0B"/>
    <w:rsid w:val="002B4C3D"/>
    <w:rsid w:val="002C0BF4"/>
    <w:rsid w:val="002C474A"/>
    <w:rsid w:val="002C52E8"/>
    <w:rsid w:val="002E5495"/>
    <w:rsid w:val="002F136A"/>
    <w:rsid w:val="00316326"/>
    <w:rsid w:val="003173F6"/>
    <w:rsid w:val="003248B2"/>
    <w:rsid w:val="0032737A"/>
    <w:rsid w:val="0033020F"/>
    <w:rsid w:val="00333D34"/>
    <w:rsid w:val="00334F82"/>
    <w:rsid w:val="003373A1"/>
    <w:rsid w:val="0034235D"/>
    <w:rsid w:val="00345EF2"/>
    <w:rsid w:val="0035081B"/>
    <w:rsid w:val="00351C75"/>
    <w:rsid w:val="00353621"/>
    <w:rsid w:val="00354AE5"/>
    <w:rsid w:val="003562DA"/>
    <w:rsid w:val="00360876"/>
    <w:rsid w:val="00373430"/>
    <w:rsid w:val="00374121"/>
    <w:rsid w:val="00380A25"/>
    <w:rsid w:val="00382D39"/>
    <w:rsid w:val="00385939"/>
    <w:rsid w:val="0038757C"/>
    <w:rsid w:val="003A2B9F"/>
    <w:rsid w:val="003A3197"/>
    <w:rsid w:val="003A79AE"/>
    <w:rsid w:val="003C0708"/>
    <w:rsid w:val="003C14D1"/>
    <w:rsid w:val="003C2007"/>
    <w:rsid w:val="003D0D72"/>
    <w:rsid w:val="003D257D"/>
    <w:rsid w:val="003D2663"/>
    <w:rsid w:val="003D39B2"/>
    <w:rsid w:val="003D3B2F"/>
    <w:rsid w:val="003E1B16"/>
    <w:rsid w:val="003E4FD5"/>
    <w:rsid w:val="003E6878"/>
    <w:rsid w:val="003E6B57"/>
    <w:rsid w:val="003F0531"/>
    <w:rsid w:val="003F6E32"/>
    <w:rsid w:val="003F7FA3"/>
    <w:rsid w:val="00404596"/>
    <w:rsid w:val="00411DB0"/>
    <w:rsid w:val="00414EB7"/>
    <w:rsid w:val="00416434"/>
    <w:rsid w:val="004216DC"/>
    <w:rsid w:val="00432F6C"/>
    <w:rsid w:val="00434CBE"/>
    <w:rsid w:val="004417FB"/>
    <w:rsid w:val="00443890"/>
    <w:rsid w:val="00443CB3"/>
    <w:rsid w:val="004478A0"/>
    <w:rsid w:val="00451770"/>
    <w:rsid w:val="0045704A"/>
    <w:rsid w:val="0046093D"/>
    <w:rsid w:val="0046526D"/>
    <w:rsid w:val="004679B4"/>
    <w:rsid w:val="00470FD9"/>
    <w:rsid w:val="004775B5"/>
    <w:rsid w:val="00483228"/>
    <w:rsid w:val="0048449B"/>
    <w:rsid w:val="00490184"/>
    <w:rsid w:val="004904CF"/>
    <w:rsid w:val="00491AB1"/>
    <w:rsid w:val="00492B72"/>
    <w:rsid w:val="00493337"/>
    <w:rsid w:val="00497E76"/>
    <w:rsid w:val="004A00BC"/>
    <w:rsid w:val="004A0F8A"/>
    <w:rsid w:val="004A673D"/>
    <w:rsid w:val="004A6EA0"/>
    <w:rsid w:val="004B0B75"/>
    <w:rsid w:val="004B311C"/>
    <w:rsid w:val="004B3B7B"/>
    <w:rsid w:val="004B7FB4"/>
    <w:rsid w:val="004C4728"/>
    <w:rsid w:val="004C4733"/>
    <w:rsid w:val="004D0089"/>
    <w:rsid w:val="004D0734"/>
    <w:rsid w:val="004D0BBB"/>
    <w:rsid w:val="004D2965"/>
    <w:rsid w:val="004E1645"/>
    <w:rsid w:val="004E4635"/>
    <w:rsid w:val="004F0F0E"/>
    <w:rsid w:val="00500AB2"/>
    <w:rsid w:val="00510430"/>
    <w:rsid w:val="00513633"/>
    <w:rsid w:val="005162F1"/>
    <w:rsid w:val="0052471D"/>
    <w:rsid w:val="00524862"/>
    <w:rsid w:val="00524ED5"/>
    <w:rsid w:val="00526644"/>
    <w:rsid w:val="0052795A"/>
    <w:rsid w:val="0054157E"/>
    <w:rsid w:val="00544391"/>
    <w:rsid w:val="00544475"/>
    <w:rsid w:val="00544B68"/>
    <w:rsid w:val="0054765F"/>
    <w:rsid w:val="005545CE"/>
    <w:rsid w:val="00561B41"/>
    <w:rsid w:val="005631D5"/>
    <w:rsid w:val="00563B98"/>
    <w:rsid w:val="00564B64"/>
    <w:rsid w:val="00571816"/>
    <w:rsid w:val="005741C2"/>
    <w:rsid w:val="00576E22"/>
    <w:rsid w:val="00584EBC"/>
    <w:rsid w:val="00585630"/>
    <w:rsid w:val="005A247A"/>
    <w:rsid w:val="005A5FE2"/>
    <w:rsid w:val="005A6DA7"/>
    <w:rsid w:val="005B2D67"/>
    <w:rsid w:val="005B78A2"/>
    <w:rsid w:val="005C35E3"/>
    <w:rsid w:val="005D2D36"/>
    <w:rsid w:val="005D44D7"/>
    <w:rsid w:val="005D4685"/>
    <w:rsid w:val="005D7710"/>
    <w:rsid w:val="005E5AAF"/>
    <w:rsid w:val="005F28CE"/>
    <w:rsid w:val="005F471B"/>
    <w:rsid w:val="00602FEE"/>
    <w:rsid w:val="00603B7B"/>
    <w:rsid w:val="00610B99"/>
    <w:rsid w:val="006206CA"/>
    <w:rsid w:val="00620B66"/>
    <w:rsid w:val="00621A34"/>
    <w:rsid w:val="00636BE0"/>
    <w:rsid w:val="00644416"/>
    <w:rsid w:val="00647340"/>
    <w:rsid w:val="00650DC5"/>
    <w:rsid w:val="00655A88"/>
    <w:rsid w:val="00656DCC"/>
    <w:rsid w:val="00657C33"/>
    <w:rsid w:val="00662E07"/>
    <w:rsid w:val="00666437"/>
    <w:rsid w:val="00666B65"/>
    <w:rsid w:val="00670250"/>
    <w:rsid w:val="00674553"/>
    <w:rsid w:val="00676155"/>
    <w:rsid w:val="006827E3"/>
    <w:rsid w:val="00687212"/>
    <w:rsid w:val="006936F0"/>
    <w:rsid w:val="00695C21"/>
    <w:rsid w:val="00696335"/>
    <w:rsid w:val="00696600"/>
    <w:rsid w:val="006B74EA"/>
    <w:rsid w:val="006C23E0"/>
    <w:rsid w:val="006C3CB6"/>
    <w:rsid w:val="006C4F14"/>
    <w:rsid w:val="006C6EC8"/>
    <w:rsid w:val="006C7C53"/>
    <w:rsid w:val="006D1591"/>
    <w:rsid w:val="006D5954"/>
    <w:rsid w:val="006E234F"/>
    <w:rsid w:val="006F212F"/>
    <w:rsid w:val="006F3425"/>
    <w:rsid w:val="00706FAF"/>
    <w:rsid w:val="0070772E"/>
    <w:rsid w:val="0071261C"/>
    <w:rsid w:val="00722F33"/>
    <w:rsid w:val="007255B2"/>
    <w:rsid w:val="00725CF5"/>
    <w:rsid w:val="00736C04"/>
    <w:rsid w:val="007400DF"/>
    <w:rsid w:val="00753E9E"/>
    <w:rsid w:val="00755C22"/>
    <w:rsid w:val="00770111"/>
    <w:rsid w:val="00776D06"/>
    <w:rsid w:val="00785C43"/>
    <w:rsid w:val="00790101"/>
    <w:rsid w:val="00790463"/>
    <w:rsid w:val="007918C9"/>
    <w:rsid w:val="00791B1E"/>
    <w:rsid w:val="00793660"/>
    <w:rsid w:val="00795C54"/>
    <w:rsid w:val="00796016"/>
    <w:rsid w:val="0079744E"/>
    <w:rsid w:val="007A3DF9"/>
    <w:rsid w:val="007B320B"/>
    <w:rsid w:val="007B5270"/>
    <w:rsid w:val="007B5EBA"/>
    <w:rsid w:val="007E1AA2"/>
    <w:rsid w:val="007E585B"/>
    <w:rsid w:val="007F1113"/>
    <w:rsid w:val="00801B39"/>
    <w:rsid w:val="00803693"/>
    <w:rsid w:val="00805F38"/>
    <w:rsid w:val="0080680F"/>
    <w:rsid w:val="00813D8D"/>
    <w:rsid w:val="0081514F"/>
    <w:rsid w:val="00821855"/>
    <w:rsid w:val="008227CC"/>
    <w:rsid w:val="008305DA"/>
    <w:rsid w:val="008352B2"/>
    <w:rsid w:val="00837CBC"/>
    <w:rsid w:val="0084210E"/>
    <w:rsid w:val="00844A95"/>
    <w:rsid w:val="00846768"/>
    <w:rsid w:val="008477A6"/>
    <w:rsid w:val="00854517"/>
    <w:rsid w:val="008557E0"/>
    <w:rsid w:val="00855DE4"/>
    <w:rsid w:val="0085612D"/>
    <w:rsid w:val="008628A8"/>
    <w:rsid w:val="00867172"/>
    <w:rsid w:val="00867868"/>
    <w:rsid w:val="008704DF"/>
    <w:rsid w:val="0087256D"/>
    <w:rsid w:val="0087327C"/>
    <w:rsid w:val="008847DB"/>
    <w:rsid w:val="00887979"/>
    <w:rsid w:val="00890835"/>
    <w:rsid w:val="00890A8D"/>
    <w:rsid w:val="00894D75"/>
    <w:rsid w:val="008965F8"/>
    <w:rsid w:val="008A621A"/>
    <w:rsid w:val="008A7881"/>
    <w:rsid w:val="008B1517"/>
    <w:rsid w:val="008B2FD6"/>
    <w:rsid w:val="008C132B"/>
    <w:rsid w:val="008C30E0"/>
    <w:rsid w:val="008C5962"/>
    <w:rsid w:val="008C697B"/>
    <w:rsid w:val="008D1CE0"/>
    <w:rsid w:val="008D6592"/>
    <w:rsid w:val="008D6A7E"/>
    <w:rsid w:val="008D7915"/>
    <w:rsid w:val="008E49E6"/>
    <w:rsid w:val="008F2C1B"/>
    <w:rsid w:val="009030EE"/>
    <w:rsid w:val="0090502A"/>
    <w:rsid w:val="009059F9"/>
    <w:rsid w:val="00905AFC"/>
    <w:rsid w:val="00921AA0"/>
    <w:rsid w:val="00921EE6"/>
    <w:rsid w:val="009310F4"/>
    <w:rsid w:val="009325E6"/>
    <w:rsid w:val="00933CC5"/>
    <w:rsid w:val="00937699"/>
    <w:rsid w:val="00944C4C"/>
    <w:rsid w:val="00945B3F"/>
    <w:rsid w:val="00953A20"/>
    <w:rsid w:val="00957051"/>
    <w:rsid w:val="00962902"/>
    <w:rsid w:val="00963029"/>
    <w:rsid w:val="009653D3"/>
    <w:rsid w:val="00967AD3"/>
    <w:rsid w:val="009719B0"/>
    <w:rsid w:val="009753CB"/>
    <w:rsid w:val="0097611B"/>
    <w:rsid w:val="00985185"/>
    <w:rsid w:val="00985601"/>
    <w:rsid w:val="009876AD"/>
    <w:rsid w:val="00990783"/>
    <w:rsid w:val="00991978"/>
    <w:rsid w:val="0099232A"/>
    <w:rsid w:val="009935BD"/>
    <w:rsid w:val="00993F90"/>
    <w:rsid w:val="00994132"/>
    <w:rsid w:val="00995123"/>
    <w:rsid w:val="009B0A47"/>
    <w:rsid w:val="009B1385"/>
    <w:rsid w:val="009B7D89"/>
    <w:rsid w:val="009C0F30"/>
    <w:rsid w:val="009C34A6"/>
    <w:rsid w:val="009C4C4F"/>
    <w:rsid w:val="009C67C7"/>
    <w:rsid w:val="009D14CC"/>
    <w:rsid w:val="009D2462"/>
    <w:rsid w:val="009E0305"/>
    <w:rsid w:val="009E7B78"/>
    <w:rsid w:val="009F01CE"/>
    <w:rsid w:val="009F552C"/>
    <w:rsid w:val="009F787E"/>
    <w:rsid w:val="00A01468"/>
    <w:rsid w:val="00A037E3"/>
    <w:rsid w:val="00A116C4"/>
    <w:rsid w:val="00A13665"/>
    <w:rsid w:val="00A14549"/>
    <w:rsid w:val="00A20FA1"/>
    <w:rsid w:val="00A22029"/>
    <w:rsid w:val="00A32203"/>
    <w:rsid w:val="00A32C7C"/>
    <w:rsid w:val="00A37475"/>
    <w:rsid w:val="00A376ED"/>
    <w:rsid w:val="00A37C71"/>
    <w:rsid w:val="00A45032"/>
    <w:rsid w:val="00A470D6"/>
    <w:rsid w:val="00A47710"/>
    <w:rsid w:val="00A546F9"/>
    <w:rsid w:val="00A56319"/>
    <w:rsid w:val="00A57233"/>
    <w:rsid w:val="00A66CF0"/>
    <w:rsid w:val="00A73AAC"/>
    <w:rsid w:val="00A75C8F"/>
    <w:rsid w:val="00A75E96"/>
    <w:rsid w:val="00A90FD3"/>
    <w:rsid w:val="00A92D9A"/>
    <w:rsid w:val="00A95601"/>
    <w:rsid w:val="00A95BEF"/>
    <w:rsid w:val="00AA27C1"/>
    <w:rsid w:val="00AA4EC2"/>
    <w:rsid w:val="00AB1837"/>
    <w:rsid w:val="00AB228F"/>
    <w:rsid w:val="00AB2391"/>
    <w:rsid w:val="00AB6439"/>
    <w:rsid w:val="00AC53A8"/>
    <w:rsid w:val="00AC6337"/>
    <w:rsid w:val="00AD19F3"/>
    <w:rsid w:val="00AD1B73"/>
    <w:rsid w:val="00AD4B0A"/>
    <w:rsid w:val="00AE1292"/>
    <w:rsid w:val="00AE3C80"/>
    <w:rsid w:val="00AE686A"/>
    <w:rsid w:val="00AE6FE2"/>
    <w:rsid w:val="00B0438B"/>
    <w:rsid w:val="00B043D3"/>
    <w:rsid w:val="00B1109D"/>
    <w:rsid w:val="00B172B5"/>
    <w:rsid w:val="00B1736A"/>
    <w:rsid w:val="00B24288"/>
    <w:rsid w:val="00B25A4E"/>
    <w:rsid w:val="00B266DE"/>
    <w:rsid w:val="00B26B4F"/>
    <w:rsid w:val="00B302D3"/>
    <w:rsid w:val="00B3458C"/>
    <w:rsid w:val="00B34781"/>
    <w:rsid w:val="00B360F6"/>
    <w:rsid w:val="00B37245"/>
    <w:rsid w:val="00B378C4"/>
    <w:rsid w:val="00B46A1A"/>
    <w:rsid w:val="00B5034A"/>
    <w:rsid w:val="00B5085F"/>
    <w:rsid w:val="00B5273F"/>
    <w:rsid w:val="00B55A94"/>
    <w:rsid w:val="00B57895"/>
    <w:rsid w:val="00B61321"/>
    <w:rsid w:val="00B61382"/>
    <w:rsid w:val="00B678A1"/>
    <w:rsid w:val="00B75B9C"/>
    <w:rsid w:val="00B82206"/>
    <w:rsid w:val="00B8499D"/>
    <w:rsid w:val="00B86540"/>
    <w:rsid w:val="00B87179"/>
    <w:rsid w:val="00B94A08"/>
    <w:rsid w:val="00B964A5"/>
    <w:rsid w:val="00B967E6"/>
    <w:rsid w:val="00B975C9"/>
    <w:rsid w:val="00B97826"/>
    <w:rsid w:val="00BA2474"/>
    <w:rsid w:val="00BA28D3"/>
    <w:rsid w:val="00BB2246"/>
    <w:rsid w:val="00BC2A03"/>
    <w:rsid w:val="00BC2AAF"/>
    <w:rsid w:val="00BD31E3"/>
    <w:rsid w:val="00BD379B"/>
    <w:rsid w:val="00BE091B"/>
    <w:rsid w:val="00BE75A6"/>
    <w:rsid w:val="00BF0B35"/>
    <w:rsid w:val="00BF2D8A"/>
    <w:rsid w:val="00BF3856"/>
    <w:rsid w:val="00BF65E5"/>
    <w:rsid w:val="00C05659"/>
    <w:rsid w:val="00C11727"/>
    <w:rsid w:val="00C12C92"/>
    <w:rsid w:val="00C147C2"/>
    <w:rsid w:val="00C156D3"/>
    <w:rsid w:val="00C25C05"/>
    <w:rsid w:val="00C26C1C"/>
    <w:rsid w:val="00C319C4"/>
    <w:rsid w:val="00C3228C"/>
    <w:rsid w:val="00C324AD"/>
    <w:rsid w:val="00C34DEB"/>
    <w:rsid w:val="00C43827"/>
    <w:rsid w:val="00C47005"/>
    <w:rsid w:val="00C5258D"/>
    <w:rsid w:val="00C56216"/>
    <w:rsid w:val="00C57559"/>
    <w:rsid w:val="00C61E0A"/>
    <w:rsid w:val="00C64A1D"/>
    <w:rsid w:val="00C70AC8"/>
    <w:rsid w:val="00C83014"/>
    <w:rsid w:val="00C9448E"/>
    <w:rsid w:val="00C94EFF"/>
    <w:rsid w:val="00C970C4"/>
    <w:rsid w:val="00CA7662"/>
    <w:rsid w:val="00CA7EF5"/>
    <w:rsid w:val="00CB29C4"/>
    <w:rsid w:val="00CC1CAD"/>
    <w:rsid w:val="00CC3F6E"/>
    <w:rsid w:val="00CD1645"/>
    <w:rsid w:val="00CD40FE"/>
    <w:rsid w:val="00CE53F3"/>
    <w:rsid w:val="00CF1BBA"/>
    <w:rsid w:val="00CF350B"/>
    <w:rsid w:val="00D01C20"/>
    <w:rsid w:val="00D06AB1"/>
    <w:rsid w:val="00D1652E"/>
    <w:rsid w:val="00D205C6"/>
    <w:rsid w:val="00D215ED"/>
    <w:rsid w:val="00D21FE3"/>
    <w:rsid w:val="00D27264"/>
    <w:rsid w:val="00D3021C"/>
    <w:rsid w:val="00D36DD7"/>
    <w:rsid w:val="00D402F2"/>
    <w:rsid w:val="00D45399"/>
    <w:rsid w:val="00D4635D"/>
    <w:rsid w:val="00D50FDF"/>
    <w:rsid w:val="00D51220"/>
    <w:rsid w:val="00D51A4B"/>
    <w:rsid w:val="00D579DF"/>
    <w:rsid w:val="00D63817"/>
    <w:rsid w:val="00D63DE0"/>
    <w:rsid w:val="00D72099"/>
    <w:rsid w:val="00D72CA4"/>
    <w:rsid w:val="00D759A3"/>
    <w:rsid w:val="00D764FF"/>
    <w:rsid w:val="00D84E29"/>
    <w:rsid w:val="00D8592F"/>
    <w:rsid w:val="00D87550"/>
    <w:rsid w:val="00D87AF2"/>
    <w:rsid w:val="00D95BAB"/>
    <w:rsid w:val="00D9701D"/>
    <w:rsid w:val="00DA0206"/>
    <w:rsid w:val="00DA5244"/>
    <w:rsid w:val="00DB34EE"/>
    <w:rsid w:val="00DB401F"/>
    <w:rsid w:val="00DB547D"/>
    <w:rsid w:val="00DB6207"/>
    <w:rsid w:val="00DB7530"/>
    <w:rsid w:val="00DC1567"/>
    <w:rsid w:val="00DC2BED"/>
    <w:rsid w:val="00DC4BFC"/>
    <w:rsid w:val="00DC6CBF"/>
    <w:rsid w:val="00DD0CE3"/>
    <w:rsid w:val="00DE183C"/>
    <w:rsid w:val="00DE33CE"/>
    <w:rsid w:val="00DE47B3"/>
    <w:rsid w:val="00DE5919"/>
    <w:rsid w:val="00DE5C08"/>
    <w:rsid w:val="00DE61B1"/>
    <w:rsid w:val="00DF07A4"/>
    <w:rsid w:val="00DF1913"/>
    <w:rsid w:val="00E045AB"/>
    <w:rsid w:val="00E04678"/>
    <w:rsid w:val="00E05187"/>
    <w:rsid w:val="00E13EC5"/>
    <w:rsid w:val="00E20A12"/>
    <w:rsid w:val="00E23A30"/>
    <w:rsid w:val="00E23A46"/>
    <w:rsid w:val="00E2406B"/>
    <w:rsid w:val="00E24EB2"/>
    <w:rsid w:val="00E4020F"/>
    <w:rsid w:val="00E47FBA"/>
    <w:rsid w:val="00E50D92"/>
    <w:rsid w:val="00E50F2A"/>
    <w:rsid w:val="00E51AE1"/>
    <w:rsid w:val="00E548FF"/>
    <w:rsid w:val="00E564BC"/>
    <w:rsid w:val="00E61271"/>
    <w:rsid w:val="00E64758"/>
    <w:rsid w:val="00E651F7"/>
    <w:rsid w:val="00E67240"/>
    <w:rsid w:val="00E701AD"/>
    <w:rsid w:val="00E7345A"/>
    <w:rsid w:val="00E739E5"/>
    <w:rsid w:val="00E760BA"/>
    <w:rsid w:val="00E8598E"/>
    <w:rsid w:val="00E905E2"/>
    <w:rsid w:val="00E955B0"/>
    <w:rsid w:val="00E9604A"/>
    <w:rsid w:val="00E97A62"/>
    <w:rsid w:val="00EA1A8F"/>
    <w:rsid w:val="00EA2CD6"/>
    <w:rsid w:val="00EA44F1"/>
    <w:rsid w:val="00EB0183"/>
    <w:rsid w:val="00EB098C"/>
    <w:rsid w:val="00EC4213"/>
    <w:rsid w:val="00ED0049"/>
    <w:rsid w:val="00ED11C0"/>
    <w:rsid w:val="00ED1427"/>
    <w:rsid w:val="00ED6A1F"/>
    <w:rsid w:val="00ED703B"/>
    <w:rsid w:val="00ED7A57"/>
    <w:rsid w:val="00EE451B"/>
    <w:rsid w:val="00EE4A2A"/>
    <w:rsid w:val="00EF0E82"/>
    <w:rsid w:val="00EF3506"/>
    <w:rsid w:val="00EF4D38"/>
    <w:rsid w:val="00F00670"/>
    <w:rsid w:val="00F01DB2"/>
    <w:rsid w:val="00F11CA5"/>
    <w:rsid w:val="00F14E8F"/>
    <w:rsid w:val="00F16D1D"/>
    <w:rsid w:val="00F22025"/>
    <w:rsid w:val="00F24FF7"/>
    <w:rsid w:val="00F27308"/>
    <w:rsid w:val="00F31F8E"/>
    <w:rsid w:val="00F36534"/>
    <w:rsid w:val="00F41D75"/>
    <w:rsid w:val="00F441CB"/>
    <w:rsid w:val="00F50100"/>
    <w:rsid w:val="00F55EDE"/>
    <w:rsid w:val="00F57F89"/>
    <w:rsid w:val="00F614A9"/>
    <w:rsid w:val="00F62C29"/>
    <w:rsid w:val="00F63828"/>
    <w:rsid w:val="00F63D9A"/>
    <w:rsid w:val="00F63FB5"/>
    <w:rsid w:val="00F71F91"/>
    <w:rsid w:val="00F749DD"/>
    <w:rsid w:val="00F7513F"/>
    <w:rsid w:val="00F808D7"/>
    <w:rsid w:val="00F81831"/>
    <w:rsid w:val="00FA54B9"/>
    <w:rsid w:val="00FB2E44"/>
    <w:rsid w:val="00FB7012"/>
    <w:rsid w:val="00FD1C49"/>
    <w:rsid w:val="00FD574A"/>
    <w:rsid w:val="00FE0D6F"/>
    <w:rsid w:val="00FE35ED"/>
    <w:rsid w:val="00FE4AC6"/>
    <w:rsid w:val="00FE6CC3"/>
    <w:rsid w:val="00FE6F10"/>
    <w:rsid w:val="00FF3389"/>
    <w:rsid w:val="00FF6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B0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B4B0B"/>
    <w:rPr>
      <w:sz w:val="18"/>
      <w:szCs w:val="18"/>
    </w:rPr>
  </w:style>
  <w:style w:type="paragraph" w:styleId="a4">
    <w:name w:val="footer"/>
    <w:basedOn w:val="a"/>
    <w:link w:val="Char0"/>
    <w:uiPriority w:val="99"/>
    <w:unhideWhenUsed/>
    <w:rsid w:val="002B4B0B"/>
    <w:pPr>
      <w:tabs>
        <w:tab w:val="center" w:pos="4153"/>
        <w:tab w:val="right" w:pos="8306"/>
      </w:tabs>
      <w:snapToGrid w:val="0"/>
      <w:jc w:val="left"/>
    </w:pPr>
    <w:rPr>
      <w:sz w:val="18"/>
      <w:szCs w:val="18"/>
    </w:rPr>
  </w:style>
  <w:style w:type="character" w:customStyle="1" w:styleId="Char0">
    <w:name w:val="页脚 Char"/>
    <w:link w:val="a4"/>
    <w:uiPriority w:val="99"/>
    <w:rsid w:val="002B4B0B"/>
    <w:rPr>
      <w:sz w:val="18"/>
      <w:szCs w:val="18"/>
    </w:rPr>
  </w:style>
  <w:style w:type="table" w:styleId="a5">
    <w:name w:val="Table Grid"/>
    <w:basedOn w:val="a1"/>
    <w:uiPriority w:val="59"/>
    <w:rsid w:val="0064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semiHidden/>
    <w:unhideWhenUsed/>
    <w:rsid w:val="00BA2474"/>
    <w:rPr>
      <w:sz w:val="21"/>
      <w:szCs w:val="21"/>
    </w:rPr>
  </w:style>
  <w:style w:type="paragraph" w:styleId="a7">
    <w:name w:val="annotation text"/>
    <w:basedOn w:val="a"/>
    <w:link w:val="Char1"/>
    <w:uiPriority w:val="99"/>
    <w:semiHidden/>
    <w:unhideWhenUsed/>
    <w:rsid w:val="00BA2474"/>
    <w:pPr>
      <w:jc w:val="left"/>
    </w:pPr>
  </w:style>
  <w:style w:type="character" w:customStyle="1" w:styleId="Char1">
    <w:name w:val="批注文字 Char"/>
    <w:basedOn w:val="a0"/>
    <w:link w:val="a7"/>
    <w:uiPriority w:val="99"/>
    <w:semiHidden/>
    <w:rsid w:val="00BA2474"/>
  </w:style>
  <w:style w:type="paragraph" w:styleId="a8">
    <w:name w:val="annotation subject"/>
    <w:basedOn w:val="a7"/>
    <w:next w:val="a7"/>
    <w:link w:val="Char2"/>
    <w:uiPriority w:val="99"/>
    <w:semiHidden/>
    <w:unhideWhenUsed/>
    <w:rsid w:val="00BA2474"/>
    <w:rPr>
      <w:b/>
      <w:bCs/>
    </w:rPr>
  </w:style>
  <w:style w:type="character" w:customStyle="1" w:styleId="Char2">
    <w:name w:val="批注主题 Char"/>
    <w:link w:val="a8"/>
    <w:uiPriority w:val="99"/>
    <w:semiHidden/>
    <w:rsid w:val="00BA2474"/>
    <w:rPr>
      <w:b/>
      <w:bCs/>
    </w:rPr>
  </w:style>
  <w:style w:type="paragraph" w:styleId="a9">
    <w:name w:val="Balloon Text"/>
    <w:basedOn w:val="a"/>
    <w:link w:val="Char3"/>
    <w:uiPriority w:val="99"/>
    <w:semiHidden/>
    <w:unhideWhenUsed/>
    <w:rsid w:val="00BA2474"/>
    <w:rPr>
      <w:sz w:val="18"/>
      <w:szCs w:val="18"/>
    </w:rPr>
  </w:style>
  <w:style w:type="character" w:customStyle="1" w:styleId="Char3">
    <w:name w:val="批注框文本 Char"/>
    <w:link w:val="a9"/>
    <w:uiPriority w:val="99"/>
    <w:semiHidden/>
    <w:rsid w:val="00BA2474"/>
    <w:rPr>
      <w:sz w:val="18"/>
      <w:szCs w:val="18"/>
    </w:rPr>
  </w:style>
  <w:style w:type="paragraph" w:styleId="aa">
    <w:name w:val="List Paragraph"/>
    <w:basedOn w:val="a"/>
    <w:uiPriority w:val="99"/>
    <w:qFormat/>
    <w:rsid w:val="00127BCA"/>
    <w:pPr>
      <w:ind w:firstLineChars="200" w:firstLine="420"/>
    </w:pPr>
  </w:style>
  <w:style w:type="character" w:styleId="ab">
    <w:name w:val="Hyperlink"/>
    <w:uiPriority w:val="99"/>
    <w:unhideWhenUsed/>
    <w:rsid w:val="00993F90"/>
    <w:rPr>
      <w:color w:val="0000FF"/>
      <w:u w:val="single"/>
    </w:rPr>
  </w:style>
  <w:style w:type="paragraph" w:customStyle="1" w:styleId="Default">
    <w:name w:val="Default"/>
    <w:rsid w:val="00FE4AC6"/>
    <w:pPr>
      <w:widowControl w:val="0"/>
      <w:autoSpaceDE w:val="0"/>
      <w:autoSpaceDN w:val="0"/>
      <w:adjustRightInd w:val="0"/>
    </w:pPr>
    <w:rPr>
      <w:rFonts w:ascii="宋体" w:hAnsi="宋体" w:cs="宋体"/>
      <w:color w:val="000000"/>
      <w:sz w:val="24"/>
      <w:szCs w:val="24"/>
    </w:rPr>
  </w:style>
  <w:style w:type="paragraph" w:styleId="ac">
    <w:name w:val="Normal (Web)"/>
    <w:basedOn w:val="a"/>
    <w:unhideWhenUsed/>
    <w:rsid w:val="007F1113"/>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semiHidden/>
    <w:rsid w:val="000976A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B0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B4B0B"/>
    <w:rPr>
      <w:sz w:val="18"/>
      <w:szCs w:val="18"/>
    </w:rPr>
  </w:style>
  <w:style w:type="paragraph" w:styleId="a4">
    <w:name w:val="footer"/>
    <w:basedOn w:val="a"/>
    <w:link w:val="Char0"/>
    <w:uiPriority w:val="99"/>
    <w:unhideWhenUsed/>
    <w:rsid w:val="002B4B0B"/>
    <w:pPr>
      <w:tabs>
        <w:tab w:val="center" w:pos="4153"/>
        <w:tab w:val="right" w:pos="8306"/>
      </w:tabs>
      <w:snapToGrid w:val="0"/>
      <w:jc w:val="left"/>
    </w:pPr>
    <w:rPr>
      <w:sz w:val="18"/>
      <w:szCs w:val="18"/>
    </w:rPr>
  </w:style>
  <w:style w:type="character" w:customStyle="1" w:styleId="Char0">
    <w:name w:val="页脚 Char"/>
    <w:link w:val="a4"/>
    <w:uiPriority w:val="99"/>
    <w:rsid w:val="002B4B0B"/>
    <w:rPr>
      <w:sz w:val="18"/>
      <w:szCs w:val="18"/>
    </w:rPr>
  </w:style>
  <w:style w:type="table" w:styleId="a5">
    <w:name w:val="Table Grid"/>
    <w:basedOn w:val="a1"/>
    <w:uiPriority w:val="59"/>
    <w:rsid w:val="0064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BA2474"/>
    <w:rPr>
      <w:sz w:val="21"/>
      <w:szCs w:val="21"/>
    </w:rPr>
  </w:style>
  <w:style w:type="paragraph" w:styleId="a7">
    <w:name w:val="annotation text"/>
    <w:basedOn w:val="a"/>
    <w:link w:val="Char1"/>
    <w:uiPriority w:val="99"/>
    <w:semiHidden/>
    <w:unhideWhenUsed/>
    <w:rsid w:val="00BA2474"/>
    <w:pPr>
      <w:jc w:val="left"/>
    </w:pPr>
  </w:style>
  <w:style w:type="character" w:customStyle="1" w:styleId="Char1">
    <w:name w:val="批注文字 Char"/>
    <w:basedOn w:val="a0"/>
    <w:link w:val="a7"/>
    <w:uiPriority w:val="99"/>
    <w:semiHidden/>
    <w:rsid w:val="00BA2474"/>
  </w:style>
  <w:style w:type="paragraph" w:styleId="a8">
    <w:name w:val="annotation subject"/>
    <w:basedOn w:val="a7"/>
    <w:next w:val="a7"/>
    <w:link w:val="Char2"/>
    <w:uiPriority w:val="99"/>
    <w:semiHidden/>
    <w:unhideWhenUsed/>
    <w:rsid w:val="00BA2474"/>
    <w:rPr>
      <w:b/>
      <w:bCs/>
    </w:rPr>
  </w:style>
  <w:style w:type="character" w:customStyle="1" w:styleId="Char2">
    <w:name w:val="批注主题 Char"/>
    <w:link w:val="a8"/>
    <w:uiPriority w:val="99"/>
    <w:semiHidden/>
    <w:rsid w:val="00BA2474"/>
    <w:rPr>
      <w:b/>
      <w:bCs/>
    </w:rPr>
  </w:style>
  <w:style w:type="paragraph" w:styleId="a9">
    <w:name w:val="Balloon Text"/>
    <w:basedOn w:val="a"/>
    <w:link w:val="Char3"/>
    <w:uiPriority w:val="99"/>
    <w:semiHidden/>
    <w:unhideWhenUsed/>
    <w:rsid w:val="00BA2474"/>
    <w:rPr>
      <w:sz w:val="18"/>
      <w:szCs w:val="18"/>
    </w:rPr>
  </w:style>
  <w:style w:type="character" w:customStyle="1" w:styleId="Char3">
    <w:name w:val="批注框文本 Char"/>
    <w:link w:val="a9"/>
    <w:uiPriority w:val="99"/>
    <w:semiHidden/>
    <w:rsid w:val="00BA2474"/>
    <w:rPr>
      <w:sz w:val="18"/>
      <w:szCs w:val="18"/>
    </w:rPr>
  </w:style>
  <w:style w:type="paragraph" w:styleId="aa">
    <w:name w:val="List Paragraph"/>
    <w:basedOn w:val="a"/>
    <w:uiPriority w:val="99"/>
    <w:qFormat/>
    <w:rsid w:val="00127BCA"/>
    <w:pPr>
      <w:ind w:firstLineChars="200" w:firstLine="420"/>
    </w:pPr>
  </w:style>
  <w:style w:type="character" w:styleId="ab">
    <w:name w:val="Hyperlink"/>
    <w:uiPriority w:val="99"/>
    <w:unhideWhenUsed/>
    <w:rsid w:val="00993F90"/>
    <w:rPr>
      <w:color w:val="0000FF"/>
      <w:u w:val="single"/>
    </w:rPr>
  </w:style>
  <w:style w:type="paragraph" w:customStyle="1" w:styleId="Default">
    <w:name w:val="Default"/>
    <w:rsid w:val="00FE4AC6"/>
    <w:pPr>
      <w:widowControl w:val="0"/>
      <w:autoSpaceDE w:val="0"/>
      <w:autoSpaceDN w:val="0"/>
      <w:adjustRightInd w:val="0"/>
    </w:pPr>
    <w:rPr>
      <w:rFonts w:ascii="宋体" w:hAnsi="宋体" w:cs="宋体"/>
      <w:color w:val="000000"/>
      <w:sz w:val="24"/>
      <w:szCs w:val="24"/>
    </w:rPr>
  </w:style>
  <w:style w:type="paragraph" w:styleId="ac">
    <w:name w:val="Normal (Web)"/>
    <w:basedOn w:val="a"/>
    <w:unhideWhenUsed/>
    <w:rsid w:val="007F1113"/>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semiHidden/>
    <w:rsid w:val="000976A4"/>
    <w:rPr>
      <w:kern w:val="2"/>
      <w:sz w:val="21"/>
      <w:szCs w:val="22"/>
    </w:rPr>
  </w:style>
</w:styles>
</file>

<file path=word/webSettings.xml><?xml version="1.0" encoding="utf-8"?>
<w:webSettings xmlns:r="http://schemas.openxmlformats.org/officeDocument/2006/relationships" xmlns:w="http://schemas.openxmlformats.org/wordprocessingml/2006/main">
  <w:divs>
    <w:div w:id="165481469">
      <w:bodyDiv w:val="1"/>
      <w:marLeft w:val="0"/>
      <w:marRight w:val="0"/>
      <w:marTop w:val="0"/>
      <w:marBottom w:val="0"/>
      <w:divBdr>
        <w:top w:val="none" w:sz="0" w:space="0" w:color="auto"/>
        <w:left w:val="none" w:sz="0" w:space="0" w:color="auto"/>
        <w:bottom w:val="none" w:sz="0" w:space="0" w:color="auto"/>
        <w:right w:val="none" w:sz="0" w:space="0" w:color="auto"/>
      </w:divBdr>
    </w:div>
    <w:div w:id="194084323">
      <w:bodyDiv w:val="1"/>
      <w:marLeft w:val="0"/>
      <w:marRight w:val="0"/>
      <w:marTop w:val="0"/>
      <w:marBottom w:val="0"/>
      <w:divBdr>
        <w:top w:val="none" w:sz="0" w:space="0" w:color="auto"/>
        <w:left w:val="none" w:sz="0" w:space="0" w:color="auto"/>
        <w:bottom w:val="none" w:sz="0" w:space="0" w:color="auto"/>
        <w:right w:val="none" w:sz="0" w:space="0" w:color="auto"/>
      </w:divBdr>
    </w:div>
    <w:div w:id="275606375">
      <w:bodyDiv w:val="1"/>
      <w:marLeft w:val="0"/>
      <w:marRight w:val="0"/>
      <w:marTop w:val="0"/>
      <w:marBottom w:val="0"/>
      <w:divBdr>
        <w:top w:val="none" w:sz="0" w:space="0" w:color="auto"/>
        <w:left w:val="none" w:sz="0" w:space="0" w:color="auto"/>
        <w:bottom w:val="none" w:sz="0" w:space="0" w:color="auto"/>
        <w:right w:val="none" w:sz="0" w:space="0" w:color="auto"/>
      </w:divBdr>
    </w:div>
    <w:div w:id="392314986">
      <w:bodyDiv w:val="1"/>
      <w:marLeft w:val="0"/>
      <w:marRight w:val="0"/>
      <w:marTop w:val="0"/>
      <w:marBottom w:val="0"/>
      <w:divBdr>
        <w:top w:val="none" w:sz="0" w:space="0" w:color="auto"/>
        <w:left w:val="none" w:sz="0" w:space="0" w:color="auto"/>
        <w:bottom w:val="none" w:sz="0" w:space="0" w:color="auto"/>
        <w:right w:val="none" w:sz="0" w:space="0" w:color="auto"/>
      </w:divBdr>
    </w:div>
    <w:div w:id="418983640">
      <w:bodyDiv w:val="1"/>
      <w:marLeft w:val="0"/>
      <w:marRight w:val="0"/>
      <w:marTop w:val="0"/>
      <w:marBottom w:val="0"/>
      <w:divBdr>
        <w:top w:val="none" w:sz="0" w:space="0" w:color="auto"/>
        <w:left w:val="none" w:sz="0" w:space="0" w:color="auto"/>
        <w:bottom w:val="none" w:sz="0" w:space="0" w:color="auto"/>
        <w:right w:val="none" w:sz="0" w:space="0" w:color="auto"/>
      </w:divBdr>
    </w:div>
    <w:div w:id="442267791">
      <w:bodyDiv w:val="1"/>
      <w:marLeft w:val="0"/>
      <w:marRight w:val="0"/>
      <w:marTop w:val="0"/>
      <w:marBottom w:val="0"/>
      <w:divBdr>
        <w:top w:val="none" w:sz="0" w:space="0" w:color="auto"/>
        <w:left w:val="none" w:sz="0" w:space="0" w:color="auto"/>
        <w:bottom w:val="none" w:sz="0" w:space="0" w:color="auto"/>
        <w:right w:val="none" w:sz="0" w:space="0" w:color="auto"/>
      </w:divBdr>
    </w:div>
    <w:div w:id="459110561">
      <w:bodyDiv w:val="1"/>
      <w:marLeft w:val="0"/>
      <w:marRight w:val="0"/>
      <w:marTop w:val="0"/>
      <w:marBottom w:val="0"/>
      <w:divBdr>
        <w:top w:val="none" w:sz="0" w:space="0" w:color="auto"/>
        <w:left w:val="none" w:sz="0" w:space="0" w:color="auto"/>
        <w:bottom w:val="none" w:sz="0" w:space="0" w:color="auto"/>
        <w:right w:val="none" w:sz="0" w:space="0" w:color="auto"/>
      </w:divBdr>
    </w:div>
    <w:div w:id="465050570">
      <w:bodyDiv w:val="1"/>
      <w:marLeft w:val="0"/>
      <w:marRight w:val="0"/>
      <w:marTop w:val="0"/>
      <w:marBottom w:val="0"/>
      <w:divBdr>
        <w:top w:val="none" w:sz="0" w:space="0" w:color="auto"/>
        <w:left w:val="none" w:sz="0" w:space="0" w:color="auto"/>
        <w:bottom w:val="none" w:sz="0" w:space="0" w:color="auto"/>
        <w:right w:val="none" w:sz="0" w:space="0" w:color="auto"/>
      </w:divBdr>
    </w:div>
    <w:div w:id="466245079">
      <w:bodyDiv w:val="1"/>
      <w:marLeft w:val="0"/>
      <w:marRight w:val="0"/>
      <w:marTop w:val="0"/>
      <w:marBottom w:val="0"/>
      <w:divBdr>
        <w:top w:val="none" w:sz="0" w:space="0" w:color="auto"/>
        <w:left w:val="none" w:sz="0" w:space="0" w:color="auto"/>
        <w:bottom w:val="none" w:sz="0" w:space="0" w:color="auto"/>
        <w:right w:val="none" w:sz="0" w:space="0" w:color="auto"/>
      </w:divBdr>
    </w:div>
    <w:div w:id="869957608">
      <w:bodyDiv w:val="1"/>
      <w:marLeft w:val="0"/>
      <w:marRight w:val="0"/>
      <w:marTop w:val="0"/>
      <w:marBottom w:val="0"/>
      <w:divBdr>
        <w:top w:val="none" w:sz="0" w:space="0" w:color="auto"/>
        <w:left w:val="none" w:sz="0" w:space="0" w:color="auto"/>
        <w:bottom w:val="none" w:sz="0" w:space="0" w:color="auto"/>
        <w:right w:val="none" w:sz="0" w:space="0" w:color="auto"/>
      </w:divBdr>
    </w:div>
    <w:div w:id="965237539">
      <w:bodyDiv w:val="1"/>
      <w:marLeft w:val="0"/>
      <w:marRight w:val="0"/>
      <w:marTop w:val="0"/>
      <w:marBottom w:val="0"/>
      <w:divBdr>
        <w:top w:val="none" w:sz="0" w:space="0" w:color="auto"/>
        <w:left w:val="none" w:sz="0" w:space="0" w:color="auto"/>
        <w:bottom w:val="none" w:sz="0" w:space="0" w:color="auto"/>
        <w:right w:val="none" w:sz="0" w:space="0" w:color="auto"/>
      </w:divBdr>
    </w:div>
    <w:div w:id="1099106662">
      <w:bodyDiv w:val="1"/>
      <w:marLeft w:val="0"/>
      <w:marRight w:val="0"/>
      <w:marTop w:val="0"/>
      <w:marBottom w:val="0"/>
      <w:divBdr>
        <w:top w:val="none" w:sz="0" w:space="0" w:color="auto"/>
        <w:left w:val="none" w:sz="0" w:space="0" w:color="auto"/>
        <w:bottom w:val="none" w:sz="0" w:space="0" w:color="auto"/>
        <w:right w:val="none" w:sz="0" w:space="0" w:color="auto"/>
      </w:divBdr>
    </w:div>
    <w:div w:id="1116438473">
      <w:bodyDiv w:val="1"/>
      <w:marLeft w:val="0"/>
      <w:marRight w:val="0"/>
      <w:marTop w:val="0"/>
      <w:marBottom w:val="0"/>
      <w:divBdr>
        <w:top w:val="none" w:sz="0" w:space="0" w:color="auto"/>
        <w:left w:val="none" w:sz="0" w:space="0" w:color="auto"/>
        <w:bottom w:val="none" w:sz="0" w:space="0" w:color="auto"/>
        <w:right w:val="none" w:sz="0" w:space="0" w:color="auto"/>
      </w:divBdr>
    </w:div>
    <w:div w:id="1318918761">
      <w:bodyDiv w:val="1"/>
      <w:marLeft w:val="0"/>
      <w:marRight w:val="0"/>
      <w:marTop w:val="0"/>
      <w:marBottom w:val="0"/>
      <w:divBdr>
        <w:top w:val="none" w:sz="0" w:space="0" w:color="auto"/>
        <w:left w:val="none" w:sz="0" w:space="0" w:color="auto"/>
        <w:bottom w:val="none" w:sz="0" w:space="0" w:color="auto"/>
        <w:right w:val="none" w:sz="0" w:space="0" w:color="auto"/>
      </w:divBdr>
    </w:div>
    <w:div w:id="1429543567">
      <w:bodyDiv w:val="1"/>
      <w:marLeft w:val="0"/>
      <w:marRight w:val="0"/>
      <w:marTop w:val="0"/>
      <w:marBottom w:val="0"/>
      <w:divBdr>
        <w:top w:val="none" w:sz="0" w:space="0" w:color="auto"/>
        <w:left w:val="none" w:sz="0" w:space="0" w:color="auto"/>
        <w:bottom w:val="none" w:sz="0" w:space="0" w:color="auto"/>
        <w:right w:val="none" w:sz="0" w:space="0" w:color="auto"/>
      </w:divBdr>
    </w:div>
    <w:div w:id="1702785397">
      <w:bodyDiv w:val="1"/>
      <w:marLeft w:val="0"/>
      <w:marRight w:val="0"/>
      <w:marTop w:val="0"/>
      <w:marBottom w:val="0"/>
      <w:divBdr>
        <w:top w:val="none" w:sz="0" w:space="0" w:color="auto"/>
        <w:left w:val="none" w:sz="0" w:space="0" w:color="auto"/>
        <w:bottom w:val="none" w:sz="0" w:space="0" w:color="auto"/>
        <w:right w:val="none" w:sz="0" w:space="0" w:color="auto"/>
      </w:divBdr>
      <w:divsChild>
        <w:div w:id="601380679">
          <w:marLeft w:val="0"/>
          <w:marRight w:val="0"/>
          <w:marTop w:val="0"/>
          <w:marBottom w:val="0"/>
          <w:divBdr>
            <w:top w:val="none" w:sz="0" w:space="0" w:color="auto"/>
            <w:left w:val="none" w:sz="0" w:space="0" w:color="auto"/>
            <w:bottom w:val="single" w:sz="6" w:space="11" w:color="CCCCCC"/>
            <w:right w:val="none" w:sz="0" w:space="0" w:color="auto"/>
          </w:divBdr>
          <w:divsChild>
            <w:div w:id="1509247622">
              <w:marLeft w:val="0"/>
              <w:marRight w:val="0"/>
              <w:marTop w:val="0"/>
              <w:marBottom w:val="0"/>
              <w:divBdr>
                <w:top w:val="none" w:sz="0" w:space="0" w:color="auto"/>
                <w:left w:val="none" w:sz="0" w:space="0" w:color="auto"/>
                <w:bottom w:val="none" w:sz="0" w:space="0" w:color="auto"/>
                <w:right w:val="none" w:sz="0" w:space="0" w:color="auto"/>
              </w:divBdr>
              <w:divsChild>
                <w:div w:id="537472926">
                  <w:marLeft w:val="600"/>
                  <w:marRight w:val="600"/>
                  <w:marTop w:val="0"/>
                  <w:marBottom w:val="0"/>
                  <w:divBdr>
                    <w:top w:val="none" w:sz="0" w:space="0" w:color="auto"/>
                    <w:left w:val="none" w:sz="0" w:space="0" w:color="auto"/>
                    <w:bottom w:val="none" w:sz="0" w:space="0" w:color="auto"/>
                    <w:right w:val="none" w:sz="0" w:space="0" w:color="auto"/>
                  </w:divBdr>
                  <w:divsChild>
                    <w:div w:id="557277845">
                      <w:marLeft w:val="0"/>
                      <w:marRight w:val="0"/>
                      <w:marTop w:val="0"/>
                      <w:marBottom w:val="0"/>
                      <w:divBdr>
                        <w:top w:val="none" w:sz="0" w:space="0" w:color="auto"/>
                        <w:left w:val="none" w:sz="0" w:space="0" w:color="auto"/>
                        <w:bottom w:val="none" w:sz="0" w:space="0" w:color="auto"/>
                        <w:right w:val="none" w:sz="0" w:space="0" w:color="auto"/>
                      </w:divBdr>
                      <w:divsChild>
                        <w:div w:id="2116122990">
                          <w:marLeft w:val="0"/>
                          <w:marRight w:val="0"/>
                          <w:marTop w:val="0"/>
                          <w:marBottom w:val="0"/>
                          <w:divBdr>
                            <w:top w:val="none" w:sz="0" w:space="0" w:color="auto"/>
                            <w:left w:val="none" w:sz="0" w:space="0" w:color="auto"/>
                            <w:bottom w:val="none" w:sz="0" w:space="0" w:color="auto"/>
                            <w:right w:val="none" w:sz="0" w:space="0" w:color="auto"/>
                          </w:divBdr>
                          <w:divsChild>
                            <w:div w:id="8250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130988">
      <w:bodyDiv w:val="1"/>
      <w:marLeft w:val="0"/>
      <w:marRight w:val="0"/>
      <w:marTop w:val="0"/>
      <w:marBottom w:val="0"/>
      <w:divBdr>
        <w:top w:val="none" w:sz="0" w:space="0" w:color="auto"/>
        <w:left w:val="none" w:sz="0" w:space="0" w:color="auto"/>
        <w:bottom w:val="none" w:sz="0" w:space="0" w:color="auto"/>
        <w:right w:val="none" w:sz="0" w:space="0" w:color="auto"/>
      </w:divBdr>
    </w:div>
    <w:div w:id="1914076316">
      <w:bodyDiv w:val="1"/>
      <w:marLeft w:val="0"/>
      <w:marRight w:val="0"/>
      <w:marTop w:val="0"/>
      <w:marBottom w:val="0"/>
      <w:divBdr>
        <w:top w:val="none" w:sz="0" w:space="0" w:color="auto"/>
        <w:left w:val="none" w:sz="0" w:space="0" w:color="auto"/>
        <w:bottom w:val="none" w:sz="0" w:space="0" w:color="auto"/>
        <w:right w:val="none" w:sz="0" w:space="0" w:color="auto"/>
      </w:divBdr>
    </w:div>
    <w:div w:id="1932815564">
      <w:bodyDiv w:val="1"/>
      <w:marLeft w:val="0"/>
      <w:marRight w:val="0"/>
      <w:marTop w:val="0"/>
      <w:marBottom w:val="0"/>
      <w:divBdr>
        <w:top w:val="none" w:sz="0" w:space="0" w:color="auto"/>
        <w:left w:val="none" w:sz="0" w:space="0" w:color="auto"/>
        <w:bottom w:val="none" w:sz="0" w:space="0" w:color="auto"/>
        <w:right w:val="none" w:sz="0" w:space="0" w:color="auto"/>
      </w:divBdr>
    </w:div>
    <w:div w:id="19484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bocim.com"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5600</Characters>
  <Application>Microsoft Office Word</Application>
  <DocSecurity>4</DocSecurity>
  <Lines>46</Lines>
  <Paragraphs>13</Paragraphs>
  <ScaleCrop>false</ScaleCrop>
  <Company>wind</Company>
  <LinksUpToDate>false</LinksUpToDate>
  <CharactersWithSpaces>6569</CharactersWithSpaces>
  <SharedDoc>false</SharedDoc>
  <HLinks>
    <vt:vector size="6" baseType="variant">
      <vt:variant>
        <vt:i4>4784151</vt:i4>
      </vt:variant>
      <vt:variant>
        <vt:i4>0</vt:i4>
      </vt:variant>
      <vt:variant>
        <vt:i4>0</vt:i4>
      </vt:variant>
      <vt:variant>
        <vt:i4>5</vt:i4>
      </vt:variant>
      <vt:variant>
        <vt:lpwstr>http://www.bocim.com/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ZHONGM</cp:lastModifiedBy>
  <cp:revision>2</cp:revision>
  <cp:lastPrinted>2020-12-15T01:23:00Z</cp:lastPrinted>
  <dcterms:created xsi:type="dcterms:W3CDTF">2020-12-16T16:16:00Z</dcterms:created>
  <dcterms:modified xsi:type="dcterms:W3CDTF">2020-12-16T16:16:00Z</dcterms:modified>
</cp:coreProperties>
</file>